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docro8tzr9d" w:id="0"/>
      <w:bookmarkEnd w:id="0"/>
      <w:r w:rsidDel="00000000" w:rsidR="00000000" w:rsidRPr="00000000">
        <w:rPr>
          <w:b w:val="1"/>
          <w:bCs w:val="1"/>
          <w:sz w:val="46"/>
          <w:szCs w:val="46"/>
          <w:rtl w:val="0"/>
        </w:rPr>
        <w:t xml:space="preserve">Sustainable Capital: Why Mandates and Flows Demand Clean Energy Innovation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rtrwlowi7q7" w:id="1"/>
      <w:bookmarkEnd w:id="1"/>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Sustainable Investing (SI) is a fiduciary requirement enforced by major asset owners globally. The </w:t>
      </w:r>
      <w:r w:rsidDel="00000000" w:rsidR="00000000" w:rsidRPr="00000000">
        <w:rPr>
          <w:rtl w:val="0"/>
        </w:rPr>
        <w:t xml:space="preserve">$306 billion New York City (NYC) pension stack serves as a powerful domestic example of climate mandates compelling capital reallocation. This paper clearly demonstrates that SI is a massive, non-negotiable capital pool extending globally, and that the launch of a Clean Energy Bitcoin Trust represents a First-Mover Advantage that will significantly diversify the issuer's product range and unlock new capital flows cur</w:t>
      </w:r>
      <w:r w:rsidDel="00000000" w:rsidR="00000000" w:rsidRPr="00000000">
        <w:rPr>
          <w:rtl w:val="0"/>
        </w:rPr>
        <w:t xml:space="preserve">rently blocked from the asset class due to sustainability mandates.</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i1k2e3mk6mq" w:id="2"/>
      <w:bookmarkEnd w:id="2"/>
      <w:r w:rsidDel="00000000" w:rsidR="00000000" w:rsidRPr="00000000">
        <w:rPr>
          <w:b w:val="1"/>
          <w:bCs w:val="1"/>
          <w:sz w:val="34"/>
          <w:szCs w:val="34"/>
          <w:rtl w:val="0"/>
        </w:rPr>
        <w:t xml:space="preserve">Global Enforcement of Sustainable Mandates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frnaqdh9vzmb" w:id="3"/>
      <w:bookmarkEnd w:id="3"/>
      <w:r w:rsidDel="00000000" w:rsidR="00000000" w:rsidRPr="00000000">
        <w:rPr>
          <w:b w:val="1"/>
          <w:bCs w:val="1"/>
          <w:color w:val="000000"/>
          <w:sz w:val="26"/>
          <w:szCs w:val="26"/>
          <w:rtl w:val="0"/>
        </w:rPr>
        <w:t xml:space="preserve">I. The $Trillion Enforcement: Quantifying Global Fiduciary Pressure</w:t>
      </w:r>
    </w:p>
    <w:p w:rsidR="00000000" w:rsidDel="00000000" w:rsidP="00000000" w:rsidRDefault="00000000" w:rsidRPr="00000000" w14:paraId="00000007">
      <w:pPr>
        <w:spacing w:after="240" w:before="240" w:lineRule="auto"/>
        <w:rPr/>
      </w:pPr>
      <w:r w:rsidDel="00000000" w:rsidR="00000000" w:rsidRPr="00000000">
        <w:rPr>
          <w:rtl w:val="0"/>
        </w:rPr>
        <w:t xml:space="preserve">The most compelling evidence of Sustainable Investing's relevance is the financial consequence of non-compliance. Global pension funds and institutional investors, bound by fiduciary duty, are actively enforcing climate and sustainability requirements through massive capital shifts.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e43mejrax1i1" w:id="4"/>
      <w:bookmarkEnd w:id="4"/>
      <w:r w:rsidDel="00000000" w:rsidR="00000000" w:rsidRPr="00000000">
        <w:rPr>
          <w:b w:val="1"/>
          <w:bCs w:val="1"/>
          <w:color w:val="000000"/>
          <w:sz w:val="22"/>
          <w:szCs w:val="22"/>
          <w:rtl w:val="0"/>
        </w:rPr>
        <w:t xml:space="preserve">High-Value Global Mandate Shifts (2025)</w:t>
      </w:r>
    </w:p>
    <w:p w:rsidR="00000000" w:rsidDel="00000000" w:rsidP="00000000" w:rsidRDefault="00000000" w:rsidRPr="00000000" w14:paraId="00000009">
      <w:pPr>
        <w:spacing w:after="240" w:before="240" w:lineRule="auto"/>
        <w:rPr/>
      </w:pPr>
      <w:r w:rsidDel="00000000" w:rsidR="00000000" w:rsidRPr="00000000">
        <w:rPr>
          <w:rtl w:val="0"/>
        </w:rPr>
        <w:t xml:space="preserve">Mandate terminations in 2025 demonstrate the global scale of this capital pressure:</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PFZW (Dutch):</w:t>
      </w:r>
      <w:r w:rsidDel="00000000" w:rsidR="00000000" w:rsidRPr="00000000">
        <w:rPr>
          <w:rtl w:val="0"/>
        </w:rPr>
        <w:t xml:space="preserve"> The Dutch fund PFZW pulled </w:t>
      </w:r>
      <w:r w:rsidDel="00000000" w:rsidR="00000000" w:rsidRPr="00000000">
        <w:rPr>
          <w:b w:val="1"/>
          <w:bCs w:val="1"/>
          <w:rtl w:val="0"/>
        </w:rPr>
        <w:t xml:space="preserve">$34 billion</w:t>
      </w:r>
      <w:r w:rsidDel="00000000" w:rsidR="00000000" w:rsidRPr="00000000">
        <w:rPr>
          <w:rtl w:val="0"/>
        </w:rPr>
        <w:t xml:space="preserve"> in mandates from major firms, including </w:t>
      </w:r>
      <w:r w:rsidDel="00000000" w:rsidR="00000000" w:rsidRPr="00000000">
        <w:rPr>
          <w:b w:val="1"/>
          <w:bCs w:val="1"/>
          <w:rtl w:val="0"/>
        </w:rPr>
        <w:t xml:space="preserve">BlackRock</w:t>
      </w:r>
      <w:r w:rsidDel="00000000" w:rsidR="00000000" w:rsidRPr="00000000">
        <w:rPr>
          <w:rtl w:val="0"/>
        </w:rPr>
        <w:t xml:space="preserve"> and </w:t>
      </w:r>
      <w:r w:rsidDel="00000000" w:rsidR="00000000" w:rsidRPr="00000000">
        <w:rPr>
          <w:b w:val="1"/>
          <w:bCs w:val="1"/>
          <w:rtl w:val="0"/>
        </w:rPr>
        <w:t xml:space="preserve">LGIM</w:t>
      </w:r>
      <w:r w:rsidDel="00000000" w:rsidR="00000000" w:rsidRPr="00000000">
        <w:rPr>
          <w:rtl w:val="0"/>
        </w:rPr>
        <w:t xml:space="preserve">, specifically to improve its Paris Alignment score.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People's Pension (UK):</w:t>
      </w:r>
      <w:r w:rsidDel="00000000" w:rsidR="00000000" w:rsidRPr="00000000">
        <w:rPr>
          <w:rtl w:val="0"/>
        </w:rPr>
        <w:t xml:space="preserve"> The UK's People's Pension reallocated over </w:t>
      </w:r>
      <w:r w:rsidDel="00000000" w:rsidR="00000000" w:rsidRPr="00000000">
        <w:rPr>
          <w:b w:val="1"/>
          <w:bCs w:val="1"/>
          <w:rtl w:val="0"/>
        </w:rPr>
        <w:t xml:space="preserve">$25 billion</w:t>
      </w:r>
      <w:r w:rsidDel="00000000" w:rsidR="00000000" w:rsidRPr="00000000">
        <w:rPr>
          <w:rtl w:val="0"/>
        </w:rPr>
        <w:t xml:space="preserve"> from </w:t>
      </w:r>
      <w:r w:rsidDel="00000000" w:rsidR="00000000" w:rsidRPr="00000000">
        <w:rPr>
          <w:b w:val="1"/>
          <w:bCs w:val="1"/>
          <w:rtl w:val="0"/>
        </w:rPr>
        <w:t xml:space="preserve">State Street</w:t>
      </w:r>
      <w:r w:rsidDel="00000000" w:rsidR="00000000" w:rsidRPr="00000000">
        <w:rPr>
          <w:rtl w:val="0"/>
        </w:rPr>
        <w:t xml:space="preserve"> after the manager failed to meet evolving sustainability and stewardship expectations.</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NYC Comptroller (U.S.):</w:t>
      </w:r>
      <w:r w:rsidDel="00000000" w:rsidR="00000000" w:rsidRPr="00000000">
        <w:rPr>
          <w:rtl w:val="0"/>
        </w:rPr>
        <w:t xml:space="preserve"> The NYC Comptroller's office recommended dropping mandates for firms managing the </w:t>
      </w:r>
      <w:r w:rsidDel="00000000" w:rsidR="00000000" w:rsidRPr="00000000">
        <w:rPr>
          <w:b w:val="1"/>
          <w:bCs w:val="1"/>
          <w:rtl w:val="0"/>
        </w:rPr>
        <w:t xml:space="preserve">$306 billion</w:t>
      </w:r>
      <w:r w:rsidDel="00000000" w:rsidR="00000000" w:rsidRPr="00000000">
        <w:rPr>
          <w:rtl w:val="0"/>
        </w:rPr>
        <w:t xml:space="preserve"> pension system, including </w:t>
      </w:r>
      <w:r w:rsidDel="00000000" w:rsidR="00000000" w:rsidRPr="00000000">
        <w:rPr>
          <w:b w:val="1"/>
          <w:bCs w:val="1"/>
          <w:rtl w:val="0"/>
        </w:rPr>
        <w:t xml:space="preserve">BlackRock, Fidelity, and PanAgora</w:t>
      </w:r>
      <w:r w:rsidDel="00000000" w:rsidR="00000000" w:rsidRPr="00000000">
        <w:rPr>
          <w:rtl w:val="0"/>
        </w:rPr>
        <w:t xml:space="preserve">, due to inadequate decarbonization plans.</w:t>
      </w:r>
    </w:p>
    <w:p w:rsidR="00000000" w:rsidDel="00000000" w:rsidP="00000000" w:rsidRDefault="00000000" w:rsidRPr="00000000" w14:paraId="0000000D">
      <w:pPr>
        <w:spacing w:after="240" w:before="240" w:lineRule="auto"/>
        <w:rPr/>
      </w:pPr>
      <w:r w:rsidDel="00000000" w:rsidR="00000000" w:rsidRPr="00000000">
        <w:rPr>
          <w:rtl w:val="0"/>
        </w:rPr>
        <w:t xml:space="preserve">These actions clearly demonstrate that sustainable requirements dictate capital flows, establishing non-negotiable factors for this global capital pool. This pressure is also being exerted on university endowments and charitable funds nationwide.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dk2sltto0q7" w:id="5"/>
      <w:bookmarkEnd w:id="5"/>
      <w:r w:rsidDel="00000000" w:rsidR="00000000" w:rsidRPr="00000000">
        <w:rPr>
          <w:b w:val="1"/>
          <w:bCs w:val="1"/>
          <w:color w:val="000000"/>
          <w:sz w:val="26"/>
          <w:szCs w:val="26"/>
          <w:rtl w:val="0"/>
        </w:rPr>
        <w:t xml:space="preserve">II. Political Headwinds and Climate Enforcement Models</w:t>
      </w:r>
    </w:p>
    <w:p w:rsidR="00000000" w:rsidDel="00000000" w:rsidP="00000000" w:rsidRDefault="00000000" w:rsidRPr="00000000" w14:paraId="0000000F">
      <w:pPr>
        <w:spacing w:after="240" w:before="240" w:lineRule="auto"/>
        <w:rPr/>
      </w:pPr>
      <w:r w:rsidDel="00000000" w:rsidR="00000000" w:rsidRPr="00000000">
        <w:rPr>
          <w:rtl w:val="0"/>
        </w:rPr>
        <w:t xml:space="preserve">The perception of a decline or "slowdown" in sustainable investing has been driven by political turbulence, which has increased caution among asset managers but is failing to stop capital flows. This external uncertainty, however, is being countered by the strengthening of local enforcement models and regulatory certainty.</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9c6pfw191mwm" w:id="6"/>
      <w:bookmarkEnd w:id="6"/>
      <w:r w:rsidDel="00000000" w:rsidR="00000000" w:rsidRPr="00000000">
        <w:rPr>
          <w:b w:val="1"/>
          <w:bCs w:val="1"/>
          <w:color w:val="000000"/>
          <w:sz w:val="22"/>
          <w:szCs w:val="22"/>
          <w:rtl w:val="0"/>
        </w:rPr>
        <w:t xml:space="preserve">Institutional Caution Meets Regulatory and Political Enforcement</w:t>
      </w:r>
    </w:p>
    <w:p w:rsidR="00000000" w:rsidDel="00000000" w:rsidP="00000000" w:rsidRDefault="00000000" w:rsidRPr="00000000" w14:paraId="00000011">
      <w:pPr>
        <w:spacing w:after="240" w:before="240" w:lineRule="auto"/>
        <w:rPr/>
      </w:pPr>
      <w:r w:rsidDel="00000000" w:rsidR="00000000" w:rsidRPr="00000000">
        <w:rPr>
          <w:rtl w:val="0"/>
        </w:rPr>
        <w:t xml:space="preserve">Major asset managers acknowledge that this political turbulence is their top concern:</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However, respondents in this year’s survey were also more likely to highlight concerns regarding sustainable investing than in 2024... Investors ranked data availability, fluctuating regulatory guidance and an </w:t>
      </w:r>
      <w:r w:rsidDel="00000000" w:rsidR="00000000" w:rsidRPr="00000000">
        <w:rPr>
          <w:b w:val="1"/>
          <w:bCs w:val="1"/>
          <w:rtl w:val="0"/>
        </w:rPr>
        <w:t xml:space="preserve">uncertain political environment</w:t>
      </w:r>
      <w:r w:rsidDel="00000000" w:rsidR="00000000" w:rsidRPr="00000000">
        <w:rPr>
          <w:rtl w:val="0"/>
        </w:rPr>
        <w:t xml:space="preserve"> as their most significant concerns. (</w:t>
      </w:r>
      <w:r w:rsidDel="00000000" w:rsidR="00000000" w:rsidRPr="00000000">
        <w:rPr>
          <w:i w:val="1"/>
          <w:iCs w:val="1"/>
          <w:rtl w:val="0"/>
        </w:rPr>
        <w:t xml:space="preserve">Source: Morgan Stanley Sustainable Signals Report 2025</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This friction is precisely where compliance-driven products find their mandate:</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Blue Capital Stack (U.S. Focus)</w:t>
      </w:r>
      <w:r w:rsidDel="00000000" w:rsidR="00000000" w:rsidRPr="00000000">
        <w:rPr>
          <w:rtl w:val="0"/>
        </w:rPr>
        <w:t xml:space="preserve">: This term refers to large, politically and reputationally sensitive pools of money, which form a national stack totaling over $2.1 trillion in the top state pension systems alone. Examples include the California Public Employees' Retirement System (CalPERS, ~$542 billion), the New York State Common Retirement Fund ($275 billion), and the NYC pension system. The victory of Zohran Mamdani in the 2025 New York City mayoral race reinforced this model, placing a progressive leader at the helm to directly demand higher climate performance from asset managers across this sector.</w:t>
      </w:r>
      <w:r w:rsidDel="00000000" w:rsidR="00000000" w:rsidRPr="00000000">
        <w:rPr>
          <w:rtl w:val="0"/>
        </w:rPr>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EU Regulatory Hardening:</w:t>
      </w:r>
      <w:r w:rsidDel="00000000" w:rsidR="00000000" w:rsidRPr="00000000">
        <w:rPr>
          <w:rtl w:val="0"/>
        </w:rPr>
        <w:t xml:space="preserve"> European political shifts in 2025 indicate a renewed focus on reinforcing the Net Zero transition through industrial policy. Furthermore, EU regulatory frameworks, such as the European Green Bonds Regulation and the ESMA Common Supervisory Action, continue to be implemented. These measures are designed to eliminate "greenwashing" by imposing mandatory compliance, creating an environment where only high-compliance, transparent sustainable products can attract mandated capital.</w:t>
      </w:r>
    </w:p>
    <w:p w:rsidR="00000000" w:rsidDel="00000000" w:rsidP="00000000" w:rsidRDefault="00000000" w:rsidRPr="00000000" w14:paraId="00000016">
      <w:pPr>
        <w:spacing w:after="240" w:before="240" w:lineRule="auto"/>
        <w:rPr/>
      </w:pPr>
      <w:r w:rsidDel="00000000" w:rsidR="00000000" w:rsidRPr="00000000">
        <w:rPr>
          <w:rtl w:val="0"/>
        </w:rPr>
        <w:t xml:space="preserve">The evidence suggests that while political volatility creates market noise, the fundamental drivers - fiduciary mandates, legal requirements, and the political will in the major financial hubs, remain firmly focused on sustainable outcomes.</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f3i3orj6llrv" w:id="7"/>
      <w:bookmarkEnd w:id="7"/>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mog92prrvvfi" w:id="8"/>
      <w:bookmarkEnd w:id="8"/>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ol5wkw1yjnc9" w:id="9"/>
      <w:bookmarkEnd w:id="9"/>
      <w:r w:rsidDel="00000000" w:rsidR="00000000" w:rsidRPr="00000000">
        <w:rPr>
          <w:b w:val="1"/>
          <w:bCs w:val="1"/>
          <w:sz w:val="34"/>
          <w:szCs w:val="34"/>
          <w:rtl w:val="0"/>
        </w:rPr>
        <w:t xml:space="preserve">The Clean Energy Bitcoin Trust: A Catalyst for Inflows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5v50bamzc77o" w:id="10"/>
      <w:bookmarkEnd w:id="10"/>
      <w:r w:rsidDel="00000000" w:rsidR="00000000" w:rsidRPr="00000000">
        <w:rPr>
          <w:b w:val="1"/>
          <w:bCs w:val="1"/>
          <w:color w:val="000000"/>
          <w:sz w:val="26"/>
          <w:szCs w:val="26"/>
          <w:rtl w:val="0"/>
        </w:rPr>
        <w:t xml:space="preserve">III. Bridging Disruptive Technology and Sustainable Capital</w:t>
      </w:r>
    </w:p>
    <w:p w:rsidR="00000000" w:rsidDel="00000000" w:rsidP="00000000" w:rsidRDefault="00000000" w:rsidRPr="00000000" w14:paraId="0000001C">
      <w:pPr>
        <w:spacing w:after="240" w:before="240" w:lineRule="auto"/>
        <w:rPr/>
      </w:pPr>
      <w:r w:rsidDel="00000000" w:rsidR="00000000" w:rsidRPr="00000000">
        <w:rPr>
          <w:rtl w:val="0"/>
        </w:rPr>
        <w:t xml:space="preserve">A</w:t>
      </w:r>
      <w:r w:rsidDel="00000000" w:rsidR="00000000" w:rsidRPr="00000000">
        <w:rPr>
          <w:rtl w:val="0"/>
        </w:rPr>
        <w:t xml:space="preserve"> core obstacle preventing large-scale institutional inflows into Bitcoin is its perceived energy footprint. The regulatory and political backdrop, combined with strict sustainability mandates, is creating a massive barrier, blocking the potential for hundreds of billions of dollars from entering the digital asset space.</w:t>
      </w:r>
    </w:p>
    <w:p w:rsidR="00000000" w:rsidDel="00000000" w:rsidP="00000000" w:rsidRDefault="00000000" w:rsidRPr="00000000" w14:paraId="0000001D">
      <w:pPr>
        <w:spacing w:after="240" w:before="240" w:lineRule="auto"/>
        <w:rPr/>
      </w:pPr>
      <w:r w:rsidDel="00000000" w:rsidR="00000000" w:rsidRPr="00000000">
        <w:rPr>
          <w:rtl w:val="0"/>
        </w:rPr>
        <w:t xml:space="preserve">A </w:t>
      </w:r>
      <w:r w:rsidDel="00000000" w:rsidR="00000000" w:rsidRPr="00000000">
        <w:rPr>
          <w:b w:val="1"/>
          <w:bCs w:val="1"/>
          <w:rtl w:val="0"/>
        </w:rPr>
        <w:t xml:space="preserve">Clean Energy Bitcoin Trust</w:t>
      </w:r>
      <w:r w:rsidDel="00000000" w:rsidR="00000000" w:rsidRPr="00000000">
        <w:rPr>
          <w:rtl w:val="0"/>
        </w:rPr>
        <w:t xml:space="preserve"> is positioned as the key financial innovation required to resolve this conflict and unlock institutional sustainable capital. By structuring a product that invests exclusively in Bitcoin that has a verifiable renewable energy layer, the issuer transforms the asset class from a fiduciary risk into a </w:t>
      </w:r>
      <w:r w:rsidDel="00000000" w:rsidR="00000000" w:rsidRPr="00000000">
        <w:rPr>
          <w:rtl w:val="0"/>
        </w:rPr>
        <w:t xml:space="preserve">fiduciary solution</w:t>
      </w:r>
      <w:r w:rsidDel="00000000" w:rsidR="00000000" w:rsidRPr="00000000">
        <w:rPr>
          <w:rtl w:val="0"/>
        </w:rPr>
        <w:t xml:space="preserv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ja2ppyomze5" w:id="11"/>
      <w:bookmarkEnd w:id="11"/>
      <w:r w:rsidDel="00000000" w:rsidR="00000000" w:rsidRPr="00000000">
        <w:rPr>
          <w:b w:val="1"/>
          <w:bCs w:val="1"/>
          <w:color w:val="000000"/>
          <w:sz w:val="26"/>
          <w:szCs w:val="26"/>
          <w:rtl w:val="0"/>
        </w:rPr>
        <w:t xml:space="preserve">IV. The Investment Thesis: The First-Mover Advantage</w:t>
      </w:r>
    </w:p>
    <w:p w:rsidR="00000000" w:rsidDel="00000000" w:rsidP="00000000" w:rsidRDefault="00000000" w:rsidRPr="00000000" w14:paraId="0000001F">
      <w:pPr>
        <w:spacing w:after="240" w:before="240" w:lineRule="auto"/>
        <w:rPr/>
      </w:pPr>
      <w:r w:rsidDel="00000000" w:rsidR="00000000" w:rsidRPr="00000000">
        <w:rPr>
          <w:rtl w:val="0"/>
        </w:rPr>
        <w:t xml:space="preserve">Launching a </w:t>
      </w:r>
      <w:r w:rsidDel="00000000" w:rsidR="00000000" w:rsidRPr="00000000">
        <w:rPr>
          <w:rtl w:val="0"/>
        </w:rPr>
        <w:t xml:space="preserve">Clean Energy Bitcoin Trust offers a unique opportunity to capture First-Mover Advantage</w:t>
      </w:r>
      <w:r w:rsidDel="00000000" w:rsidR="00000000" w:rsidRPr="00000000">
        <w:rPr>
          <w:rtl w:val="0"/>
        </w:rPr>
        <w:t xml:space="preserve"> by establishing the issuer as the leader at the intersection of Finance, Technology, and Climate.</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uyf1qvkc3s4" w:id="12"/>
      <w:bookmarkEnd w:id="12"/>
      <w:r w:rsidDel="00000000" w:rsidR="00000000" w:rsidRPr="00000000">
        <w:rPr>
          <w:b w:val="1"/>
          <w:bCs w:val="1"/>
          <w:color w:val="000000"/>
          <w:sz w:val="22"/>
          <w:szCs w:val="22"/>
          <w:rtl w:val="0"/>
        </w:rPr>
        <w:t xml:space="preserve">1. Diversifying Product Range and Investor Appeal</w:t>
      </w:r>
    </w:p>
    <w:p w:rsidR="00000000" w:rsidDel="00000000" w:rsidP="00000000" w:rsidRDefault="00000000" w:rsidRPr="00000000" w14:paraId="00000021">
      <w:pPr>
        <w:spacing w:after="240" w:before="240" w:lineRule="auto"/>
        <w:rPr/>
      </w:pPr>
      <w:r w:rsidDel="00000000" w:rsidR="00000000" w:rsidRPr="00000000">
        <w:rPr>
          <w:rtl w:val="0"/>
        </w:rPr>
        <w:t xml:space="preserve">This product immediately solves three strategic challenges for the issuer:</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bCs w:val="1"/>
          <w:rtl w:val="0"/>
        </w:rPr>
        <w:t xml:space="preserve">Diversification:</w:t>
      </w:r>
      <w:r w:rsidDel="00000000" w:rsidR="00000000" w:rsidRPr="00000000">
        <w:rPr>
          <w:rtl w:val="0"/>
        </w:rPr>
        <w:t xml:space="preserve"> It broadens the Bitcoin product line beyond traditional spot Bitcoin ETFs into a new category of Climate-Aligned Digital Asset Products.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Unlocking Blocked AUM:</w:t>
      </w:r>
      <w:r w:rsidDel="00000000" w:rsidR="00000000" w:rsidRPr="00000000">
        <w:rPr>
          <w:rtl w:val="0"/>
        </w:rPr>
        <w:t xml:space="preserve"> It provides a necessary compliance vehicle for Blue Capital funds, enabling them to gain exposure to the asset class without violating climate mandates. The product's focus on Energy Independence and Infrastructure Resilience also mitigates political risk and broadens appeal.</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Repositioning the Industry:</w:t>
      </w:r>
      <w:r w:rsidDel="00000000" w:rsidR="00000000" w:rsidRPr="00000000">
        <w:rPr>
          <w:rtl w:val="0"/>
        </w:rPr>
        <w:t xml:space="preserve"> It provides a compelling narrative that the digital asset industry is a solution to the energy transition, not just a liability.</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9kub1kip6st1" w:id="13"/>
      <w:bookmarkEnd w:id="13"/>
      <w:r w:rsidDel="00000000" w:rsidR="00000000" w:rsidRPr="00000000">
        <w:rPr>
          <w:b w:val="1"/>
          <w:bCs w:val="1"/>
          <w:color w:val="000000"/>
          <w:sz w:val="22"/>
          <w:szCs w:val="22"/>
          <w:rtl w:val="0"/>
        </w:rPr>
        <w:t xml:space="preserve">2. Quantifying Untapped Potential</w:t>
      </w:r>
    </w:p>
    <w:p w:rsidR="00000000" w:rsidDel="00000000" w:rsidP="00000000" w:rsidRDefault="00000000" w:rsidRPr="00000000" w14:paraId="00000026">
      <w:pPr>
        <w:spacing w:after="240" w:before="240" w:lineRule="auto"/>
        <w:rPr/>
      </w:pPr>
      <w:r w:rsidDel="00000000" w:rsidR="00000000" w:rsidRPr="00000000">
        <w:rPr>
          <w:rtl w:val="0"/>
        </w:rPr>
        <w:t xml:space="preserve">The mandate enforcement data offers a strong basis for the product's potential scale:</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Targeting the Addressable Market:</w:t>
      </w:r>
      <w:r w:rsidDel="00000000" w:rsidR="00000000" w:rsidRPr="00000000">
        <w:rPr>
          <w:rtl w:val="0"/>
        </w:rPr>
        <w:t xml:space="preserve"> The total $2.1 trillion overseen by the top U.S. state pensions alone, plus the hundreds of billions held by major university endowments, represents the immediate target for compliance-driven capital.</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First-Mover Capture:</w:t>
      </w:r>
      <w:r w:rsidDel="00000000" w:rsidR="00000000" w:rsidRPr="00000000">
        <w:rPr>
          <w:rtl w:val="0"/>
        </w:rPr>
        <w:t xml:space="preserve"> Being the first to market with a fully compliant, auditable, climate-aligned Bitcoin product will allow the issuer to capture this untapped segment, positioning them to receive the lion's share of inflows from major, mandated institutions that prioritize fiduciary compliance.</w:t>
      </w:r>
    </w:p>
    <w:p w:rsidR="00000000" w:rsidDel="00000000" w:rsidP="00000000" w:rsidRDefault="00000000" w:rsidRPr="00000000" w14:paraId="00000029">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Conclusion</w:t>
      </w:r>
    </w:p>
    <w:p w:rsidR="00000000" w:rsidDel="00000000" w:rsidP="00000000" w:rsidRDefault="00000000" w:rsidRPr="00000000" w14:paraId="0000002A">
      <w:pPr>
        <w:spacing w:after="240" w:before="240" w:lineRule="auto"/>
        <w:rPr/>
      </w:pPr>
      <w:r w:rsidDel="00000000" w:rsidR="00000000" w:rsidRPr="00000000">
        <w:rPr>
          <w:rtl w:val="0"/>
        </w:rPr>
        <w:t xml:space="preserve">Sustainable Investing is firmly established as a non-negotiable institutional and regulatory </w:t>
      </w:r>
      <w:r w:rsidDel="00000000" w:rsidR="00000000" w:rsidRPr="00000000">
        <w:rPr>
          <w:rtl w:val="0"/>
        </w:rPr>
        <w:t xml:space="preserve">mandate. An ETF issuer that acts now to launch a Clean Energy Bitcoin Trust will secure a First-Mover Advantage to successfully diversify their product line, expand their appeal to a broader investor base, and capture new capital flows currently blocked by sustainability rules, establishing them as a leader in the next generation of financial products.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