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cv4tmtqq6i8" w:id="0"/>
      <w:bookmarkEnd w:id="0"/>
      <w:r w:rsidDel="00000000" w:rsidR="00000000" w:rsidRPr="00000000">
        <w:rPr>
          <w:b w:val="1"/>
          <w:bCs w:val="1"/>
          <w:color w:val="000000"/>
          <w:sz w:val="26"/>
          <w:szCs w:val="26"/>
        </w:rPr>
        <w:drawing>
          <wp:inline distB="114300" distT="114300" distL="114300" distR="114300">
            <wp:extent cx="1213956" cy="3889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13956" cy="388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0"/>
          <w:szCs w:val="20"/>
        </w:rPr>
      </w:pPr>
      <w:bookmarkStart w:colFirst="0" w:colLast="0" w:name="_mavaid2zw66q" w:id="1"/>
      <w:bookmarkEnd w:id="1"/>
      <w:r w:rsidDel="00000000" w:rsidR="00000000" w:rsidRPr="00000000">
        <w:rPr>
          <w:b w:val="1"/>
          <w:bCs w:val="1"/>
          <w:color w:val="000000"/>
          <w:sz w:val="20"/>
          <w:szCs w:val="20"/>
          <w:rtl w:val="0"/>
        </w:rPr>
        <w:t xml:space="preserve">The Natural Pricing of SBP: Anchored to the REC Market                 </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Sustainable Bitcoin Protocol Token (SBP) is a groundbreaking environmental commodity specifically designed to align Bitcoin mining with the global clean energy transition. SBPs drive positive environmental impact in Bitcoin mining by ensuring miners have a financial mechanism to match their energy consumption with clean energy instruments like Renewable Energy Certificates (RECs). This approach bridges Bitcoin mining with the $12.5 billion U.S. voluntary REC market, providing a scalable path to climate-positive Bitcoin.  </w:t>
      </w:r>
    </w:p>
    <w:p w:rsidR="00000000" w:rsidDel="00000000" w:rsidP="00000000" w:rsidRDefault="00000000" w:rsidRPr="00000000" w14:paraId="0000000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0"/>
          <w:szCs w:val="20"/>
        </w:rPr>
      </w:pPr>
      <w:bookmarkStart w:colFirst="0" w:colLast="0" w:name="_kudwugv91mwq" w:id="2"/>
      <w:bookmarkEnd w:id="2"/>
      <w:r w:rsidDel="00000000" w:rsidR="00000000" w:rsidRPr="00000000">
        <w:rPr>
          <w:b w:val="1"/>
          <w:bCs w:val="1"/>
          <w:color w:val="000000"/>
          <w:sz w:val="20"/>
          <w:szCs w:val="20"/>
          <w:rtl w:val="0"/>
        </w:rPr>
        <w:t xml:space="preserve">How the SBP Price is Derived:</w:t>
      </w:r>
    </w:p>
    <w:p w:rsidR="00000000" w:rsidDel="00000000" w:rsidP="00000000" w:rsidRDefault="00000000" w:rsidRPr="00000000" w14:paraId="00000006">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Energy Consumption Per Bitcoin:</w:t>
        <w:br w:type="textWrapping"/>
      </w:r>
      <w:r w:rsidDel="00000000" w:rsidR="00000000" w:rsidRPr="00000000">
        <w:rPr>
          <w:sz w:val="20"/>
          <w:szCs w:val="20"/>
          <w:rtl w:val="0"/>
        </w:rPr>
        <w:t xml:space="preserve">The Bitcoin network’s current </w:t>
      </w:r>
      <w:r w:rsidDel="00000000" w:rsidR="00000000" w:rsidRPr="00000000">
        <w:rPr>
          <w:b w:val="1"/>
          <w:bCs w:val="1"/>
          <w:sz w:val="20"/>
          <w:szCs w:val="20"/>
          <w:rtl w:val="0"/>
        </w:rPr>
        <w:t xml:space="preserve">daily energy consumption per mined Bitcoin</w:t>
      </w:r>
      <w:r w:rsidDel="00000000" w:rsidR="00000000" w:rsidRPr="00000000">
        <w:rPr>
          <w:sz w:val="20"/>
          <w:szCs w:val="20"/>
          <w:rtl w:val="0"/>
        </w:rPr>
        <w:t xml:space="preserve"> serves as the baseline metric. This figure is updated </w:t>
      </w:r>
      <w:r w:rsidDel="00000000" w:rsidR="00000000" w:rsidRPr="00000000">
        <w:rPr>
          <w:b w:val="1"/>
          <w:bCs w:val="1"/>
          <w:sz w:val="20"/>
          <w:szCs w:val="20"/>
          <w:rtl w:val="0"/>
        </w:rPr>
        <w:t xml:space="preserve">every 24 hours</w:t>
      </w:r>
      <w:r w:rsidDel="00000000" w:rsidR="00000000" w:rsidRPr="00000000">
        <w:rPr>
          <w:sz w:val="20"/>
          <w:szCs w:val="20"/>
          <w:rtl w:val="0"/>
        </w:rPr>
        <w:t xml:space="preserve">, reflecting the network’s real-time energy use.</w:t>
      </w:r>
    </w:p>
    <w:p w:rsidR="00000000" w:rsidDel="00000000" w:rsidP="00000000" w:rsidRDefault="00000000" w:rsidRPr="00000000" w14:paraId="00000007">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Example (Today): If the network requires </w:t>
      </w:r>
      <w:r w:rsidDel="00000000" w:rsidR="00000000" w:rsidRPr="00000000">
        <w:rPr>
          <w:b w:val="1"/>
          <w:bCs w:val="1"/>
          <w:sz w:val="20"/>
          <w:szCs w:val="20"/>
          <w:rtl w:val="0"/>
        </w:rPr>
        <w:t xml:space="preserve">1,000 MWh per Bitcoin</w:t>
      </w:r>
      <w:r w:rsidDel="00000000" w:rsidR="00000000" w:rsidRPr="00000000">
        <w:rPr>
          <w:sz w:val="20"/>
          <w:szCs w:val="20"/>
          <w:rtl w:val="0"/>
        </w:rPr>
        <w:t xml:space="preserve">, the SBP price is derived from this figure.</w:t>
      </w:r>
    </w:p>
    <w:p w:rsidR="00000000" w:rsidDel="00000000" w:rsidP="00000000" w:rsidRDefault="00000000" w:rsidRPr="00000000" w14:paraId="00000008">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Future Example: If six months from now, the network’s energy consumption rises to </w:t>
      </w:r>
      <w:r w:rsidDel="00000000" w:rsidR="00000000" w:rsidRPr="00000000">
        <w:rPr>
          <w:b w:val="1"/>
          <w:bCs w:val="1"/>
          <w:sz w:val="20"/>
          <w:szCs w:val="20"/>
          <w:rtl w:val="0"/>
        </w:rPr>
        <w:t xml:space="preserve">1,500 MWh per Bitcoin</w:t>
      </w:r>
      <w:r w:rsidDel="00000000" w:rsidR="00000000" w:rsidRPr="00000000">
        <w:rPr>
          <w:sz w:val="20"/>
          <w:szCs w:val="20"/>
          <w:rtl w:val="0"/>
        </w:rPr>
        <w:t xml:space="preserve">, the SBP price adjusts accordingly, ensuring it remains reflective of real-time conditions.</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Cost of High-Quality RECs:</w:t>
        <w:br w:type="textWrapping"/>
      </w:r>
      <w:r w:rsidDel="00000000" w:rsidR="00000000" w:rsidRPr="00000000">
        <w:rPr>
          <w:sz w:val="20"/>
          <w:szCs w:val="20"/>
          <w:rtl w:val="0"/>
        </w:rPr>
        <w:t xml:space="preserve">High-quality RECs, such as Green-e certified credits, are used as the benchmark for clean energy costs. These typically range up to </w:t>
      </w:r>
      <w:r w:rsidDel="00000000" w:rsidR="00000000" w:rsidRPr="00000000">
        <w:rPr>
          <w:b w:val="1"/>
          <w:bCs w:val="1"/>
          <w:sz w:val="20"/>
          <w:szCs w:val="20"/>
          <w:rtl w:val="0"/>
        </w:rPr>
        <w:t xml:space="preserve">$3 per MWh</w:t>
      </w:r>
      <w:r w:rsidDel="00000000" w:rsidR="00000000" w:rsidRPr="00000000">
        <w:rPr>
          <w:sz w:val="20"/>
          <w:szCs w:val="20"/>
          <w:rtl w:val="0"/>
        </w:rPr>
        <w:t xml:space="preserve"> for the highest quality options.</w:t>
      </w:r>
    </w:p>
    <w:p w:rsidR="00000000" w:rsidDel="00000000" w:rsidP="00000000" w:rsidRDefault="00000000" w:rsidRPr="00000000" w14:paraId="0000000A">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Formula for SBP Price:</w:t>
        <w:br w:type="textWrapping"/>
      </w:r>
      <w:r w:rsidDel="00000000" w:rsidR="00000000" w:rsidRPr="00000000">
        <w:rPr>
          <w:sz w:val="20"/>
          <w:szCs w:val="20"/>
          <w:rtl w:val="0"/>
        </w:rPr>
        <w:t xml:space="preserve">SBP</w:t>
      </w:r>
      <w:r w:rsidDel="00000000" w:rsidR="00000000" w:rsidRPr="00000000">
        <w:rPr>
          <w:sz w:val="20"/>
          <w:szCs w:val="20"/>
          <w:rtl w:val="0"/>
        </w:rPr>
        <w:t xml:space="preserve"> price = </w:t>
      </w:r>
      <w:r w:rsidDel="00000000" w:rsidR="00000000" w:rsidRPr="00000000">
        <w:rPr>
          <w:i w:val="1"/>
          <w:iCs w:val="1"/>
          <w:sz w:val="20"/>
          <w:szCs w:val="20"/>
          <w:rtl w:val="0"/>
        </w:rPr>
        <w:t xml:space="preserve">(BTC network’s energy consumption per Bitcoin) × (cost per MWh for RECs)</w:t>
      </w:r>
    </w:p>
    <w:p w:rsidR="00000000" w:rsidDel="00000000" w:rsidP="00000000" w:rsidRDefault="00000000" w:rsidRPr="00000000" w14:paraId="0000000B">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Using </w:t>
      </w:r>
      <w:r w:rsidDel="00000000" w:rsidR="00000000" w:rsidRPr="00000000">
        <w:rPr>
          <w:b w:val="1"/>
          <w:bCs w:val="1"/>
          <w:sz w:val="20"/>
          <w:szCs w:val="20"/>
          <w:rtl w:val="0"/>
        </w:rPr>
        <w:t xml:space="preserve">1,000 MWh at $3 per MWh</w:t>
      </w:r>
      <w:r w:rsidDel="00000000" w:rsidR="00000000" w:rsidRPr="00000000">
        <w:rPr>
          <w:sz w:val="20"/>
          <w:szCs w:val="20"/>
          <w:rtl w:val="0"/>
        </w:rPr>
        <w:t xml:space="preserve">, the SBP price is </w:t>
      </w:r>
      <w:r w:rsidDel="00000000" w:rsidR="00000000" w:rsidRPr="00000000">
        <w:rPr>
          <w:b w:val="1"/>
          <w:bCs w:val="1"/>
          <w:sz w:val="20"/>
          <w:szCs w:val="20"/>
          <w:rtl w:val="0"/>
        </w:rPr>
        <w:t xml:space="preserve">$3,000</w:t>
      </w:r>
      <w:r w:rsidDel="00000000" w:rsidR="00000000" w:rsidRPr="00000000">
        <w:rPr>
          <w:sz w:val="20"/>
          <w:szCs w:val="20"/>
          <w:rtl w:val="0"/>
        </w:rPr>
        <w:t xml:space="preserve">.</w:t>
      </w:r>
    </w:p>
    <w:p w:rsidR="00000000" w:rsidDel="00000000" w:rsidP="00000000" w:rsidRDefault="00000000" w:rsidRPr="00000000" w14:paraId="0000000C">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If the network’s energy consumption rises to </w:t>
      </w:r>
      <w:r w:rsidDel="00000000" w:rsidR="00000000" w:rsidRPr="00000000">
        <w:rPr>
          <w:b w:val="1"/>
          <w:bCs w:val="1"/>
          <w:sz w:val="20"/>
          <w:szCs w:val="20"/>
          <w:rtl w:val="0"/>
        </w:rPr>
        <w:t xml:space="preserve">1,500 MWh per Bitcoin</w:t>
      </w:r>
      <w:r w:rsidDel="00000000" w:rsidR="00000000" w:rsidRPr="00000000">
        <w:rPr>
          <w:sz w:val="20"/>
          <w:szCs w:val="20"/>
          <w:rtl w:val="0"/>
        </w:rPr>
        <w:t xml:space="preserve">, the SBP price adjusts to </w:t>
      </w:r>
      <w:r w:rsidDel="00000000" w:rsidR="00000000" w:rsidRPr="00000000">
        <w:rPr>
          <w:b w:val="1"/>
          <w:bCs w:val="1"/>
          <w:sz w:val="20"/>
          <w:szCs w:val="20"/>
          <w:rtl w:val="0"/>
        </w:rPr>
        <w:t xml:space="preserve">$4,500</w:t>
      </w:r>
      <w:r w:rsidDel="00000000" w:rsidR="00000000" w:rsidRPr="00000000">
        <w:rPr>
          <w:sz w:val="20"/>
          <w:szCs w:val="20"/>
          <w:rtl w:val="0"/>
        </w:rPr>
        <w:t xml:space="preserve">.</w:t>
      </w:r>
    </w:p>
    <w:p w:rsidR="00000000" w:rsidDel="00000000" w:rsidP="00000000" w:rsidRDefault="00000000" w:rsidRPr="00000000" w14:paraId="0000000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0"/>
          <w:szCs w:val="20"/>
        </w:rPr>
      </w:pPr>
      <w:bookmarkStart w:colFirst="0" w:colLast="0" w:name="_v5hjtlnrf1ci" w:id="3"/>
      <w:bookmarkEnd w:id="3"/>
      <w:r w:rsidDel="00000000" w:rsidR="00000000" w:rsidRPr="00000000">
        <w:rPr>
          <w:b w:val="1"/>
          <w:bCs w:val="1"/>
          <w:color w:val="000000"/>
          <w:sz w:val="20"/>
          <w:szCs w:val="20"/>
          <w:rtl w:val="0"/>
        </w:rPr>
        <w:t xml:space="preserve">Investor Upside Potential:</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Investors who purchase SBPs at current energy consumption levels benefit from </w:t>
      </w:r>
      <w:r w:rsidDel="00000000" w:rsidR="00000000" w:rsidRPr="00000000">
        <w:rPr>
          <w:b w:val="1"/>
          <w:bCs w:val="1"/>
          <w:sz w:val="20"/>
          <w:szCs w:val="20"/>
          <w:rtl w:val="0"/>
        </w:rPr>
        <w:t xml:space="preserve">upward price appreciation</w:t>
      </w:r>
      <w:r w:rsidDel="00000000" w:rsidR="00000000" w:rsidRPr="00000000">
        <w:rPr>
          <w:sz w:val="20"/>
          <w:szCs w:val="20"/>
          <w:rtl w:val="0"/>
        </w:rPr>
        <w:t xml:space="preserve"> as the Bitcoin network's energy consumption grows. For example:</w:t>
      </w:r>
    </w:p>
    <w:p w:rsidR="00000000" w:rsidDel="00000000" w:rsidP="00000000" w:rsidRDefault="00000000" w:rsidRPr="00000000" w14:paraId="0000001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An SBP purchased today at </w:t>
      </w:r>
      <w:r w:rsidDel="00000000" w:rsidR="00000000" w:rsidRPr="00000000">
        <w:rPr>
          <w:b w:val="1"/>
          <w:bCs w:val="1"/>
          <w:sz w:val="20"/>
          <w:szCs w:val="20"/>
          <w:rtl w:val="0"/>
        </w:rPr>
        <w:t xml:space="preserve">$3,000</w:t>
      </w:r>
      <w:r w:rsidDel="00000000" w:rsidR="00000000" w:rsidRPr="00000000">
        <w:rPr>
          <w:sz w:val="20"/>
          <w:szCs w:val="20"/>
          <w:rtl w:val="0"/>
        </w:rPr>
        <w:t xml:space="preserve"> (based on 1,000 MWh per Bitcoin) could appreciate to </w:t>
      </w:r>
      <w:r w:rsidDel="00000000" w:rsidR="00000000" w:rsidRPr="00000000">
        <w:rPr>
          <w:b w:val="1"/>
          <w:bCs w:val="1"/>
          <w:sz w:val="20"/>
          <w:szCs w:val="20"/>
          <w:rtl w:val="0"/>
        </w:rPr>
        <w:t xml:space="preserve">$4,500</w:t>
      </w:r>
      <w:r w:rsidDel="00000000" w:rsidR="00000000" w:rsidRPr="00000000">
        <w:rPr>
          <w:sz w:val="20"/>
          <w:szCs w:val="20"/>
          <w:rtl w:val="0"/>
        </w:rPr>
        <w:t xml:space="preserve"> if the network’s energy consumption increases to </w:t>
      </w:r>
      <w:r w:rsidDel="00000000" w:rsidR="00000000" w:rsidRPr="00000000">
        <w:rPr>
          <w:b w:val="1"/>
          <w:bCs w:val="1"/>
          <w:sz w:val="20"/>
          <w:szCs w:val="20"/>
          <w:rtl w:val="0"/>
        </w:rPr>
        <w:t xml:space="preserve">1,500 MWh per Bitcoin</w:t>
      </w:r>
      <w:r w:rsidDel="00000000" w:rsidR="00000000" w:rsidRPr="00000000">
        <w:rPr>
          <w:sz w:val="20"/>
          <w:szCs w:val="20"/>
          <w:rtl w:val="0"/>
        </w:rPr>
        <w:t xml:space="preserve"> in the future.</w:t>
      </w:r>
    </w:p>
    <w:p w:rsidR="00000000" w:rsidDel="00000000" w:rsidP="00000000" w:rsidRDefault="00000000" w:rsidRPr="00000000" w14:paraId="00000011">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This price dynamic ensures that early SBP holders capitalize on the growing demand for clean energy instruments in Bitcoin mining.</w:t>
      </w:r>
    </w:p>
    <w:p w:rsidR="00000000" w:rsidDel="00000000" w:rsidP="00000000" w:rsidRDefault="00000000" w:rsidRPr="00000000" w14:paraId="000000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0"/>
          <w:szCs w:val="20"/>
        </w:rPr>
      </w:pPr>
      <w:bookmarkStart w:colFirst="0" w:colLast="0" w:name="_j40n8gx0ra4u" w:id="4"/>
      <w:bookmarkEnd w:id="4"/>
      <w:r w:rsidDel="00000000" w:rsidR="00000000" w:rsidRPr="00000000">
        <w:rPr>
          <w:b w:val="1"/>
          <w:bCs w:val="1"/>
          <w:color w:val="000000"/>
          <w:sz w:val="20"/>
          <w:szCs w:val="20"/>
          <w:rtl w:val="0"/>
        </w:rPr>
        <w:t xml:space="preserve">The Role of SBP Pricing:</w:t>
      </w:r>
    </w:p>
    <w:p w:rsidR="00000000" w:rsidDel="00000000" w:rsidP="00000000" w:rsidRDefault="00000000" w:rsidRPr="00000000" w14:paraId="00000014">
      <w:pPr>
        <w:numPr>
          <w:ilvl w:val="0"/>
          <w:numId w:val="4"/>
        </w:numPr>
        <w:spacing w:after="240" w:before="240" w:lineRule="auto"/>
        <w:ind w:left="720" w:hanging="360"/>
        <w:rPr>
          <w:sz w:val="20"/>
          <w:szCs w:val="20"/>
        </w:rPr>
      </w:pPr>
      <w:r w:rsidDel="00000000" w:rsidR="00000000" w:rsidRPr="00000000">
        <w:rPr>
          <w:b w:val="1"/>
          <w:bCs w:val="1"/>
          <w:sz w:val="20"/>
          <w:szCs w:val="20"/>
          <w:rtl w:val="0"/>
        </w:rPr>
        <w:t xml:space="preserve">Covers Miner Costs:</w:t>
        <w:br w:type="textWrapping"/>
      </w:r>
      <w:r w:rsidDel="00000000" w:rsidR="00000000" w:rsidRPr="00000000">
        <w:rPr>
          <w:sz w:val="20"/>
          <w:szCs w:val="20"/>
          <w:rtl w:val="0"/>
        </w:rPr>
        <w:t xml:space="preserve">The SBP price ensures miners can fully offset their energy usage with high-quality clean energy purchases. This includes both RECs and other clean energy instruments. By purchasing SBPs, climate-focused investors enable miners to pass through these costs, making it financially viable for miners to operate sustainably without compromising profitability.</w:t>
      </w:r>
    </w:p>
    <w:p w:rsidR="00000000" w:rsidDel="00000000" w:rsidP="00000000" w:rsidRDefault="00000000" w:rsidRPr="00000000" w14:paraId="00000015">
      <w:pPr>
        <w:numPr>
          <w:ilvl w:val="0"/>
          <w:numId w:val="4"/>
        </w:numPr>
        <w:spacing w:after="0" w:before="240" w:line="276" w:lineRule="auto"/>
        <w:ind w:left="720" w:hanging="360"/>
        <w:rPr>
          <w:sz w:val="20"/>
          <w:szCs w:val="20"/>
        </w:rPr>
      </w:pPr>
      <w:r w:rsidDel="00000000" w:rsidR="00000000" w:rsidRPr="00000000">
        <w:rPr>
          <w:b w:val="1"/>
          <w:bCs w:val="1"/>
          <w:sz w:val="20"/>
          <w:szCs w:val="20"/>
          <w:rtl w:val="0"/>
        </w:rPr>
        <w:t xml:space="preserve">The First Appreciating Environmental Asset:</w:t>
      </w:r>
    </w:p>
    <w:p w:rsidR="00000000" w:rsidDel="00000000" w:rsidP="00000000" w:rsidRDefault="00000000" w:rsidRPr="00000000" w14:paraId="00000016">
      <w:pPr>
        <w:spacing w:after="0" w:before="0" w:line="276" w:lineRule="auto"/>
        <w:ind w:left="720" w:firstLine="0"/>
        <w:rPr>
          <w:sz w:val="20"/>
          <w:szCs w:val="20"/>
        </w:rPr>
      </w:pPr>
      <w:r w:rsidDel="00000000" w:rsidR="00000000" w:rsidRPr="00000000">
        <w:rPr>
          <w:sz w:val="20"/>
          <w:szCs w:val="20"/>
          <w:rtl w:val="0"/>
        </w:rPr>
        <w:t xml:space="preserve">The SBP is the first environmental commodity designed to </w:t>
      </w:r>
      <w:r w:rsidDel="00000000" w:rsidR="00000000" w:rsidRPr="00000000">
        <w:rPr>
          <w:sz w:val="20"/>
          <w:szCs w:val="20"/>
          <w:rtl w:val="0"/>
        </w:rPr>
        <w:t xml:space="preserve">appreciate in value</w:t>
      </w:r>
      <w:r w:rsidDel="00000000" w:rsidR="00000000" w:rsidRPr="00000000">
        <w:rPr>
          <w:sz w:val="20"/>
          <w:szCs w:val="20"/>
          <w:rtl w:val="0"/>
        </w:rPr>
        <w:t xml:space="preserve">, offering powerful benefits for the clean energy transition while also being a compelling investment. By tying its </w:t>
      </w:r>
      <w:r w:rsidDel="00000000" w:rsidR="00000000" w:rsidRPr="00000000">
        <w:rPr>
          <w:sz w:val="20"/>
          <w:szCs w:val="20"/>
          <w:shd w:fill="fff2cc" w:val="clear"/>
          <w:rtl w:val="0"/>
        </w:rPr>
        <w:t xml:space="preserve">value</w:t>
      </w:r>
      <w:r w:rsidDel="00000000" w:rsidR="00000000" w:rsidRPr="00000000">
        <w:rPr>
          <w:sz w:val="20"/>
          <w:szCs w:val="20"/>
          <w:rtl w:val="0"/>
        </w:rPr>
        <w:t xml:space="preserve"> directly to Bitcoin’s network energy demands, the SBP supports renewable energy adoption while providing investors with exposure to Bitcoin’s long-term growth trajectory.</w:t>
      </w:r>
    </w:p>
    <w:p w:rsidR="00000000" w:rsidDel="00000000" w:rsidP="00000000" w:rsidRDefault="00000000" w:rsidRPr="00000000" w14:paraId="00000017">
      <w:pPr>
        <w:numPr>
          <w:ilvl w:val="0"/>
          <w:numId w:val="4"/>
        </w:numPr>
        <w:spacing w:after="240" w:before="240" w:lineRule="auto"/>
        <w:ind w:left="720" w:hanging="360"/>
        <w:rPr>
          <w:sz w:val="20"/>
          <w:szCs w:val="20"/>
        </w:rPr>
      </w:pPr>
      <w:r w:rsidDel="00000000" w:rsidR="00000000" w:rsidRPr="00000000">
        <w:rPr>
          <w:b w:val="1"/>
          <w:bCs w:val="1"/>
          <w:sz w:val="20"/>
          <w:szCs w:val="20"/>
          <w:rtl w:val="0"/>
        </w:rPr>
        <w:t xml:space="preserve">Tied to the Voluntary REC Market:</w:t>
        <w:br w:type="textWrapping"/>
      </w:r>
      <w:r w:rsidDel="00000000" w:rsidR="00000000" w:rsidRPr="00000000">
        <w:rPr>
          <w:sz w:val="20"/>
          <w:szCs w:val="20"/>
          <w:rtl w:val="0"/>
        </w:rPr>
        <w:t xml:space="preserve">By aligning the SBP’s intrinsic price with the $12.5 billion voluntary REC market, it ensures scalability and legitimacy in the broader clean energy economy.</w:t>
      </w:r>
    </w:p>
    <w:p w:rsidR="00000000" w:rsidDel="00000000" w:rsidP="00000000" w:rsidRDefault="00000000" w:rsidRPr="00000000" w14:paraId="0000001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0"/>
          <w:szCs w:val="20"/>
        </w:rPr>
      </w:pPr>
      <w:bookmarkStart w:colFirst="0" w:colLast="0" w:name="_3kd5wd25cikl" w:id="5"/>
      <w:bookmarkEnd w:id="5"/>
      <w:r w:rsidDel="00000000" w:rsidR="00000000" w:rsidRPr="00000000">
        <w:rPr>
          <w:b w:val="1"/>
          <w:bCs w:val="1"/>
          <w:color w:val="000000"/>
          <w:sz w:val="20"/>
          <w:szCs w:val="20"/>
          <w:rtl w:val="0"/>
        </w:rPr>
        <w:t xml:space="preserve">Key Benefits:</w:t>
      </w:r>
    </w:p>
    <w:p w:rsidR="00000000" w:rsidDel="00000000" w:rsidP="00000000" w:rsidRDefault="00000000" w:rsidRPr="00000000" w14:paraId="0000001A">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For Miners:</w:t>
      </w:r>
      <w:r w:rsidDel="00000000" w:rsidR="00000000" w:rsidRPr="00000000">
        <w:rPr>
          <w:sz w:val="20"/>
          <w:szCs w:val="20"/>
          <w:rtl w:val="0"/>
        </w:rPr>
        <w:t xml:space="preserve"> The SBP offsets additional clean energy costs, making it economically feasible to operate with clean energy.</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For Investors:</w:t>
      </w:r>
      <w:r w:rsidDel="00000000" w:rsidR="00000000" w:rsidRPr="00000000">
        <w:rPr>
          <w:sz w:val="20"/>
          <w:szCs w:val="20"/>
          <w:rtl w:val="0"/>
        </w:rPr>
        <w:t xml:space="preserve"> The SBP provides a tangible, verifiable mechanism to support climate-focused investments in Bitcoin while offering price appreciation potential as the Bitcoin network evolves.</w:t>
      </w:r>
    </w:p>
    <w:p w:rsidR="00000000" w:rsidDel="00000000" w:rsidP="00000000" w:rsidRDefault="00000000" w:rsidRPr="00000000" w14:paraId="0000001C">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For the Planet:</w:t>
      </w:r>
      <w:r w:rsidDel="00000000" w:rsidR="00000000" w:rsidRPr="00000000">
        <w:rPr>
          <w:sz w:val="20"/>
          <w:szCs w:val="20"/>
          <w:rtl w:val="0"/>
        </w:rPr>
        <w:t xml:space="preserve"> Scales renewable energy adoption in the Bitcoin mining industry, supporting global energy transition goals. </w:t>
      </w:r>
    </w:p>
    <w:p w:rsidR="00000000" w:rsidDel="00000000" w:rsidP="00000000" w:rsidRDefault="00000000" w:rsidRPr="00000000" w14:paraId="000000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0"/>
          <w:szCs w:val="20"/>
        </w:rPr>
      </w:pPr>
      <w:bookmarkStart w:colFirst="0" w:colLast="0" w:name="_1s9nm5ogbvm" w:id="6"/>
      <w:bookmarkEnd w:id="6"/>
      <w:r w:rsidDel="00000000" w:rsidR="00000000" w:rsidRPr="00000000">
        <w:rPr>
          <w:b w:val="1"/>
          <w:bCs w:val="1"/>
          <w:color w:val="000000"/>
          <w:sz w:val="20"/>
          <w:szCs w:val="20"/>
          <w:rtl w:val="0"/>
        </w:rPr>
        <w:t xml:space="preserve">Conclusion:</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The SBP represents a financial tool with an intrinsic value that supports the environmental positivity of Bitcoin mining. By anchoring its price to the Bitcoin network's daily energy consumption and the cost of clean energy ownership in the form of high-quality RECs, the SBP creates a sustainable pathway for miners and investors to align with climate goals. This dynamic pricing model ensures that the SBP remains directly tied to the network’s energy economics as Bitcoin grows, driving institutional adoption of climate-positive Bitcoin and rewarding investors with potential upside as the network’s energy demands increase.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3819525</wp:posOffset>
          </wp:positionH>
          <wp:positionV relativeFrom="paragraph">
            <wp:posOffset>-342899</wp:posOffset>
          </wp:positionV>
          <wp:extent cx="3036094" cy="3157538"/>
          <wp:effectExtent b="0" l="0" r="0" t="0"/>
          <wp:wrapNone/>
          <wp:docPr id="2" name="image1.png"/>
          <a:graphic>
            <a:graphicData uri="http://schemas.openxmlformats.org/drawingml/2006/picture">
              <pic:pic>
                <pic:nvPicPr>
                  <pic:cNvPr id="0" name="image1.png"/>
                  <pic:cNvPicPr preferRelativeResize="0"/>
                </pic:nvPicPr>
                <pic:blipFill>
                  <a:blip r:embed="rId1">
                    <a:alphaModFix amt="40000"/>
                  </a:blip>
                  <a:srcRect b="0" l="0" r="0" t="0"/>
                  <a:stretch>
                    <a:fillRect/>
                  </a:stretch>
                </pic:blipFill>
                <pic:spPr>
                  <a:xfrm>
                    <a:off x="0" y="0"/>
                    <a:ext cx="3036094" cy="31575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