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2: Wirkungsdaten &amp; Rahmenwerke</w:t>
      </w:r>
    </w:p>
    <w:p>
      <w:r>
        <w:rPr>
          <w:i/>
        </w:rPr>
        <w:t>Rohfassung fuer Claude / CI-CD-Finalisierung</w:t>
      </w:r>
    </w:p>
    <w:p>
      <w:r>
        <w:t>Quelle: /Users/hagen/Documents/New project/content/studienskripte/wirkungscontrolling-wc-v2.md</w:t>
      </w:r>
    </w:p>
    <w:p>
      <w:r>
        <w:t>Track: Impact-Controlling</w:t>
      </w:r>
    </w:p>
    <w:p>
      <w:r>
        <w:t>Kurscode: wirkungscontrolling</w:t>
      </w:r>
    </w:p>
    <w:p>
      <w:r>
        <w:t>Vorlesungscode: WC-V2</w:t>
      </w:r>
    </w:p>
    <w:p>
      <w:r>
        <w:t>Modul/Abschnitt: WC</w:t>
      </w:r>
    </w:p>
    <w:p>
      <w:r>
        <w:t>Titel: Wirkungsdaten &amp; Rahmenwerke</w:t>
      </w:r>
    </w:p>
    <w:p>
      <w:r>
        <w:t>Status: Rohfassung V0 · Sprint-Produktionslauf · muss im nächsten Tiefensprint auf 40-50 Seiten erweitert werden</w:t>
      </w:r>
    </w:p>
    <w:p>
      <w:r>
        <w:t>Quelle: woek-akademie-app/docs/lehrgaenge/wirkungscontrolling-v2-wirkungsdaten-rahmenwerke.md</w:t>
      </w:r>
    </w:p>
    <w:p>
      <w:r>
        <w:t>Ablage: Markdown-Master in content/studienskripte/wirkungscontrolling-wc-v2.md, Word-Rohfassung in docs/studienskripte/word-rohfassungen/wirkungscontrolling-wc-v2.docx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Wirkungsdaten &amp; Rahmenwerke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Wirkungsdaten &amp; Rahmenwerke so zu strukturieren, dass Entscheidungen prüfbar, auditierbar und rückkopplungsfähig werden.</w:t>
      </w:r>
    </w:p>
    <w:p>
      <w:r>
        <w:t>Die Leitfrage lautet:</w:t>
      </w:r>
    </w:p>
    <w:p>
      <w:r>
        <w:t>&gt; Welche tatsächlichen Zustandsveränderungen werden durch Wirkungsdaten &amp; Rahmenwerke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Wirkungsdaten &amp; Rahmenwerke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w:t>
      </w:r>
    </w:p>
    <w:p>
      <w:r>
        <w:t>Vorlesungscode: WC-V2</w:t>
      </w:r>
    </w:p>
    <w:p>
      <w:r>
        <w:t>Empfohlene Dauer: ~55 Min · Videolänge: ~16 Min</w:t>
      </w:r>
    </w:p>
    <w:p>
      <w:r>
        <w:t>Voraussetzung: WC-V1</w:t>
      </w:r>
    </w:p>
    <w:p>
      <w:r>
        <w:t>Führende Quellen (Repo): source-assets/originals/WOeK_Begriffsleitfaden_fuehrend_v1.0.md (§6.1 Anschlussbegriffe) · docs/gesetze/WUStG_Technische_Leitlinien_v2.1_Entwurf.md · Glossar begriffe/</w:t>
      </w:r>
    </w:p>
    <w:p>
      <w:pPr>
        <w:pStyle w:val="Heading2"/>
      </w:pPr>
      <w:r>
        <w:t>1. Einstieg / Wirkungsfrage</w:t>
      </w:r>
    </w:p>
    <w:p>
      <w:r>
        <w:t>CSRD, ESRS, GRI, EU-Taxonomie – Unternehmen ertrinken in Berichtspflichten. Wie werden diese Datenrahmen zur Grundlage echter Wirkungssteuerung, statt nur Reporting zu erzeugen?</w:t>
      </w:r>
    </w:p>
    <w:p>
      <w:pPr>
        <w:pStyle w:val="Heading2"/>
      </w:pPr>
      <w:r>
        <w:t>2. Video-/Audio-Vorlesung</w:t>
      </w:r>
    </w:p>
    <w:p>
      <w:pPr>
        <w:pStyle w:val="ListBullet"/>
      </w:pPr>
      <w:r>
        <w:t>Titel: Von der Berichtspflicht zum Wirkungsdatum – CSRD, ESRS, GRI, EU-Taxonomie, NACE, DPP</w:t>
      </w:r>
    </w:p>
    <w:p>
      <w:pPr>
        <w:pStyle w:val="ListBullet"/>
      </w:pPr>
      <w:r>
        <w:t>Länge: ~16 Min</w:t>
      </w:r>
    </w:p>
    <w:p>
      <w:pPr>
        <w:pStyle w:val="ListBullet"/>
      </w:pPr>
      <w:r>
        <w:t>Kernaussage in einem Satz: Bestehende Rahmenwerke liefern die Rohdaten; Wirkungscontrolling übersetzt sie in KIIs und ordnet sie über WÖk-IDs der Bewertungslogik zu.</w:t>
      </w:r>
    </w:p>
    <w:p>
      <w:pPr>
        <w:pStyle w:val="ListBullet"/>
      </w:pPr>
      <w:r>
        <w:t>Medienquelle: [Platzhalter]</w:t>
      </w:r>
    </w:p>
    <w:p>
      <w:pPr>
        <w:pStyle w:val="Heading2"/>
      </w:pPr>
      <w:r>
        <w:t>3. Transkript (Gerüst)</w:t>
      </w:r>
    </w:p>
    <w:p>
      <w:r>
        <w:t>Abschnitt A – Anschluss statt Neuerfindung. Die WÖk erfindet die Datenwelt nicht neu. CSRD, ESRS, GRI, EU-Taxonomie, NACE und der digitale Produktpass sind Anschlussbegriffe – sie liefern Daten.</w:t>
      </w:r>
    </w:p>
    <w:p>
      <w:r>
        <w:t>Abschnitt B – Was jedes Rahmenwerk beisteuert. CSRD/ESRS: Berichtspflicht/Datenpunkte. GRI: etablierte Indikatoren. EU-Taxonomie: Klassifikation nachhaltiger Aktivitäten. NACE: Branchen-Codierung. DPP: Produktbezogene Daten.</w:t>
      </w:r>
    </w:p>
    <w:p>
      <w:r>
        <w:t>Abschnitt C – Reporting ≠ Rückkopplung. Diese Rahmen erzeugen Reporting. Wirkungscontrolling macht daraus Steuerung, indem es Daten in KIIs und Scorecards überführt.</w:t>
      </w:r>
    </w:p>
    <w:p>
      <w:r>
        <w:t>Abschnitt D – Übersetzung über WÖk-IDs. WÖk-IDs verbinden Datenpunkte mit Wirkungsfeld und Bewertungslogik (V3).</w:t>
      </w:r>
    </w:p>
    <w:p>
      <w:r>
        <w:t>Abschnitt E – Grenzen. Rahmenwerke messen oft Aktivität/Compliance, nicht Netto-Wirkung. Die Lücke schließt die WÖk-Bewertung.</w:t>
      </w:r>
    </w:p>
    <w:p>
      <w:pPr>
        <w:pStyle w:val="Heading2"/>
      </w:pPr>
      <w:r>
        <w:t>4. Skript / Folien (Lernseite)</w:t>
      </w:r>
    </w:p>
    <w:p>
      <w:r>
        <w:t>Bestehende Rahmenwerke sind Anschlusspunkte, keine Konkurrenz (Begriffsleitfaden §6.1):</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Rahmenwerk</w:t>
            </w:r>
          </w:p>
        </w:tc>
        <w:tc>
          <w:tcPr>
            <w:tcW w:type="dxa" w:w="4680"/>
            <w:vAlign w:val="center"/>
          </w:tcPr>
          <w:p>
            <w:r>
              <w:rPr>
                <w:b/>
              </w:rPr>
              <w:t>Beitrag</w:t>
            </w:r>
          </w:p>
        </w:tc>
      </w:tr>
      <w:tr>
        <w:tc>
          <w:tcPr>
            <w:tcW w:type="dxa" w:w="4680"/>
            <w:vAlign w:val="center"/>
          </w:tcPr>
          <w:p>
            <w:r>
              <w:t>CSRD / ESRS</w:t>
            </w:r>
          </w:p>
        </w:tc>
        <w:tc>
          <w:tcPr>
            <w:tcW w:type="dxa" w:w="4680"/>
            <w:vAlign w:val="center"/>
          </w:tcPr>
          <w:p>
            <w:r>
              <w:t>Berichtspflicht und standardisierte Datenpunkte (EU)</w:t>
            </w:r>
          </w:p>
        </w:tc>
      </w:tr>
      <w:tr>
        <w:tc>
          <w:tcPr>
            <w:tcW w:type="dxa" w:w="4680"/>
            <w:vAlign w:val="center"/>
          </w:tcPr>
          <w:p>
            <w:r>
              <w:t>GRI</w:t>
            </w:r>
          </w:p>
        </w:tc>
        <w:tc>
          <w:tcPr>
            <w:tcW w:type="dxa" w:w="4680"/>
            <w:vAlign w:val="center"/>
          </w:tcPr>
          <w:p>
            <w:r>
              <w:t>etablierte, international genutzte Nachhaltigkeitsindikatoren</w:t>
            </w:r>
          </w:p>
        </w:tc>
      </w:tr>
      <w:tr>
        <w:tc>
          <w:tcPr>
            <w:tcW w:type="dxa" w:w="4680"/>
            <w:vAlign w:val="center"/>
          </w:tcPr>
          <w:p>
            <w:r>
              <w:t>EU-Taxonomie</w:t>
            </w:r>
          </w:p>
        </w:tc>
        <w:tc>
          <w:tcPr>
            <w:tcW w:type="dxa" w:w="4680"/>
            <w:vAlign w:val="center"/>
          </w:tcPr>
          <w:p>
            <w:r>
              <w:t>Klassifikation ökologisch nachhaltiger Wirtschaftsaktivitäten</w:t>
            </w:r>
          </w:p>
        </w:tc>
      </w:tr>
      <w:tr>
        <w:tc>
          <w:tcPr>
            <w:tcW w:type="dxa" w:w="4680"/>
            <w:vAlign w:val="center"/>
          </w:tcPr>
          <w:p>
            <w:r>
              <w:t>NACE</w:t>
            </w:r>
          </w:p>
        </w:tc>
        <w:tc>
          <w:tcPr>
            <w:tcW w:type="dxa" w:w="4680"/>
            <w:vAlign w:val="center"/>
          </w:tcPr>
          <w:p>
            <w:r>
              <w:t>Branchen-/Aktivitätscodierung (Zuordnung, Vergleichbarkeit)</w:t>
            </w:r>
          </w:p>
        </w:tc>
      </w:tr>
      <w:tr>
        <w:tc>
          <w:tcPr>
            <w:tcW w:type="dxa" w:w="4680"/>
            <w:vAlign w:val="center"/>
          </w:tcPr>
          <w:p>
            <w:r>
              <w:t>Digitaler Produktpass (DPP)</w:t>
            </w:r>
          </w:p>
        </w:tc>
        <w:tc>
          <w:tcPr>
            <w:tcW w:type="dxa" w:w="4680"/>
            <w:vAlign w:val="center"/>
          </w:tcPr>
          <w:p>
            <w:r>
              <w:t>produktbezogene Wirkungsdaten entlang des Lebenszyklus</w:t>
            </w:r>
          </w:p>
        </w:tc>
      </w:tr>
    </w:tbl>
    <w:p/>
    <w:p>
      <w:r>
        <w:t>Die zentrale Übersetzungsleistung. Diese Rahmen liefern vor allem Daten und Compliance – oft Aktivität, nicht Netto-Wirkung. Wirkungscontrolling übersetzt sie: Datenpunkte werden über WÖk-IDs (V3) einem Wirkungsfeld und einer Bewertungslogik zugeordnet und zu KIIs verdichtet. So wird aus Berichtspflicht steuerungsrelevante Wirkungsinformation.</w:t>
      </w:r>
    </w:p>
    <w:p>
      <w:r>
        <w:t>Reporting ist nicht Rückkopplung. Der häufigste Fehler: CSRD-Reporting als Ziel zu behandeln. Für die Wirkungsökonomie ist es Rohstoff. Erst wenn die Daten über Scorecards (V4) bewertet und in Entscheidungen zurückgekoppelt werden, entsteht Wirkung.</w:t>
      </w:r>
    </w:p>
    <w:p>
      <w:r>
        <w:t>Grenzen ehrlich benennen. Datenlücken, unterschiedliche Bezugsjahre, Scope-Grenzen und Schätzungen gehören dokumentiert (Datenqualität, V9). Rahmenwerke schaffen Vergleichbarkeit, aber keine automatische Netto-Wirkung – die Bewertung bleibt WÖk-Aufgabe unter Reverse Merit Order.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6.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7. Transferaufgabe</w:t>
      </w:r>
    </w:p>
    <w:p>
      <w:r>
        <w:t>Nimm einen realen Berichtsdatenpunkt (z. B. aus CSRD/ESRS oder GRI) deiner Organisation und beschreibe: Zu welchem Wirkungsfeld gehört er? Welches KII ließe sich daraus bilden? Wo ist die Grenze (misst er Aktivität oder Netto-Wirkung)?</w:t>
      </w:r>
    </w:p>
    <w:p>
      <w:pPr>
        <w:pStyle w:val="Heading2"/>
      </w:pPr>
      <w:r>
        <w:t>8. Praxisbeispiel</w:t>
      </w:r>
    </w:p>
    <w:p>
      <w:r>
        <w:t>Taxonomie-konform, aber nicht netto-positiv. Eine Aktivität kann EU-Taxonomie-konform gemeldet werden und dennoch, unter Reverse Merit Order betrachtet, ein kritisches Wirkungsfeld schwächen. Wirkungscontrolling nutzt die Taxonomie-Daten, ersetzt aber die Bewertung nicht durch das Label. (Vertiefung: docs/gesetze/WUStG_Technische_Leitlinien_v2.1_Entwurf.md.)</w:t>
      </w:r>
    </w:p>
    <w:p>
      <w:pPr>
        <w:pStyle w:val="Heading2"/>
      </w:pPr>
      <w:r>
        <w:t>9. Quellen / Vertiefung</w:t>
      </w:r>
    </w:p>
    <w:p>
      <w:pPr>
        <w:pStyle w:val="ListBullet"/>
      </w:pPr>
      <w:r>
        <w:t>source-assets/originals/WOeK_Begriffsleitfaden_fuehrend_v1.0.md – §6.1 Anschlussbegriffe</w:t>
      </w:r>
    </w:p>
    <w:p>
      <w:pPr>
        <w:pStyle w:val="ListBullet"/>
      </w:pPr>
      <w:r>
        <w:t>docs/gesetze/WUStG_Technische_Leitlinien_v2.1_Entwurf.md</w:t>
      </w:r>
    </w:p>
    <w:p>
      <w:pPr>
        <w:pStyle w:val="ListBullet"/>
      </w:pPr>
      <w:r>
        <w:t>Glossar: begriffe/csrd, begriffe/esrs, begriffe/eu-taxonomie, 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Wirkungsdaten &amp; Rahmenwerke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wirkungscontrolling-wc-v2-wirkpfad</w:t>
      </w:r>
    </w:p>
    <w:p>
      <w:r>
        <w:t>type: wirkpfad</w:t>
      </w:r>
    </w:p>
    <w:p>
      <w:r>
        <w:t>reuse_first: true</w:t>
      </w:r>
    </w:p>
    <w:p>
      <w:r>
        <w:t>preferred_asset: content/studienskripte/assets/wirkungscontrolling-wc-v2/wirkungscontrolling-wc-v2-wirkpfad.svg</w:t>
      </w:r>
    </w:p>
    <w:p>
      <w:r>
        <w:t>message: Wirkungsdaten &amp; Rahmenwerke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woek-akademie-app/docs/lehrgaenge/wirkungscontrolling-v2-wirkungsdaten-rahmenwerke.md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Wirkungsdaten &amp; Rahmenwerke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