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2F7D5C"/>
          <w:sz w:val="24"/>
        </w:rPr>
        <w:t>WIRKUNGSÖKONOMIE</w:t>
      </w:r>
    </w:p>
    <w:p>
      <w:pPr>
        <w:spacing w:after="320"/>
      </w:pPr>
      <w:r>
        <w:rPr>
          <w:rFonts w:ascii="Arial" w:hAnsi="Arial"/>
          <w:b/>
          <w:color w:val="C89B3C"/>
          <w:sz w:val="20"/>
        </w:rPr>
        <w:t>DETAILKONZEPT</w:t>
      </w:r>
    </w:p>
    <w:p>
      <w:pPr>
        <w:pStyle w:val="Title"/>
        <w:spacing w:after="80"/>
      </w:pPr>
      <w:r>
        <w:t>Marketing, Vertrieb und das fünfte P: Planet</w:t>
      </w:r>
    </w:p>
    <w:p>
      <w:pPr>
        <w:spacing w:after="360"/>
      </w:pPr>
      <w:r>
        <w:rPr>
          <w:rFonts w:ascii="Georgia" w:hAnsi="Georgia"/>
          <w:color w:val="0B1020"/>
          <w:sz w:val="26"/>
        </w:rPr>
        <w:t>Von Absatzkommunikation zu Wirkungswahrheit, verantwortlicher Kundenbeziehung und marktlicher Rückkopplung</w:t>
      </w:r>
    </w:p>
    <w:tbl>
      <w:tblPr>
        <w:tblW w:type="auto" w:w="0"/>
        <w:jc w:val="left"/>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04"/>
        <w:gridCol w:w="4904"/>
      </w:tblGrid>
      <w:tr>
        <w:tc>
          <w:tcPr>
            <w:tcW w:type="dxa" w:w="2268"/>
            <w:shd w:fill="F6F1E8"/>
            <w:tcMar>
              <w:top w:w="90" w:type="dxa"/>
              <w:start w:w="90" w:type="dxa"/>
              <w:bottom w:w="90" w:type="dxa"/>
              <w:end w:w="90" w:type="dxa"/>
            </w:tcMar>
          </w:tcPr>
          <w:p>
            <w:r>
              <w:rPr>
                <w:b/>
                <w:color w:val="0B1020"/>
              </w:rPr>
              <w:t>Autorin</w:t>
            </w:r>
          </w:p>
        </w:tc>
        <w:tc>
          <w:tcPr>
            <w:tcW w:type="dxa" w:w="5669"/>
            <w:tcMar>
              <w:top w:w="90" w:type="dxa"/>
              <w:start w:w="90" w:type="dxa"/>
              <w:bottom w:w="90" w:type="dxa"/>
              <w:end w:w="90" w:type="dxa"/>
            </w:tcMar>
          </w:tcPr>
          <w:p>
            <w:r>
              <w:t>Natalie Weber</w:t>
            </w:r>
          </w:p>
        </w:tc>
      </w:tr>
      <w:tr>
        <w:tc>
          <w:tcPr>
            <w:tcW w:type="dxa" w:w="2268"/>
            <w:shd w:fill="F6F1E8"/>
            <w:tcMar>
              <w:top w:w="90" w:type="dxa"/>
              <w:start w:w="90" w:type="dxa"/>
              <w:bottom w:w="90" w:type="dxa"/>
              <w:end w:w="90" w:type="dxa"/>
            </w:tcMar>
          </w:tcPr>
          <w:p>
            <w:r>
              <w:rPr>
                <w:b/>
                <w:color w:val="0B1020"/>
              </w:rPr>
              <w:t>Referenz</w:t>
            </w:r>
          </w:p>
        </w:tc>
        <w:tc>
          <w:tcPr>
            <w:tcW w:type="dxa" w:w="5669"/>
            <w:tcMar>
              <w:top w:w="90" w:type="dxa"/>
              <w:start w:w="90" w:type="dxa"/>
              <w:bottom w:w="90" w:type="dxa"/>
              <w:end w:w="90" w:type="dxa"/>
            </w:tcMar>
          </w:tcPr>
          <w:p>
            <w:r>
              <w:t>Wirkungsökonomie</w:t>
            </w:r>
          </w:p>
        </w:tc>
      </w:tr>
      <w:tr>
        <w:tc>
          <w:tcPr>
            <w:tcW w:type="dxa" w:w="2268"/>
            <w:shd w:fill="F6F1E8"/>
            <w:tcMar>
              <w:top w:w="90" w:type="dxa"/>
              <w:start w:w="90" w:type="dxa"/>
              <w:bottom w:w="90" w:type="dxa"/>
              <w:end w:w="90" w:type="dxa"/>
            </w:tcMar>
          </w:tcPr>
          <w:p>
            <w:r>
              <w:rPr>
                <w:b/>
                <w:color w:val="0B1020"/>
              </w:rPr>
              <w:t>Version</w:t>
            </w:r>
          </w:p>
        </w:tc>
        <w:tc>
          <w:tcPr>
            <w:tcW w:type="dxa" w:w="5669"/>
            <w:tcMar>
              <w:top w:w="90" w:type="dxa"/>
              <w:start w:w="90" w:type="dxa"/>
              <w:bottom w:w="90" w:type="dxa"/>
              <w:end w:w="90" w:type="dxa"/>
            </w:tcMar>
          </w:tcPr>
          <w:p>
            <w:r>
              <w:t>v1.0</w:t>
            </w:r>
          </w:p>
        </w:tc>
      </w:tr>
      <w:tr>
        <w:tc>
          <w:tcPr>
            <w:tcW w:type="dxa" w:w="2268"/>
            <w:shd w:fill="F6F1E8"/>
            <w:tcMar>
              <w:top w:w="90" w:type="dxa"/>
              <w:start w:w="90" w:type="dxa"/>
              <w:bottom w:w="90" w:type="dxa"/>
              <w:end w:w="90" w:type="dxa"/>
            </w:tcMar>
          </w:tcPr>
          <w:p>
            <w:r>
              <w:rPr>
                <w:b/>
                <w:color w:val="0B1020"/>
              </w:rPr>
              <w:t>Status</w:t>
            </w:r>
          </w:p>
        </w:tc>
        <w:tc>
          <w:tcPr>
            <w:tcW w:type="dxa" w:w="5669"/>
            <w:tcMar>
              <w:top w:w="90" w:type="dxa"/>
              <w:start w:w="90" w:type="dxa"/>
              <w:bottom w:w="90" w:type="dxa"/>
              <w:end w:w="90" w:type="dxa"/>
            </w:tcMar>
          </w:tcPr>
          <w:p>
            <w:r>
              <w:t>öffentliche Ausarbeitung / Detailkonzept</w:t>
            </w:r>
          </w:p>
        </w:tc>
      </w:tr>
      <w:tr>
        <w:tc>
          <w:tcPr>
            <w:tcW w:type="dxa" w:w="2268"/>
            <w:shd w:fill="F6F1E8"/>
            <w:tcMar>
              <w:top w:w="90" w:type="dxa"/>
              <w:start w:w="90" w:type="dxa"/>
              <w:bottom w:w="90" w:type="dxa"/>
              <w:end w:w="90" w:type="dxa"/>
            </w:tcMar>
          </w:tcPr>
          <w:p>
            <w:r>
              <w:rPr>
                <w:b/>
                <w:color w:val="0B1020"/>
              </w:rPr>
              <w:t>Stand</w:t>
            </w:r>
          </w:p>
        </w:tc>
        <w:tc>
          <w:tcPr>
            <w:tcW w:type="dxa" w:w="5669"/>
            <w:tcMar>
              <w:top w:w="90" w:type="dxa"/>
              <w:start w:w="90" w:type="dxa"/>
              <w:bottom w:w="90" w:type="dxa"/>
              <w:end w:w="90" w:type="dxa"/>
            </w:tcMar>
          </w:tcPr>
          <w:p>
            <w:r>
              <w:t>24. Mai 2026</w:t>
            </w:r>
          </w:p>
        </w:tc>
      </w:tr>
    </w:tbl>
    <w:p/>
    <w:p>
      <w:pPr>
        <w:jc w:val="center"/>
      </w:pPr>
      <w:r>
        <w:rPr>
          <w:rFonts w:ascii="Georgia" w:hAnsi="Georgia"/>
          <w:i/>
          <w:color w:val="2F7D5C"/>
          <w:sz w:val="32"/>
        </w:rPr>
        <w:t>„Marketing darf nicht länger Nachfrage von Wirkung trennen.“</w:t>
      </w:r>
    </w:p>
    <w:p>
      <w:r>
        <w:br w:type="page"/>
      </w:r>
    </w:p>
    <w:p>
      <w:pPr>
        <w:pStyle w:val="Heading1"/>
      </w:pPr>
      <w:r>
        <w:t>Kurzprofil</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04"/>
        <w:gridCol w:w="4904"/>
      </w:tblGrid>
      <w:tr>
        <w:trPr>
          <w:tblHeader w:val="true"/>
        </w:trPr>
        <w:tc>
          <w:tcPr>
            <w:tcW w:type="dxa" w:w="2835"/>
            <w:shd w:fill="0B1020"/>
            <w:tcMar>
              <w:top w:w="90" w:type="dxa"/>
              <w:start w:w="90" w:type="dxa"/>
              <w:bottom w:w="90" w:type="dxa"/>
              <w:end w:w="90" w:type="dxa"/>
            </w:tcMar>
          </w:tcPr>
          <w:p>
            <w:r>
              <w:rPr>
                <w:b/>
                <w:color w:val="FFFFFF"/>
              </w:rPr>
              <w:t>Metadatum</w:t>
            </w:r>
          </w:p>
        </w:tc>
        <w:tc>
          <w:tcPr>
            <w:tcW w:type="dxa" w:w="6236"/>
            <w:shd w:fill="0B1020"/>
            <w:tcMar>
              <w:top w:w="90" w:type="dxa"/>
              <w:start w:w="90" w:type="dxa"/>
              <w:bottom w:w="90" w:type="dxa"/>
              <w:end w:w="90" w:type="dxa"/>
            </w:tcMar>
          </w:tcPr>
          <w:p>
            <w:r>
              <w:rPr>
                <w:b/>
                <w:color w:val="FFFFFF"/>
              </w:rPr>
              <w:t>Angabe</w:t>
            </w:r>
          </w:p>
        </w:tc>
      </w:tr>
      <w:tr>
        <w:tc>
          <w:tcPr>
            <w:tcW w:type="dxa" w:w="2835"/>
            <w:tcMar>
              <w:top w:w="80" w:type="dxa"/>
              <w:start w:w="90" w:type="dxa"/>
              <w:bottom w:w="80" w:type="dxa"/>
              <w:end w:w="90" w:type="dxa"/>
            </w:tcMar>
            <w:shd w:fill="FBF8F1"/>
          </w:tcPr>
          <w:p>
            <w:r>
              <w:rPr>
                <w:b/>
                <w:color w:val="0B1020"/>
              </w:rPr>
              <w:t>Dokumenttyp</w:t>
            </w:r>
          </w:p>
        </w:tc>
        <w:tc>
          <w:tcPr>
            <w:tcW w:type="dxa" w:w="6236"/>
            <w:tcMar>
              <w:top w:w="80" w:type="dxa"/>
              <w:start w:w="90" w:type="dxa"/>
              <w:bottom w:w="80" w:type="dxa"/>
              <w:end w:w="90" w:type="dxa"/>
            </w:tcMar>
          </w:tcPr>
          <w:p>
            <w:r>
              <w:t>Öffentliches Detailkonzept</w:t>
            </w:r>
          </w:p>
        </w:tc>
      </w:tr>
      <w:tr>
        <w:tc>
          <w:tcPr>
            <w:tcW w:type="dxa" w:w="2835"/>
            <w:tcMar>
              <w:top w:w="80" w:type="dxa"/>
              <w:start w:w="90" w:type="dxa"/>
              <w:bottom w:w="80" w:type="dxa"/>
              <w:end w:w="90" w:type="dxa"/>
            </w:tcMar>
            <w:shd w:fill="FBF8F1"/>
          </w:tcPr>
          <w:p>
            <w:r>
              <w:rPr>
                <w:b/>
                <w:color w:val="0B1020"/>
              </w:rPr>
              <w:t>Zugehöriges Portal</w:t>
            </w:r>
          </w:p>
        </w:tc>
        <w:tc>
          <w:tcPr>
            <w:tcW w:type="dxa" w:w="6236"/>
            <w:tcMar>
              <w:top w:w="80" w:type="dxa"/>
              <w:start w:w="90" w:type="dxa"/>
              <w:bottom w:w="80" w:type="dxa"/>
              <w:end w:w="90" w:type="dxa"/>
            </w:tcMar>
          </w:tcPr>
          <w:p>
            <w:r>
              <w:t>Wirtschaft &amp; Unternehmen</w:t>
            </w:r>
          </w:p>
        </w:tc>
      </w:tr>
      <w:tr>
        <w:tc>
          <w:tcPr>
            <w:tcW w:type="dxa" w:w="2835"/>
            <w:tcMar>
              <w:top w:w="80" w:type="dxa"/>
              <w:start w:w="90" w:type="dxa"/>
              <w:bottom w:w="80" w:type="dxa"/>
              <w:end w:w="90" w:type="dxa"/>
            </w:tcMar>
            <w:shd w:fill="FBF8F1"/>
          </w:tcPr>
          <w:p>
            <w:r>
              <w:rPr>
                <w:b/>
                <w:color w:val="0B1020"/>
              </w:rPr>
              <w:t>Unterbereich</w:t>
            </w:r>
          </w:p>
        </w:tc>
        <w:tc>
          <w:tcPr>
            <w:tcW w:type="dxa" w:w="6236"/>
            <w:tcMar>
              <w:top w:w="80" w:type="dxa"/>
              <w:start w:w="90" w:type="dxa"/>
              <w:bottom w:w="80" w:type="dxa"/>
              <w:end w:w="90" w:type="dxa"/>
            </w:tcMar>
          </w:tcPr>
          <w:p>
            <w:r>
              <w:t>Marketing, Vertrieb, Claims, Kund:inneninformation, Resonanzwirkung und das fünfte P: Planet</w:t>
            </w:r>
          </w:p>
        </w:tc>
      </w:tr>
      <w:tr>
        <w:tc>
          <w:tcPr>
            <w:tcW w:type="dxa" w:w="2835"/>
            <w:tcMar>
              <w:top w:w="80" w:type="dxa"/>
              <w:start w:w="90" w:type="dxa"/>
              <w:bottom w:w="80" w:type="dxa"/>
              <w:end w:w="90" w:type="dxa"/>
            </w:tcMar>
            <w:shd w:fill="FBF8F1"/>
          </w:tcPr>
          <w:p>
            <w:r>
              <w:rPr>
                <w:b/>
                <w:color w:val="0B1020"/>
              </w:rPr>
              <w:t>Autorin</w:t>
            </w:r>
          </w:p>
        </w:tc>
        <w:tc>
          <w:tcPr>
            <w:tcW w:type="dxa" w:w="6236"/>
            <w:tcMar>
              <w:top w:w="80" w:type="dxa"/>
              <w:start w:w="90" w:type="dxa"/>
              <w:bottom w:w="80" w:type="dxa"/>
              <w:end w:w="90" w:type="dxa"/>
            </w:tcMar>
          </w:tcPr>
          <w:p>
            <w:r>
              <w:t>Natalie Weber · Wirkungsökonomie</w:t>
            </w:r>
          </w:p>
        </w:tc>
      </w:tr>
      <w:tr>
        <w:tc>
          <w:tcPr>
            <w:tcW w:type="dxa" w:w="2835"/>
            <w:tcMar>
              <w:top w:w="80" w:type="dxa"/>
              <w:start w:w="90" w:type="dxa"/>
              <w:bottom w:w="80" w:type="dxa"/>
              <w:end w:w="90" w:type="dxa"/>
            </w:tcMar>
            <w:shd w:fill="FBF8F1"/>
          </w:tcPr>
          <w:p>
            <w:r>
              <w:rPr>
                <w:b/>
                <w:color w:val="0B1020"/>
              </w:rPr>
              <w:t>Öffentlichkeit</w:t>
            </w:r>
          </w:p>
        </w:tc>
        <w:tc>
          <w:tcPr>
            <w:tcW w:type="dxa" w:w="6236"/>
            <w:tcMar>
              <w:top w:w="80" w:type="dxa"/>
              <w:start w:w="90" w:type="dxa"/>
              <w:bottom w:w="80" w:type="dxa"/>
              <w:end w:w="90" w:type="dxa"/>
            </w:tcMar>
          </w:tcPr>
          <w:p>
            <w:r>
              <w:t>Enthält keine internen CodeX-/Repository-Anweisungen</w:t>
            </w:r>
          </w:p>
        </w:tc>
      </w:tr>
      <w:tr>
        <w:tc>
          <w:tcPr>
            <w:tcW w:type="dxa" w:w="2835"/>
            <w:tcMar>
              <w:top w:w="80" w:type="dxa"/>
              <w:start w:w="90" w:type="dxa"/>
              <w:bottom w:w="80" w:type="dxa"/>
              <w:end w:w="90" w:type="dxa"/>
            </w:tcMar>
            <w:shd w:fill="FBF8F1"/>
          </w:tcPr>
          <w:p>
            <w:r>
              <w:rPr>
                <w:b/>
                <w:color w:val="0B1020"/>
              </w:rPr>
              <w:t>Hinweis</w:t>
            </w:r>
          </w:p>
        </w:tc>
        <w:tc>
          <w:tcPr>
            <w:tcW w:type="dxa" w:w="6236"/>
            <w:tcMar>
              <w:top w:w="80" w:type="dxa"/>
              <w:start w:w="90" w:type="dxa"/>
              <w:bottom w:w="80" w:type="dxa"/>
              <w:end w:w="90" w:type="dxa"/>
            </w:tcMar>
          </w:tcPr>
          <w:p>
            <w:r>
              <w:t>Konzeptionelle Arbeitsfassung; keine Rechts-, Steuer-, Anlage-, Marketing- oder Unternehmensberatung.</w:t>
            </w:r>
          </w:p>
        </w:tc>
      </w:tr>
    </w:tbl>
    <w:p/>
    <w:p>
      <w:pPr>
        <w:pStyle w:val="Heading1"/>
      </w:pPr>
      <w:r>
        <w:t>Inhaltsübersicht</w:t>
      </w:r>
    </w:p>
    <w:p>
      <w:r>
        <w:rPr>
          <w:rFonts w:ascii="Arial" w:hAnsi="Arial"/>
          <w:color w:val="4B4F56"/>
          <w:sz w:val="18"/>
        </w:rPr>
        <w:t>1. Executive Summary</w:t>
      </w:r>
    </w:p>
    <w:p>
      <w:r>
        <w:rPr>
          <w:rFonts w:ascii="Arial" w:hAnsi="Arial"/>
          <w:color w:val="4B4F56"/>
          <w:sz w:val="18"/>
        </w:rPr>
        <w:t>2. Ausgangsdiagnose: Absatzlogik ohne Wirkungswahrheit</w:t>
      </w:r>
    </w:p>
    <w:p>
      <w:r>
        <w:rPr>
          <w:rFonts w:ascii="Arial" w:hAnsi="Arial"/>
          <w:color w:val="4B4F56"/>
          <w:sz w:val="18"/>
        </w:rPr>
        <w:t>3. Begriffsabgrenzung: Marketingwirkung, Wirkungspotenzial und Manipulation</w:t>
      </w:r>
    </w:p>
    <w:p>
      <w:r>
        <w:rPr>
          <w:rFonts w:ascii="Arial" w:hAnsi="Arial"/>
          <w:color w:val="4B4F56"/>
          <w:sz w:val="18"/>
        </w:rPr>
        <w:t>4. Das fünfte P: Planet als Rückkopplung in den Marketing-Mix</w:t>
      </w:r>
    </w:p>
    <w:p>
      <w:r>
        <w:rPr>
          <w:rFonts w:ascii="Arial" w:hAnsi="Arial"/>
          <w:color w:val="4B4F56"/>
          <w:sz w:val="18"/>
        </w:rPr>
        <w:t>5. Akteursgruppen und Verantwortungsketten</w:t>
      </w:r>
    </w:p>
    <w:p>
      <w:r>
        <w:rPr>
          <w:rFonts w:ascii="Arial" w:hAnsi="Arial"/>
          <w:color w:val="4B4F56"/>
          <w:sz w:val="18"/>
        </w:rPr>
        <w:t>6. Wirkungsmechanik: Von Kommunikation zu Marktverhalten</w:t>
      </w:r>
    </w:p>
    <w:p>
      <w:r>
        <w:rPr>
          <w:rFonts w:ascii="Arial" w:hAnsi="Arial"/>
          <w:color w:val="4B4F56"/>
          <w:sz w:val="18"/>
        </w:rPr>
        <w:t>7. WÖk-IDs, Indikatoren und Datenquellen</w:t>
      </w:r>
    </w:p>
    <w:p>
      <w:r>
        <w:rPr>
          <w:rFonts w:ascii="Arial" w:hAnsi="Arial"/>
          <w:color w:val="4B4F56"/>
          <w:sz w:val="18"/>
        </w:rPr>
        <w:t>8. Rechtliche und regulatorische Anschlussstellen</w:t>
      </w:r>
    </w:p>
    <w:p>
      <w:r>
        <w:rPr>
          <w:rFonts w:ascii="Arial" w:hAnsi="Arial"/>
          <w:color w:val="4B4F56"/>
          <w:sz w:val="18"/>
        </w:rPr>
        <w:t>9. Anreiz- und Steuerlogik</w:t>
      </w:r>
    </w:p>
    <w:p>
      <w:r>
        <w:rPr>
          <w:rFonts w:ascii="Arial" w:hAnsi="Arial"/>
          <w:color w:val="4B4F56"/>
          <w:sz w:val="18"/>
        </w:rPr>
        <w:t>10. Praxisbeispiele und Szenarien</w:t>
      </w:r>
    </w:p>
    <w:p>
      <w:r>
        <w:rPr>
          <w:rFonts w:ascii="Arial" w:hAnsi="Arial"/>
          <w:color w:val="4B4F56"/>
          <w:sz w:val="18"/>
        </w:rPr>
        <w:t>11. Tool- und Rechnerbezug</w:t>
      </w:r>
    </w:p>
    <w:p>
      <w:r>
        <w:rPr>
          <w:rFonts w:ascii="Arial" w:hAnsi="Arial"/>
          <w:color w:val="4B4F56"/>
          <w:sz w:val="18"/>
        </w:rPr>
        <w:t>12. SDG-/SDG+-Bezug</w:t>
      </w:r>
    </w:p>
    <w:p>
      <w:r>
        <w:rPr>
          <w:rFonts w:ascii="Arial" w:hAnsi="Arial"/>
          <w:color w:val="4B4F56"/>
          <w:sz w:val="18"/>
        </w:rPr>
        <w:t>13. Politische Anschlussfähigkeit und Umsetzungsoptionen</w:t>
      </w:r>
    </w:p>
    <w:p>
      <w:r>
        <w:rPr>
          <w:rFonts w:ascii="Arial" w:hAnsi="Arial"/>
          <w:color w:val="4B4F56"/>
          <w:sz w:val="18"/>
        </w:rPr>
        <w:t>14. Website- und Portalintegration</w:t>
      </w:r>
    </w:p>
    <w:p>
      <w:r>
        <w:rPr>
          <w:rFonts w:ascii="Arial" w:hAnsi="Arial"/>
          <w:color w:val="4B4F56"/>
          <w:sz w:val="18"/>
        </w:rPr>
        <w:t>15. Fazit</w:t>
      </w:r>
    </w:p>
    <w:p>
      <w:r>
        <w:br w:type="page"/>
      </w:r>
    </w:p>
    <w:p>
      <w:pPr>
        <w:pStyle w:val="Heading1"/>
      </w:pPr>
      <w:r>
        <w:t>Executive Summary</w:t>
      </w:r>
    </w:p>
    <w:p>
      <w:r>
        <w:rPr>
          <w:rFonts w:ascii="Arial" w:hAnsi="Arial"/>
          <w:color w:val="4B4F56"/>
          <w:sz w:val="19"/>
        </w:rPr>
        <w:t>Marketing ist in der alten Unternehmenslogik häufig Absatzbeschleunigung: Es soll Nachfrage erzeugen, Markenpräferenz steigern, Kaufentscheidungen lenken und Umsatz sichern. Diese Funktionen bleiben nicht automatisch problematisch. Problematisch wird Marketing dort, wo es Produktwahrheit von Produktwirkung trennt, Bedürfnisse künstlich erzeugt, negative Wirkungen verdeckt oder Verantwortung in Image übersetzt.</w:t>
      </w:r>
    </w:p>
    <w:p>
      <w:r>
        <w:rPr>
          <w:rFonts w:ascii="Arial" w:hAnsi="Arial"/>
          <w:color w:val="4B4F56"/>
          <w:sz w:val="19"/>
        </w:rPr>
        <w:t>Die Wirkungsökonomie ordnet Marketing und Vertrieb deshalb nicht als reine Kommunikationsfunktionen, sondern als Wirkungsräume. Jedes Angebot, jede Behauptung, jede Preisaktion, jeder Claim, jede Kampagne und jede Verkaufslogik kann Zustände verändern: Vertrauen, Konsumverhalten, Ressourcennutzung, Gesundheit, soziale Zugehörigkeit, demokratische Informationsqualität und Marktdynamiken.</w:t>
      </w:r>
    </w:p>
    <w:p>
      <w:r>
        <w:rPr>
          <w:rFonts w:ascii="Arial" w:hAnsi="Arial"/>
          <w:color w:val="4B4F56"/>
          <w:sz w:val="19"/>
        </w:rPr>
        <w:t>Das fünfte P - Planet - erweitert die klassische Marketinglogik von Product, Price, Place und Promotion. Es meint nicht grünes Storytelling, sondern die Pflicht, Produkt- und Marktentscheidungen an tatsächliche Wirkung zurückzubinden. Planet steht dabei stellvertretend für Mensch, Planet und Demokratie: kein Produktversprechen ohne Wirkungsbezug, keine Absatzstrategie ohne Folgenprüfung und keine Markenkommunikation ohne Datenklarheit.</w:t>
      </w:r>
    </w:p>
    <w:tbl>
      <w:tblPr>
        <w:tblW w:type="auto" w:w="0"/>
        <w:jc w:val="center"/>
        <w:tblLook w:firstColumn="1" w:firstRow="1" w:lastColumn="0" w:lastRow="0" w:noHBand="0" w:noVBand="1" w:val="04A0"/>
        <w:tblBorders>
          <w:top w:val="single" w:sz="6" w:space="0" w:color="E6DFD4"/>
          <w:left w:val="single" w:sz="6" w:space="0" w:color="E6DFD4"/>
          <w:bottom w:val="single" w:sz="6" w:space="0" w:color="E6DFD4"/>
          <w:right w:val="single" w:sz="6" w:space="0" w:color="E6DFD4"/>
          <w:insideH w:val="single" w:sz="6" w:space="0" w:color="E6DFD4"/>
          <w:insideV w:val="single" w:sz="6" w:space="0" w:color="E6DFD4"/>
        </w:tblBorders>
      </w:tblPr>
      <w:tblGrid>
        <w:gridCol w:w="9809"/>
      </w:tblGrid>
      <w:tr>
        <w:tc>
          <w:tcPr>
            <w:tcW w:type="dxa" w:w="9809"/>
            <w:shd w:fill="FBF8F1"/>
            <w:tcMar>
              <w:top w:w="180" w:type="dxa"/>
              <w:start w:w="200" w:type="dxa"/>
              <w:bottom w:w="180" w:type="dxa"/>
              <w:end w:w="200" w:type="dxa"/>
            </w:tcMar>
          </w:tcPr>
          <w:p>
            <w:r>
              <w:rPr>
                <w:rFonts w:ascii="Arial" w:hAnsi="Arial"/>
                <w:b/>
                <w:color w:val="C89B3C"/>
                <w:sz w:val="16"/>
              </w:rPr>
              <w:t>KERNSATZ</w:t>
            </w:r>
          </w:p>
          <w:p>
            <w:r>
              <w:rPr>
                <w:rFonts w:ascii="Georgia" w:hAnsi="Georgia"/>
                <w:b/>
                <w:color w:val="0B1020"/>
                <w:sz w:val="26"/>
              </w:rPr>
              <w:t>Marketing wird in der Wirkungsökonomie nicht abgeschafft. Es wird erwachsen: Es darf begeistern, aber nicht entkoppeln; es darf überzeugen, aber nicht verschleiern; es darf Nachfrage schaffen, aber nicht auf Kosten unsichtbarer Schäden.</w:t>
            </w:r>
          </w:p>
        </w:tc>
      </w:tr>
    </w:tbl>
    <w:p/>
    <w:p>
      <w:pPr>
        <w:pStyle w:val="Heading1"/>
      </w:pPr>
      <w:r>
        <w:t>Ausgangsdiagnose: Absatzlogik ohne Wirkungswahrheit</w:t>
      </w:r>
    </w:p>
    <w:p>
      <w:r>
        <w:rPr>
          <w:rFonts w:ascii="Arial" w:hAnsi="Arial"/>
          <w:color w:val="4B4F56"/>
          <w:sz w:val="19"/>
        </w:rPr>
        <w:t>Klassisches Marketing misst Reichweite, Leads, Conversion, Absatz, Markenbekanntheit, Warenkorbwert und Wiederkaufrate. Diese Kennzahlen sind betriebswirtschaftlich nützlich, aber wirkungsblind. Sie zeigen, ob Kommunikation funktioniert, nicht ob das, was sie hervorbringt, für Mensch, Planet und Demokratie tragfähig ist.</w:t>
      </w:r>
    </w:p>
    <w:p>
      <w:r>
        <w:rPr>
          <w:rFonts w:ascii="Arial" w:hAnsi="Arial"/>
          <w:color w:val="4B4F56"/>
          <w:sz w:val="19"/>
        </w:rPr>
        <w:t>Ein Unternehmen kann eine Kampagne erfolgreich nennen, wenn sie mehr Konsum auslöst, selbst wenn das Produkt ressourcenintensiv, gesundheitlich problematisch oder sozial schädlich ist. Ein Rabatt kann Umsatz erzeugen und gleichzeitig Überkonsum, Retouren, Verschwendung oder Verschuldung fördern. Ein Nachhaltigkeitsclaim kann Vertrauen erzeugen, obwohl die relevante Wirkung gar nicht belegt oder nur in Nebenaspekten verbessert wurde.</w:t>
      </w:r>
    </w:p>
    <w:p>
      <w:r>
        <w:rPr>
          <w:rFonts w:ascii="Arial" w:hAnsi="Arial"/>
          <w:color w:val="4B4F56"/>
          <w:sz w:val="19"/>
        </w:rPr>
        <w:t>Die Wirkungsökonomie erkennt hier keine Schuld einzelner Marketingabteilungen, sondern einen Maßstabsfehler. Solange Unternehmen an Absatz, Margen und Marktmacht gemessen werden, wird Marketing in diese Richtung optimieren. Erst wenn Wirkung in Produktdaten, Preissignale, Claims, Vertriebskanäle und Kund:inneninformation zurückwirkt, entsteht ein anderer Wettbewerb.</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04"/>
        <w:gridCol w:w="4904"/>
      </w:tblGrid>
      <w:tr>
        <w:trPr>
          <w:tblHeader w:val="true"/>
        </w:trPr>
        <w:tc>
          <w:tcPr>
            <w:tcW w:type="dxa" w:w="4252"/>
            <w:shd w:fill="0B1020"/>
            <w:tcMar>
              <w:top w:w="90" w:type="dxa"/>
              <w:start w:w="90" w:type="dxa"/>
              <w:bottom w:w="90" w:type="dxa"/>
              <w:end w:w="90" w:type="dxa"/>
            </w:tcMar>
          </w:tcPr>
          <w:p>
            <w:r>
              <w:rPr>
                <w:b/>
                <w:color w:val="FFFFFF"/>
              </w:rPr>
              <w:t>Alte Logik</w:t>
            </w:r>
          </w:p>
        </w:tc>
        <w:tc>
          <w:tcPr>
            <w:tcW w:type="dxa" w:w="4819"/>
            <w:shd w:fill="0B1020"/>
            <w:tcMar>
              <w:top w:w="90" w:type="dxa"/>
              <w:start w:w="90" w:type="dxa"/>
              <w:bottom w:w="90" w:type="dxa"/>
              <w:end w:w="90" w:type="dxa"/>
            </w:tcMar>
          </w:tcPr>
          <w:p>
            <w:r>
              <w:rPr>
                <w:b/>
                <w:color w:val="FFFFFF"/>
              </w:rPr>
              <w:t>Wirkungsökonomische Logik</w:t>
            </w:r>
          </w:p>
        </w:tc>
      </w:tr>
      <w:tr>
        <w:tc>
          <w:tcPr>
            <w:tcW w:type="dxa" w:w="4252"/>
            <w:tcMar>
              <w:top w:w="80" w:type="dxa"/>
              <w:start w:w="90" w:type="dxa"/>
              <w:bottom w:w="80" w:type="dxa"/>
              <w:end w:w="90" w:type="dxa"/>
            </w:tcMar>
            <w:shd w:fill="FBF8F1"/>
          </w:tcPr>
          <w:p>
            <w:r>
              <w:rPr>
                <w:b/>
                <w:color w:val="0B1020"/>
              </w:rPr>
              <w:t>Marketing = Absatzsteigerung</w:t>
            </w:r>
          </w:p>
        </w:tc>
        <w:tc>
          <w:tcPr>
            <w:tcW w:type="dxa" w:w="4819"/>
            <w:tcMar>
              <w:top w:w="80" w:type="dxa"/>
              <w:start w:w="90" w:type="dxa"/>
              <w:bottom w:w="80" w:type="dxa"/>
              <w:end w:w="90" w:type="dxa"/>
            </w:tcMar>
          </w:tcPr>
          <w:p>
            <w:r>
              <w:t>Marketing = transparente Verbindung von Angebot, Wirkung und Entscheidung</w:t>
            </w:r>
          </w:p>
        </w:tc>
      </w:tr>
      <w:tr>
        <w:tc>
          <w:tcPr>
            <w:tcW w:type="dxa" w:w="4252"/>
            <w:tcMar>
              <w:top w:w="80" w:type="dxa"/>
              <w:start w:w="90" w:type="dxa"/>
              <w:bottom w:w="80" w:type="dxa"/>
              <w:end w:w="90" w:type="dxa"/>
            </w:tcMar>
            <w:shd w:fill="FBF8F1"/>
          </w:tcPr>
          <w:p>
            <w:r>
              <w:rPr>
                <w:b/>
                <w:color w:val="0B1020"/>
              </w:rPr>
              <w:t>Claim ersetzt Nachweis</w:t>
            </w:r>
          </w:p>
        </w:tc>
        <w:tc>
          <w:tcPr>
            <w:tcW w:type="dxa" w:w="4819"/>
            <w:tcMar>
              <w:top w:w="80" w:type="dxa"/>
              <w:start w:w="90" w:type="dxa"/>
              <w:bottom w:w="80" w:type="dxa"/>
              <w:end w:w="90" w:type="dxa"/>
            </w:tcMar>
          </w:tcPr>
          <w:p>
            <w:r>
              <w:t>Claim folgt geprüfter Wirkungsinformation</w:t>
            </w:r>
          </w:p>
        </w:tc>
      </w:tr>
      <w:tr>
        <w:tc>
          <w:tcPr>
            <w:tcW w:type="dxa" w:w="4252"/>
            <w:tcMar>
              <w:top w:w="80" w:type="dxa"/>
              <w:start w:w="90" w:type="dxa"/>
              <w:bottom w:w="80" w:type="dxa"/>
              <w:end w:w="90" w:type="dxa"/>
            </w:tcMar>
            <w:shd w:fill="FBF8F1"/>
          </w:tcPr>
          <w:p>
            <w:r>
              <w:rPr>
                <w:b/>
                <w:color w:val="0B1020"/>
              </w:rPr>
              <w:t>Kundennutzen = Zahlungsbereitschaft</w:t>
            </w:r>
          </w:p>
        </w:tc>
        <w:tc>
          <w:tcPr>
            <w:tcW w:type="dxa" w:w="4819"/>
            <w:tcMar>
              <w:top w:w="80" w:type="dxa"/>
              <w:start w:w="90" w:type="dxa"/>
              <w:bottom w:w="80" w:type="dxa"/>
              <w:end w:w="90" w:type="dxa"/>
            </w:tcMar>
          </w:tcPr>
          <w:p>
            <w:r>
              <w:t>Kundennutzen = Nutzen ohne verdeckte Schädigung von Mensch, Planet und Demokratie</w:t>
            </w:r>
          </w:p>
        </w:tc>
      </w:tr>
      <w:tr>
        <w:tc>
          <w:tcPr>
            <w:tcW w:type="dxa" w:w="4252"/>
            <w:tcMar>
              <w:top w:w="80" w:type="dxa"/>
              <w:start w:w="90" w:type="dxa"/>
              <w:bottom w:w="80" w:type="dxa"/>
              <w:end w:w="90" w:type="dxa"/>
            </w:tcMar>
            <w:shd w:fill="FBF8F1"/>
          </w:tcPr>
          <w:p>
            <w:r>
              <w:rPr>
                <w:b/>
                <w:color w:val="0B1020"/>
              </w:rPr>
              <w:t>Green Storytelling</w:t>
            </w:r>
          </w:p>
        </w:tc>
        <w:tc>
          <w:tcPr>
            <w:tcW w:type="dxa" w:w="4819"/>
            <w:tcMar>
              <w:top w:w="80" w:type="dxa"/>
              <w:start w:w="90" w:type="dxa"/>
              <w:bottom w:w="80" w:type="dxa"/>
              <w:end w:w="90" w:type="dxa"/>
            </w:tcMar>
          </w:tcPr>
          <w:p>
            <w:r>
              <w:t>Wirkungswahrheit, Datenklarheit und Nichtkompensation</w:t>
            </w:r>
          </w:p>
        </w:tc>
      </w:tr>
      <w:tr>
        <w:tc>
          <w:tcPr>
            <w:tcW w:type="dxa" w:w="4252"/>
            <w:tcMar>
              <w:top w:w="80" w:type="dxa"/>
              <w:start w:w="90" w:type="dxa"/>
              <w:bottom w:w="80" w:type="dxa"/>
              <w:end w:w="90" w:type="dxa"/>
            </w:tcMar>
            <w:shd w:fill="FBF8F1"/>
          </w:tcPr>
          <w:p>
            <w:r>
              <w:rPr>
                <w:b/>
                <w:color w:val="0B1020"/>
              </w:rPr>
              <w:t>Promotion optimiert Impuls</w:t>
            </w:r>
          </w:p>
        </w:tc>
        <w:tc>
          <w:tcPr>
            <w:tcW w:type="dxa" w:w="4819"/>
            <w:tcMar>
              <w:top w:w="80" w:type="dxa"/>
              <w:start w:w="90" w:type="dxa"/>
              <w:bottom w:w="80" w:type="dxa"/>
              <w:end w:w="90" w:type="dxa"/>
            </w:tcMar>
          </w:tcPr>
          <w:p>
            <w:r>
              <w:t>Kommunikation schützt Mündigkeit und Entscheidungsqualität</w:t>
            </w:r>
          </w:p>
        </w:tc>
      </w:tr>
    </w:tbl>
    <w:p/>
    <w:p>
      <w:pPr>
        <w:pStyle w:val="Heading1"/>
      </w:pPr>
      <w:r>
        <w:t>Begriffsabgrenzung: Marketingwirkung, Wirkungspotenzial und Manipulation</w:t>
      </w:r>
    </w:p>
    <w:p>
      <w:r>
        <w:rPr>
          <w:rFonts w:ascii="Arial" w:hAnsi="Arial"/>
          <w:color w:val="4B4F56"/>
          <w:sz w:val="19"/>
        </w:rPr>
        <w:t>Marketing erzeugt häufig zunächst Wirkungspotenzial. Eine Botschaft verändert nicht automatisch Verhalten oder Systemzustände, aber sie kann Wahrnehmung, Aufmerksamkeit, Begehrlichkeit, Normalisierung, Statuslogik und Kaufwahrscheinlichkeit verschieben. Gerade deshalb muss Marketing präzise betrachtet werden: Nicht jeder Claim ist Wirkung, aber jeder Claim ist ein möglicher Wirkstoff im Resonanzraum.</w:t>
      </w:r>
    </w:p>
    <w:p>
      <w:r>
        <w:rPr>
          <w:rFonts w:ascii="Arial" w:hAnsi="Arial"/>
          <w:color w:val="4B4F56"/>
          <w:sz w:val="19"/>
        </w:rPr>
        <w:t>Die Grenze zwischen Überzeugung und Manipulation verläuft nicht daran, ob Kommunikation emotional ist. Auch gute Kommunikation darf berühren. Problematisch wird sie, wenn wesentliche Wirkungsinformationen verdeckt, Zielgruppen gezielt überfordert, Schwächen ausgenutzt, ökologische oder soziale Nebeneffekte verschleiert oder Scheinnachweise eingesetzt werden.</w:t>
      </w:r>
    </w:p>
    <w:p>
      <w:r>
        <w:rPr>
          <w:rFonts w:ascii="Arial" w:hAnsi="Arial"/>
          <w:color w:val="4B4F56"/>
          <w:sz w:val="19"/>
        </w:rPr>
        <w:t>Wirkungsökonomisches Marketing bewertet daher nicht Geschmack, Kreativität oder Stil. Es bewertet die Bedingungen der Entscheidung: Datenklarheit, Claim-Substanz, Verhältnis von Produktnutzen und Produktwirkung, Transparenz über Grenzen, Vermeidung von Täuschung, Schutz vulnerabler Gruppen und Rückkopplung in die Produktentwicklung.</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04"/>
        <w:gridCol w:w="4904"/>
      </w:tblGrid>
      <w:tr>
        <w:trPr>
          <w:tblHeader w:val="true"/>
        </w:trPr>
        <w:tc>
          <w:tcPr>
            <w:tcW w:type="dxa" w:w="2835"/>
            <w:shd w:fill="0B1020"/>
            <w:tcMar>
              <w:top w:w="90" w:type="dxa"/>
              <w:start w:w="90" w:type="dxa"/>
              <w:bottom w:w="90" w:type="dxa"/>
              <w:end w:w="90" w:type="dxa"/>
            </w:tcMar>
          </w:tcPr>
          <w:p>
            <w:r>
              <w:rPr>
                <w:b/>
                <w:color w:val="FFFFFF"/>
              </w:rPr>
              <w:t>Begriff</w:t>
            </w:r>
          </w:p>
        </w:tc>
        <w:tc>
          <w:tcPr>
            <w:tcW w:type="dxa" w:w="6236"/>
            <w:shd w:fill="0B1020"/>
            <w:tcMar>
              <w:top w:w="90" w:type="dxa"/>
              <w:start w:w="90" w:type="dxa"/>
              <w:bottom w:w="90" w:type="dxa"/>
              <w:end w:w="90" w:type="dxa"/>
            </w:tcMar>
          </w:tcPr>
          <w:p>
            <w:r>
              <w:rPr>
                <w:b/>
                <w:color w:val="FFFFFF"/>
              </w:rPr>
              <w:t>WÖk-Verständnis</w:t>
            </w:r>
          </w:p>
        </w:tc>
      </w:tr>
      <w:tr>
        <w:tc>
          <w:tcPr>
            <w:tcW w:type="dxa" w:w="2835"/>
            <w:tcMar>
              <w:top w:w="80" w:type="dxa"/>
              <w:start w:w="90" w:type="dxa"/>
              <w:bottom w:w="80" w:type="dxa"/>
              <w:end w:w="90" w:type="dxa"/>
            </w:tcMar>
            <w:shd w:fill="FBF8F1"/>
          </w:tcPr>
          <w:p>
            <w:r>
              <w:rPr>
                <w:b/>
                <w:color w:val="0B1020"/>
              </w:rPr>
              <w:t>Marketingwirkung</w:t>
            </w:r>
          </w:p>
        </w:tc>
        <w:tc>
          <w:tcPr>
            <w:tcW w:type="dxa" w:w="6236"/>
            <w:tcMar>
              <w:top w:w="80" w:type="dxa"/>
              <w:start w:w="90" w:type="dxa"/>
              <w:bottom w:w="80" w:type="dxa"/>
              <w:end w:w="90" w:type="dxa"/>
            </w:tcMar>
          </w:tcPr>
          <w:p>
            <w:r>
              <w:t>Zustandsveränderung durch Marktkommunikation, Vertrieb oder Entscheidungsarchitektur</w:t>
            </w:r>
          </w:p>
        </w:tc>
      </w:tr>
      <w:tr>
        <w:tc>
          <w:tcPr>
            <w:tcW w:type="dxa" w:w="2835"/>
            <w:tcMar>
              <w:top w:w="80" w:type="dxa"/>
              <w:start w:w="90" w:type="dxa"/>
              <w:bottom w:w="80" w:type="dxa"/>
              <w:end w:w="90" w:type="dxa"/>
            </w:tcMar>
            <w:shd w:fill="FBF8F1"/>
          </w:tcPr>
          <w:p>
            <w:r>
              <w:rPr>
                <w:b/>
                <w:color w:val="0B1020"/>
              </w:rPr>
              <w:t>Wirkungspotenzial</w:t>
            </w:r>
          </w:p>
        </w:tc>
        <w:tc>
          <w:tcPr>
            <w:tcW w:type="dxa" w:w="6236"/>
            <w:tcMar>
              <w:top w:w="80" w:type="dxa"/>
              <w:start w:w="90" w:type="dxa"/>
              <w:bottom w:w="80" w:type="dxa"/>
              <w:end w:w="90" w:type="dxa"/>
            </w:tcMar>
          </w:tcPr>
          <w:p>
            <w:r>
              <w:t>Möglichkeit, dass Kommunikation Verhalten, Vertrauen, Normalisierung oder Konsum verschiebt</w:t>
            </w:r>
          </w:p>
        </w:tc>
      </w:tr>
      <w:tr>
        <w:tc>
          <w:tcPr>
            <w:tcW w:type="dxa" w:w="2835"/>
            <w:tcMar>
              <w:top w:w="80" w:type="dxa"/>
              <w:start w:w="90" w:type="dxa"/>
              <w:bottom w:w="80" w:type="dxa"/>
              <w:end w:w="90" w:type="dxa"/>
            </w:tcMar>
            <w:shd w:fill="FBF8F1"/>
          </w:tcPr>
          <w:p>
            <w:r>
              <w:rPr>
                <w:b/>
                <w:color w:val="0B1020"/>
              </w:rPr>
              <w:t>Greenwashing</w:t>
            </w:r>
          </w:p>
        </w:tc>
        <w:tc>
          <w:tcPr>
            <w:tcW w:type="dxa" w:w="6236"/>
            <w:tcMar>
              <w:top w:w="80" w:type="dxa"/>
              <w:start w:w="90" w:type="dxa"/>
              <w:bottom w:w="80" w:type="dxa"/>
              <w:end w:w="90" w:type="dxa"/>
            </w:tcMar>
          </w:tcPr>
          <w:p>
            <w:r>
              <w:t>positive Wirkungsbehauptung ohne belastbaren Nachweis oder mit verdeckten Negativwirkungen</w:t>
            </w:r>
          </w:p>
        </w:tc>
      </w:tr>
      <w:tr>
        <w:tc>
          <w:tcPr>
            <w:tcW w:type="dxa" w:w="2835"/>
            <w:tcMar>
              <w:top w:w="80" w:type="dxa"/>
              <w:start w:w="90" w:type="dxa"/>
              <w:bottom w:w="80" w:type="dxa"/>
              <w:end w:w="90" w:type="dxa"/>
            </w:tcMar>
            <w:shd w:fill="FBF8F1"/>
          </w:tcPr>
          <w:p>
            <w:r>
              <w:rPr>
                <w:b/>
                <w:color w:val="0B1020"/>
              </w:rPr>
              <w:t>Social Washing</w:t>
            </w:r>
          </w:p>
        </w:tc>
        <w:tc>
          <w:tcPr>
            <w:tcW w:type="dxa" w:w="6236"/>
            <w:tcMar>
              <w:top w:w="80" w:type="dxa"/>
              <w:start w:w="90" w:type="dxa"/>
              <w:bottom w:w="80" w:type="dxa"/>
              <w:end w:w="90" w:type="dxa"/>
            </w:tcMar>
          </w:tcPr>
          <w:p>
            <w:r>
              <w:t>soziale Verantwortungsbehauptung, die Arbeits-, Lieferketten- oder Teilhaberisiken verdeckt</w:t>
            </w:r>
          </w:p>
        </w:tc>
      </w:tr>
      <w:tr>
        <w:tc>
          <w:tcPr>
            <w:tcW w:type="dxa" w:w="2835"/>
            <w:tcMar>
              <w:top w:w="80" w:type="dxa"/>
              <w:start w:w="90" w:type="dxa"/>
              <w:bottom w:w="80" w:type="dxa"/>
              <w:end w:w="90" w:type="dxa"/>
            </w:tcMar>
            <w:shd w:fill="FBF8F1"/>
          </w:tcPr>
          <w:p>
            <w:r>
              <w:rPr>
                <w:b/>
                <w:color w:val="0B1020"/>
              </w:rPr>
              <w:t>Wirkungswahrheit</w:t>
            </w:r>
          </w:p>
        </w:tc>
        <w:tc>
          <w:tcPr>
            <w:tcW w:type="dxa" w:w="6236"/>
            <w:tcMar>
              <w:top w:w="80" w:type="dxa"/>
              <w:start w:w="90" w:type="dxa"/>
              <w:bottom w:w="80" w:type="dxa"/>
              <w:end w:w="90" w:type="dxa"/>
            </w:tcMar>
          </w:tcPr>
          <w:p>
            <w:r>
              <w:t>Nachvollziehbarkeit der relevanten Wirkungsfolgen, inklusive Grenzen und Unsicherheiten</w:t>
            </w:r>
          </w:p>
        </w:tc>
      </w:tr>
    </w:tbl>
    <w:p/>
    <w:p>
      <w:pPr>
        <w:pStyle w:val="Heading1"/>
      </w:pPr>
      <w:r>
        <w:t>Das fünfte P: Planet als Rückkopplung in den Marketing-Mix</w:t>
      </w:r>
    </w:p>
    <w:p>
      <w:r>
        <w:rPr>
          <w:rFonts w:ascii="Arial" w:hAnsi="Arial"/>
          <w:color w:val="4B4F56"/>
          <w:sz w:val="19"/>
        </w:rPr>
        <w:t>Das fünfte P ist kein zusätzliches Dekorationselement. Es verändert die vier klassischen P von innen. Product wird nicht nur nach Funktion, Design und Preis-Leistung betrachtet, sondern nach Lebenszykluswirkung. Price wird nicht nur als Zahlungsbereitschaft, sondern als Wirklichkeitssignal verstanden. Place wird zur Frage nach Kanälen, Logistik, Verfügbarkeit und Barrierefreiheit. Promotion wird zur Frage nach Wahrhaftigkeit, Resonanzrisiko und Entscheidungsqualität.</w:t>
      </w:r>
    </w:p>
    <w:p>
      <w:r>
        <w:rPr>
          <w:rFonts w:ascii="Arial" w:hAnsi="Arial"/>
          <w:color w:val="4B4F56"/>
          <w:sz w:val="19"/>
        </w:rPr>
        <w:t>Planet ist dabei bewusst weit zu lesen. Es steht für die ökologischen Lebensgrundlagen, aber auch für die Rückbindung an Mensch und Demokratie. Ein Produkt, das ökologisch besser, aber sozial ausbeuterisch ist, kann nicht durch das fünfte P positiv gerahmt werden. Das fünfte P ist also keine grüne Claimfläche, sondern ein Prüfprinzip gegen Kompensation.</w:t>
      </w:r>
    </w:p>
    <w:p>
      <w:r>
        <w:rPr>
          <w:rFonts w:ascii="Arial" w:hAnsi="Arial"/>
          <w:color w:val="4B4F56"/>
          <w:sz w:val="19"/>
        </w:rPr>
        <w:t>Für Unternehmen bedeutet das: Marketing wird früher in Produktentwicklung, Einkauf, Wirkungscontrolling und Finanzkommunikation eingebunden. Es kommuniziert nicht nachträglich, was irgendwo im Unternehmen beschlossen wurde, sondern hilft, Angebote so zu gestalten, dass sie kommunikativ, wirtschaftlich und wirkungsseitig tragfähig sind.</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04"/>
        <w:gridCol w:w="4904"/>
      </w:tblGrid>
      <w:tr>
        <w:trPr>
          <w:tblHeader w:val="true"/>
        </w:trPr>
        <w:tc>
          <w:tcPr>
            <w:tcW w:type="dxa" w:w="2268"/>
            <w:shd w:fill="0B1020"/>
            <w:tcMar>
              <w:top w:w="90" w:type="dxa"/>
              <w:start w:w="90" w:type="dxa"/>
              <w:bottom w:w="90" w:type="dxa"/>
              <w:end w:w="90" w:type="dxa"/>
            </w:tcMar>
          </w:tcPr>
          <w:p>
            <w:r>
              <w:rPr>
                <w:b/>
                <w:color w:val="FFFFFF"/>
              </w:rPr>
              <w:t>Marketing-P</w:t>
            </w:r>
          </w:p>
        </w:tc>
        <w:tc>
          <w:tcPr>
            <w:tcW w:type="dxa" w:w="6803"/>
            <w:shd w:fill="0B1020"/>
            <w:tcMar>
              <w:top w:w="90" w:type="dxa"/>
              <w:start w:w="90" w:type="dxa"/>
              <w:bottom w:w="90" w:type="dxa"/>
              <w:end w:w="90" w:type="dxa"/>
            </w:tcMar>
          </w:tcPr>
          <w:p>
            <w:r>
              <w:rPr>
                <w:b/>
                <w:color w:val="FFFFFF"/>
              </w:rPr>
              <w:t>Wirkungsökonomische Erweiterung</w:t>
            </w:r>
          </w:p>
        </w:tc>
      </w:tr>
      <w:tr>
        <w:tc>
          <w:tcPr>
            <w:tcW w:type="dxa" w:w="2268"/>
            <w:tcMar>
              <w:top w:w="80" w:type="dxa"/>
              <w:start w:w="90" w:type="dxa"/>
              <w:bottom w:w="80" w:type="dxa"/>
              <w:end w:w="90" w:type="dxa"/>
            </w:tcMar>
            <w:shd w:fill="FBF8F1"/>
          </w:tcPr>
          <w:p>
            <w:r>
              <w:rPr>
                <w:b/>
                <w:color w:val="0B1020"/>
              </w:rPr>
              <w:t>Product</w:t>
            </w:r>
          </w:p>
        </w:tc>
        <w:tc>
          <w:tcPr>
            <w:tcW w:type="dxa" w:w="6803"/>
            <w:tcMar>
              <w:top w:w="80" w:type="dxa"/>
              <w:start w:w="90" w:type="dxa"/>
              <w:bottom w:w="80" w:type="dxa"/>
              <w:end w:w="90" w:type="dxa"/>
            </w:tcMar>
          </w:tcPr>
          <w:p>
            <w:r>
              <w:t>Produkt als Wirkungsträger über Rohstoffe, Herstellung, Nutzung und Ende</w:t>
            </w:r>
          </w:p>
        </w:tc>
      </w:tr>
      <w:tr>
        <w:tc>
          <w:tcPr>
            <w:tcW w:type="dxa" w:w="2268"/>
            <w:tcMar>
              <w:top w:w="80" w:type="dxa"/>
              <w:start w:w="90" w:type="dxa"/>
              <w:bottom w:w="80" w:type="dxa"/>
              <w:end w:w="90" w:type="dxa"/>
            </w:tcMar>
            <w:shd w:fill="FBF8F1"/>
          </w:tcPr>
          <w:p>
            <w:r>
              <w:rPr>
                <w:b/>
                <w:color w:val="0B1020"/>
              </w:rPr>
              <w:t>Price</w:t>
            </w:r>
          </w:p>
        </w:tc>
        <w:tc>
          <w:tcPr>
            <w:tcW w:type="dxa" w:w="6803"/>
            <w:tcMar>
              <w:top w:w="80" w:type="dxa"/>
              <w:start w:w="90" w:type="dxa"/>
              <w:bottom w:w="80" w:type="dxa"/>
              <w:end w:w="90" w:type="dxa"/>
            </w:tcMar>
          </w:tcPr>
          <w:p>
            <w:r>
              <w:t>Preis als Wirklichkeitssignal, ergänzt durch Wirkungssteuer und Folgekostenlogik</w:t>
            </w:r>
          </w:p>
        </w:tc>
      </w:tr>
      <w:tr>
        <w:tc>
          <w:tcPr>
            <w:tcW w:type="dxa" w:w="2268"/>
            <w:tcMar>
              <w:top w:w="80" w:type="dxa"/>
              <w:start w:w="90" w:type="dxa"/>
              <w:bottom w:w="80" w:type="dxa"/>
              <w:end w:w="90" w:type="dxa"/>
            </w:tcMar>
            <w:shd w:fill="FBF8F1"/>
          </w:tcPr>
          <w:p>
            <w:r>
              <w:rPr>
                <w:b/>
                <w:color w:val="0B1020"/>
              </w:rPr>
              <w:t>Place</w:t>
            </w:r>
          </w:p>
        </w:tc>
        <w:tc>
          <w:tcPr>
            <w:tcW w:type="dxa" w:w="6803"/>
            <w:tcMar>
              <w:top w:w="80" w:type="dxa"/>
              <w:start w:w="90" w:type="dxa"/>
              <w:bottom w:w="80" w:type="dxa"/>
              <w:end w:w="90" w:type="dxa"/>
            </w:tcMar>
          </w:tcPr>
          <w:p>
            <w:r>
              <w:t>Vertriebsweg, Verfügbarkeit, Logistik, Barrierefreiheit und regionale Wirkung</w:t>
            </w:r>
          </w:p>
        </w:tc>
      </w:tr>
      <w:tr>
        <w:tc>
          <w:tcPr>
            <w:tcW w:type="dxa" w:w="2268"/>
            <w:tcMar>
              <w:top w:w="80" w:type="dxa"/>
              <w:start w:w="90" w:type="dxa"/>
              <w:bottom w:w="80" w:type="dxa"/>
              <w:end w:w="90" w:type="dxa"/>
            </w:tcMar>
            <w:shd w:fill="FBF8F1"/>
          </w:tcPr>
          <w:p>
            <w:r>
              <w:rPr>
                <w:b/>
                <w:color w:val="0B1020"/>
              </w:rPr>
              <w:t>Promotion</w:t>
            </w:r>
          </w:p>
        </w:tc>
        <w:tc>
          <w:tcPr>
            <w:tcW w:type="dxa" w:w="6803"/>
            <w:tcMar>
              <w:top w:w="80" w:type="dxa"/>
              <w:start w:w="90" w:type="dxa"/>
              <w:bottom w:w="80" w:type="dxa"/>
              <w:end w:w="90" w:type="dxa"/>
            </w:tcMar>
          </w:tcPr>
          <w:p>
            <w:r>
              <w:t>Kommunikation mit Nachweis, Grenzen, Kontext und Schutz vor Manipulation</w:t>
            </w:r>
          </w:p>
        </w:tc>
      </w:tr>
      <w:tr>
        <w:tc>
          <w:tcPr>
            <w:tcW w:type="dxa" w:w="2268"/>
            <w:tcMar>
              <w:top w:w="80" w:type="dxa"/>
              <w:start w:w="90" w:type="dxa"/>
              <w:bottom w:w="80" w:type="dxa"/>
              <w:end w:w="90" w:type="dxa"/>
            </w:tcMar>
            <w:shd w:fill="FBF8F1"/>
          </w:tcPr>
          <w:p>
            <w:r>
              <w:rPr>
                <w:b/>
                <w:color w:val="0B1020"/>
              </w:rPr>
              <w:t>Planet</w:t>
            </w:r>
          </w:p>
        </w:tc>
        <w:tc>
          <w:tcPr>
            <w:tcW w:type="dxa" w:w="6803"/>
            <w:tcMar>
              <w:top w:w="80" w:type="dxa"/>
              <w:start w:w="90" w:type="dxa"/>
              <w:bottom w:w="80" w:type="dxa"/>
              <w:end w:w="90" w:type="dxa"/>
            </w:tcMar>
          </w:tcPr>
          <w:p>
            <w:r>
              <w:t>Nichtkompensierbarer Rückbezug auf Mensch, Planet und Demokratie</w:t>
            </w:r>
          </w:p>
        </w:tc>
      </w:tr>
    </w:tbl>
    <w:p/>
    <w:p>
      <w:pPr>
        <w:pStyle w:val="Heading1"/>
      </w:pPr>
      <w:r>
        <w:t>Akteursgruppen und Verantwortungsketten</w:t>
      </w:r>
    </w:p>
    <w:p>
      <w:r>
        <w:rPr>
          <w:rFonts w:ascii="Arial" w:hAnsi="Arial"/>
          <w:color w:val="4B4F56"/>
          <w:sz w:val="19"/>
        </w:rPr>
        <w:t>Marketingwirkung entsteht nicht nur in der Marketingabteilung. Produktmanagement, Vertrieb, Einkauf, Nachhaltigkeit, Recht, Datenmanagement, Agenturen, Influencer:innen, Plattformen, Händler und Kundendienst wirken zusammen. Deshalb braucht es klare Verantwortungsrollen und keine diffuse Schuldzuschreibung.</w:t>
      </w:r>
    </w:p>
    <w:p>
      <w:r>
        <w:rPr>
          <w:rFonts w:ascii="Arial" w:hAnsi="Arial"/>
          <w:color w:val="4B4F56"/>
          <w:sz w:val="19"/>
        </w:rPr>
        <w:t>Besonders wichtig ist die Schnittstelle zu Agenturen und externen Kommunikationspartnern. Wenn Marken Wirkung behaupten, müssen Agenturen Zugang zu belastbaren Wirkungsdaten erhalten und gleichzeitig verpflichtet sein, deren Grenzen nicht zu überschreiten. Influencer:innen und Creator:innen sind ebenfalls Teil der Wirkungskette, wenn sie Produkte empfehlen, Claims verstärken oder Konsummuster normalisieren.</w:t>
      </w:r>
    </w:p>
    <w:p>
      <w:r>
        <w:rPr>
          <w:rFonts w:ascii="Arial" w:hAnsi="Arial"/>
          <w:color w:val="4B4F56"/>
          <w:sz w:val="19"/>
        </w:rPr>
        <w:t>Vertrieb trägt eine eigene Verantwortung. Verkaufsgespräche, Provisionen, Bundles, Rabatte, Finanzierung, Retourenpolitik und Kund:innenbindung erzeugen Wirkung. Wirkungsökonomisch müssen Anreizsysteme deshalb verhindern, dass kurzfristiger Absatz langfristige Schäden überdeckt.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70"/>
        <w:gridCol w:w="3270"/>
        <w:gridCol w:w="3270"/>
      </w:tblGrid>
      <w:tr>
        <w:trPr>
          <w:tblHeader w:val="true"/>
        </w:trPr>
        <w:tc>
          <w:tcPr>
            <w:tcW w:type="dxa" w:w="2268"/>
            <w:shd w:fill="0B1020"/>
            <w:tcMar>
              <w:top w:w="90" w:type="dxa"/>
              <w:start w:w="90" w:type="dxa"/>
              <w:bottom w:w="90" w:type="dxa"/>
              <w:end w:w="90" w:type="dxa"/>
            </w:tcMar>
          </w:tcPr>
          <w:p>
            <w:r>
              <w:rPr>
                <w:b/>
                <w:color w:val="FFFFFF"/>
              </w:rPr>
              <w:t>Akteur</w:t>
            </w:r>
          </w:p>
        </w:tc>
        <w:tc>
          <w:tcPr>
            <w:tcW w:type="dxa" w:w="3969"/>
            <w:shd w:fill="0B1020"/>
            <w:tcMar>
              <w:top w:w="90" w:type="dxa"/>
              <w:start w:w="90" w:type="dxa"/>
              <w:bottom w:w="90" w:type="dxa"/>
              <w:end w:w="90" w:type="dxa"/>
            </w:tcMar>
          </w:tcPr>
          <w:p>
            <w:r>
              <w:rPr>
                <w:b/>
                <w:color w:val="FFFFFF"/>
              </w:rPr>
              <w:t>Wirkungsverantwortung</w:t>
            </w:r>
          </w:p>
        </w:tc>
        <w:tc>
          <w:tcPr>
            <w:tcW w:type="dxa" w:w="2835"/>
            <w:shd w:fill="0B1020"/>
            <w:tcMar>
              <w:top w:w="90" w:type="dxa"/>
              <w:start w:w="90" w:type="dxa"/>
              <w:bottom w:w="90" w:type="dxa"/>
              <w:end w:w="90" w:type="dxa"/>
            </w:tcMar>
          </w:tcPr>
          <w:p>
            <w:r>
              <w:rPr>
                <w:b/>
                <w:color w:val="FFFFFF"/>
              </w:rPr>
              <w:t>WÖk-Anschluss</w:t>
            </w:r>
          </w:p>
        </w:tc>
      </w:tr>
      <w:tr>
        <w:tc>
          <w:tcPr>
            <w:tcW w:type="dxa" w:w="2268"/>
            <w:tcMar>
              <w:top w:w="80" w:type="dxa"/>
              <w:start w:w="90" w:type="dxa"/>
              <w:bottom w:w="80" w:type="dxa"/>
              <w:end w:w="90" w:type="dxa"/>
            </w:tcMar>
            <w:shd w:fill="FBF8F1"/>
          </w:tcPr>
          <w:p>
            <w:r>
              <w:rPr>
                <w:b/>
                <w:color w:val="0B1020"/>
              </w:rPr>
              <w:t>Produktmanagement</w:t>
            </w:r>
          </w:p>
        </w:tc>
        <w:tc>
          <w:tcPr>
            <w:tcW w:type="dxa" w:w="3969"/>
            <w:tcMar>
              <w:top w:w="80" w:type="dxa"/>
              <w:start w:w="90" w:type="dxa"/>
              <w:bottom w:w="80" w:type="dxa"/>
              <w:end w:w="90" w:type="dxa"/>
            </w:tcMar>
          </w:tcPr>
          <w:p>
            <w:r>
              <w:t>Produktversprechen mit tatsächlicher Produktwirkung abgleichen</w:t>
            </w:r>
          </w:p>
        </w:tc>
        <w:tc>
          <w:tcPr>
            <w:tcW w:type="dxa" w:w="2835"/>
            <w:tcMar>
              <w:top w:w="80" w:type="dxa"/>
              <w:start w:w="90" w:type="dxa"/>
              <w:bottom w:w="80" w:type="dxa"/>
              <w:end w:w="90" w:type="dxa"/>
            </w:tcMar>
          </w:tcPr>
          <w:p>
            <w:r>
              <w:t>Produktscorecard, DPP, Design-for-Impact</w:t>
            </w:r>
          </w:p>
        </w:tc>
      </w:tr>
      <w:tr>
        <w:tc>
          <w:tcPr>
            <w:tcW w:type="dxa" w:w="2268"/>
            <w:tcMar>
              <w:top w:w="80" w:type="dxa"/>
              <w:start w:w="90" w:type="dxa"/>
              <w:bottom w:w="80" w:type="dxa"/>
              <w:end w:w="90" w:type="dxa"/>
            </w:tcMar>
            <w:shd w:fill="FBF8F1"/>
          </w:tcPr>
          <w:p>
            <w:r>
              <w:rPr>
                <w:b/>
                <w:color w:val="0B1020"/>
              </w:rPr>
              <w:t>Marketing/Brand</w:t>
            </w:r>
          </w:p>
        </w:tc>
        <w:tc>
          <w:tcPr>
            <w:tcW w:type="dxa" w:w="3969"/>
            <w:tcMar>
              <w:top w:w="80" w:type="dxa"/>
              <w:start w:w="90" w:type="dxa"/>
              <w:bottom w:w="80" w:type="dxa"/>
              <w:end w:w="90" w:type="dxa"/>
            </w:tcMar>
          </w:tcPr>
          <w:p>
            <w:r>
              <w:t>Claims, Tonalität, Zielgruppenansprache, Datenklarheit</w:t>
            </w:r>
          </w:p>
        </w:tc>
        <w:tc>
          <w:tcPr>
            <w:tcW w:type="dxa" w:w="2835"/>
            <w:tcMar>
              <w:top w:w="80" w:type="dxa"/>
              <w:start w:w="90" w:type="dxa"/>
              <w:bottom w:w="80" w:type="dxa"/>
              <w:end w:w="90" w:type="dxa"/>
            </w:tcMar>
          </w:tcPr>
          <w:p>
            <w:r>
              <w:t>5P-Scorecard, Green-Claims-Check</w:t>
            </w:r>
          </w:p>
        </w:tc>
      </w:tr>
      <w:tr>
        <w:tc>
          <w:tcPr>
            <w:tcW w:type="dxa" w:w="2268"/>
            <w:tcMar>
              <w:top w:w="80" w:type="dxa"/>
              <w:start w:w="90" w:type="dxa"/>
              <w:bottom w:w="80" w:type="dxa"/>
              <w:end w:w="90" w:type="dxa"/>
            </w:tcMar>
            <w:shd w:fill="FBF8F1"/>
          </w:tcPr>
          <w:p>
            <w:r>
              <w:rPr>
                <w:b/>
                <w:color w:val="0B1020"/>
              </w:rPr>
              <w:t>Vertrieb</w:t>
            </w:r>
          </w:p>
        </w:tc>
        <w:tc>
          <w:tcPr>
            <w:tcW w:type="dxa" w:w="3969"/>
            <w:tcMar>
              <w:top w:w="80" w:type="dxa"/>
              <w:start w:w="90" w:type="dxa"/>
              <w:bottom w:w="80" w:type="dxa"/>
              <w:end w:w="90" w:type="dxa"/>
            </w:tcMar>
          </w:tcPr>
          <w:p>
            <w:r>
              <w:t>Anreizsysteme, Kund:innenberatung, Abschlussdruck</w:t>
            </w:r>
          </w:p>
        </w:tc>
        <w:tc>
          <w:tcPr>
            <w:tcW w:type="dxa" w:w="2835"/>
            <w:tcMar>
              <w:top w:w="80" w:type="dxa"/>
              <w:start w:w="90" w:type="dxa"/>
              <w:bottom w:w="80" w:type="dxa"/>
              <w:end w:w="90" w:type="dxa"/>
            </w:tcMar>
          </w:tcPr>
          <w:p>
            <w:r>
              <w:t>Fair-Sales-Indikatoren, Beschwerdedaten</w:t>
            </w:r>
          </w:p>
        </w:tc>
      </w:tr>
      <w:tr>
        <w:tc>
          <w:tcPr>
            <w:tcW w:type="dxa" w:w="2268"/>
            <w:tcMar>
              <w:top w:w="80" w:type="dxa"/>
              <w:start w:w="90" w:type="dxa"/>
              <w:bottom w:w="80" w:type="dxa"/>
              <w:end w:w="90" w:type="dxa"/>
            </w:tcMar>
            <w:shd w:fill="FBF8F1"/>
          </w:tcPr>
          <w:p>
            <w:r>
              <w:rPr>
                <w:b/>
                <w:color w:val="0B1020"/>
              </w:rPr>
              <w:t>Recht/Compliance</w:t>
            </w:r>
          </w:p>
        </w:tc>
        <w:tc>
          <w:tcPr>
            <w:tcW w:type="dxa" w:w="3969"/>
            <w:tcMar>
              <w:top w:w="80" w:type="dxa"/>
              <w:start w:w="90" w:type="dxa"/>
              <w:bottom w:w="80" w:type="dxa"/>
              <w:end w:w="90" w:type="dxa"/>
            </w:tcMar>
          </w:tcPr>
          <w:p>
            <w:r>
              <w:t>Irreführung, Claims, Lauterkeitsrecht, Nachweise</w:t>
            </w:r>
          </w:p>
        </w:tc>
        <w:tc>
          <w:tcPr>
            <w:tcW w:type="dxa" w:w="2835"/>
            <w:tcMar>
              <w:top w:w="80" w:type="dxa"/>
              <w:start w:w="90" w:type="dxa"/>
              <w:bottom w:w="80" w:type="dxa"/>
              <w:end w:w="90" w:type="dxa"/>
            </w:tcMar>
          </w:tcPr>
          <w:p>
            <w:r>
              <w:t>Claim-Freigabe mit Wirkungsdaten</w:t>
            </w:r>
          </w:p>
        </w:tc>
      </w:tr>
      <w:tr>
        <w:tc>
          <w:tcPr>
            <w:tcW w:type="dxa" w:w="2268"/>
            <w:tcMar>
              <w:top w:w="80" w:type="dxa"/>
              <w:start w:w="90" w:type="dxa"/>
              <w:bottom w:w="80" w:type="dxa"/>
              <w:end w:w="90" w:type="dxa"/>
            </w:tcMar>
            <w:shd w:fill="FBF8F1"/>
          </w:tcPr>
          <w:p>
            <w:r>
              <w:rPr>
                <w:b/>
                <w:color w:val="0B1020"/>
              </w:rPr>
              <w:t>Agenturen/Creator</w:t>
            </w:r>
          </w:p>
        </w:tc>
        <w:tc>
          <w:tcPr>
            <w:tcW w:type="dxa" w:w="3969"/>
            <w:tcMar>
              <w:top w:w="80" w:type="dxa"/>
              <w:start w:w="90" w:type="dxa"/>
              <w:bottom w:w="80" w:type="dxa"/>
              <w:end w:w="90" w:type="dxa"/>
            </w:tcMar>
          </w:tcPr>
          <w:p>
            <w:r>
              <w:t>Resonanz, Reichweite, Framing, Glaubwürdigkeit</w:t>
            </w:r>
          </w:p>
        </w:tc>
        <w:tc>
          <w:tcPr>
            <w:tcW w:type="dxa" w:w="2835"/>
            <w:tcMar>
              <w:top w:w="80" w:type="dxa"/>
              <w:start w:w="90" w:type="dxa"/>
              <w:bottom w:w="80" w:type="dxa"/>
              <w:end w:w="90" w:type="dxa"/>
            </w:tcMar>
          </w:tcPr>
          <w:p>
            <w:r>
              <w:t>Transparenzpflicht und Wirkungspotenzial-Check</w:t>
            </w:r>
          </w:p>
        </w:tc>
      </w:tr>
    </w:tbl>
    <w:p/>
    <w:p>
      <w:pPr>
        <w:pStyle w:val="Heading1"/>
      </w:pPr>
      <w:r>
        <w:t>Wirkungsmechanik: Von Kommunikation zu Marktverhalten</w:t>
      </w:r>
    </w:p>
    <w:p>
      <w:r>
        <w:rPr>
          <w:rFonts w:ascii="Arial" w:hAnsi="Arial"/>
          <w:color w:val="4B4F56"/>
          <w:sz w:val="19"/>
        </w:rPr>
        <w:t>Die Wirkungsmechanik des Marketings verläuft in mehreren Stufen. Zunächst wird Aufmerksamkeit erzeugt. Dann werden Deutungsrahmen gesetzt: Was gilt als modern, gesund, nachhaltig, erfolgreich, normal oder begehrenswert? Anschließend werden Entscheidungen erleichtert, beschleunigt oder verzerrt. Schließlich wirken die aggregierten Entscheidungen auf Produktion, Lieferketten, Preise, Kapital und gesellschaftliche Normen zurück.</w:t>
      </w:r>
    </w:p>
    <w:p>
      <w:r>
        <w:rPr>
          <w:rFonts w:ascii="Arial" w:hAnsi="Arial"/>
          <w:color w:val="4B4F56"/>
          <w:sz w:val="19"/>
        </w:rPr>
        <w:t>Die Wirkungsökonomie macht diese Kette sichtbar. Sie fragt nicht nur, ob eine Kampagne wirkt, sondern worauf sie wirkt. Erhöht sie informierte Nachfrage nach besseren Produkten? Verschiebt sie Statuslogiken in Richtung Reparatur, Qualität, Langlebigkeit und Gesundheit? Oder verstärkt sie kurzlebigen Konsum, Verschwendung, Scheinlösungen und soziale Vergleichslogiken?</w:t>
      </w:r>
    </w:p>
    <w:p>
      <w:r>
        <w:rPr>
          <w:rFonts w:ascii="Arial" w:hAnsi="Arial"/>
          <w:color w:val="4B4F56"/>
          <w:sz w:val="19"/>
        </w:rPr>
        <w:t>Damit wird Marketing zum Hebel der Markttransformation. Wenn Unternehmen gute Produktwirkung glaubwürdig kommunizieren können, entsteht ein Wettbewerb um bessere Wirkung. Wenn schlechte Produktwirkung versteckt bleibt, bleibt der Wettbewerb verzerrt.</w:t>
      </w:r>
    </w:p>
    <w:tbl>
      <w:tblPr>
        <w:tblW w:type="auto" w:w="0"/>
        <w:jc w:val="center"/>
        <w:tblLook w:firstColumn="1" w:firstRow="1" w:lastColumn="0" w:lastRow="0" w:noHBand="0" w:noVBand="1" w:val="04A0"/>
        <w:tblBorders>
          <w:top w:val="single" w:sz="6" w:space="0" w:color="E6DFD4"/>
          <w:left w:val="single" w:sz="6" w:space="0" w:color="E6DFD4"/>
          <w:bottom w:val="single" w:sz="6" w:space="0" w:color="E6DFD4"/>
          <w:right w:val="single" w:sz="6" w:space="0" w:color="E6DFD4"/>
          <w:insideH w:val="single" w:sz="6" w:space="0" w:color="E6DFD4"/>
          <w:insideV w:val="single" w:sz="6" w:space="0" w:color="E6DFD4"/>
        </w:tblBorders>
      </w:tblPr>
      <w:tblGrid>
        <w:gridCol w:w="9809"/>
      </w:tblGrid>
      <w:tr>
        <w:tc>
          <w:tcPr>
            <w:tcW w:type="dxa" w:w="9809"/>
            <w:shd w:fill="FBF8F1"/>
            <w:tcMar>
              <w:top w:w="180" w:type="dxa"/>
              <w:start w:w="200" w:type="dxa"/>
              <w:bottom w:w="180" w:type="dxa"/>
              <w:end w:w="200" w:type="dxa"/>
            </w:tcMar>
          </w:tcPr>
          <w:p>
            <w:r>
              <w:rPr>
                <w:rFonts w:ascii="Arial" w:hAnsi="Arial"/>
                <w:b/>
                <w:color w:val="C89B3C"/>
                <w:sz w:val="16"/>
              </w:rPr>
              <w:t>WIRKUNGSPFAD</w:t>
            </w:r>
          </w:p>
          <w:p>
            <w:r>
              <w:rPr>
                <w:rFonts w:ascii="Georgia" w:hAnsi="Georgia"/>
                <w:b/>
                <w:color w:val="0B1020"/>
                <w:sz w:val="26"/>
              </w:rPr>
              <w:t>Aufmerksamkeit -&gt; Deutung -&gt; Entscheidung -&gt; Nachfrage -&gt; Produktionssignal -&gt; Lieferketten- und Kapitalrückkopplung.</w:t>
            </w:r>
          </w:p>
        </w:tc>
      </w:tr>
    </w:tbl>
    <w:p/>
    <w:p>
      <w:pPr>
        <w:pStyle w:val="Heading1"/>
      </w:pPr>
      <w:r>
        <w:t>WÖk-IDs, Indikatoren und Datenquellen</w:t>
      </w:r>
    </w:p>
    <w:p>
      <w:r>
        <w:rPr>
          <w:rFonts w:ascii="Arial" w:hAnsi="Arial"/>
          <w:color w:val="4B4F56"/>
          <w:sz w:val="19"/>
        </w:rPr>
        <w:t>Marketing selbst braucht keine vollständig neue Datenwelt. Es muss auf Produkt-, Unternehmens- und Lieferkettendaten zugreifen können. Dazu gehören WÖk-IDs, Produktscorecards, DPP-Daten, CSRD/ESRS-Berichtsdaten, Beschwerdedaten, Retourenquoten, Reparaturinformationen, Kundenzufriedenheit, Barrierefreiheit, Wirkungsrisiken und Kommunikationsaudit.</w:t>
      </w:r>
    </w:p>
    <w:p>
      <w:r>
        <w:rPr>
          <w:rFonts w:ascii="Arial" w:hAnsi="Arial"/>
          <w:color w:val="4B4F56"/>
          <w:sz w:val="19"/>
        </w:rPr>
        <w:t>Wichtig ist die Trennung von Claim-Daten und Claim-Wirkung. Ein Unternehmen kann eine reale CO2-Verbesserung nachweisen, aber die Kommunikation trotzdem irreführend gestalten, wenn sie die Verbesserung überdehnt oder relevante Negativwirkungen ausblendet. Deshalb braucht es neben Produktindikatoren auch Kommunikationsindikatoren.</w:t>
      </w:r>
    </w:p>
    <w:p>
      <w:r>
        <w:rPr>
          <w:rFonts w:ascii="Arial" w:hAnsi="Arial"/>
          <w:color w:val="4B4F56"/>
          <w:sz w:val="19"/>
        </w:rPr>
        <w:t>Für Marketing und Vertrieb besonders relevant sind Indikatorfamilien zu Produktlebenszyklus, Reparierbarkeit, Circularity, Gesundheit und Sicherheit, Fairness in der Lieferkette, Responsible Marketing, Barrierefreiheit, Datenschutz, Kund:inneninformation, Reklamationen, Retouren, Sucht-/Impulsrisiken und Claim-Substanz.</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70"/>
        <w:gridCol w:w="3270"/>
        <w:gridCol w:w="3270"/>
      </w:tblGrid>
      <w:tr>
        <w:trPr>
          <w:tblHeader w:val="true"/>
        </w:trPr>
        <w:tc>
          <w:tcPr>
            <w:tcW w:type="dxa" w:w="2835"/>
            <w:shd w:fill="0B1020"/>
            <w:tcMar>
              <w:top w:w="90" w:type="dxa"/>
              <w:start w:w="90" w:type="dxa"/>
              <w:bottom w:w="90" w:type="dxa"/>
              <w:end w:w="90" w:type="dxa"/>
            </w:tcMar>
          </w:tcPr>
          <w:p>
            <w:r>
              <w:rPr>
                <w:b/>
                <w:color w:val="FFFFFF"/>
              </w:rPr>
              <w:t>Indikatorfamilie</w:t>
            </w:r>
          </w:p>
        </w:tc>
        <w:tc>
          <w:tcPr>
            <w:tcW w:type="dxa" w:w="3402"/>
            <w:shd w:fill="0B1020"/>
            <w:tcMar>
              <w:top w:w="90" w:type="dxa"/>
              <w:start w:w="90" w:type="dxa"/>
              <w:bottom w:w="90" w:type="dxa"/>
              <w:end w:w="90" w:type="dxa"/>
            </w:tcMar>
          </w:tcPr>
          <w:p>
            <w:r>
              <w:rPr>
                <w:b/>
                <w:color w:val="FFFFFF"/>
              </w:rPr>
              <w:t>Beispielhafte Messung</w:t>
            </w:r>
          </w:p>
        </w:tc>
        <w:tc>
          <w:tcPr>
            <w:tcW w:type="dxa" w:w="2835"/>
            <w:shd w:fill="0B1020"/>
            <w:tcMar>
              <w:top w:w="90" w:type="dxa"/>
              <w:start w:w="90" w:type="dxa"/>
              <w:bottom w:w="90" w:type="dxa"/>
              <w:end w:w="90" w:type="dxa"/>
            </w:tcMar>
          </w:tcPr>
          <w:p>
            <w:r>
              <w:rPr>
                <w:b/>
                <w:color w:val="FFFFFF"/>
              </w:rPr>
              <w:t>Nutzung</w:t>
            </w:r>
          </w:p>
        </w:tc>
      </w:tr>
      <w:tr>
        <w:tc>
          <w:tcPr>
            <w:tcW w:type="dxa" w:w="2835"/>
            <w:tcMar>
              <w:top w:w="80" w:type="dxa"/>
              <w:start w:w="90" w:type="dxa"/>
              <w:bottom w:w="80" w:type="dxa"/>
              <w:end w:w="90" w:type="dxa"/>
            </w:tcMar>
            <w:shd w:fill="FBF8F1"/>
          </w:tcPr>
          <w:p>
            <w:r>
              <w:rPr>
                <w:b/>
                <w:color w:val="0B1020"/>
              </w:rPr>
              <w:t>Claim-Substanz</w:t>
            </w:r>
          </w:p>
        </w:tc>
        <w:tc>
          <w:tcPr>
            <w:tcW w:type="dxa" w:w="3402"/>
            <w:tcMar>
              <w:top w:w="80" w:type="dxa"/>
              <w:start w:w="90" w:type="dxa"/>
              <w:bottom w:w="80" w:type="dxa"/>
              <w:end w:w="90" w:type="dxa"/>
            </w:tcMar>
          </w:tcPr>
          <w:p>
            <w:r>
              <w:t>Anteil der Claims mit geprüftem Datennachweis</w:t>
            </w:r>
          </w:p>
        </w:tc>
        <w:tc>
          <w:tcPr>
            <w:tcW w:type="dxa" w:w="2835"/>
            <w:tcMar>
              <w:top w:w="80" w:type="dxa"/>
              <w:start w:w="90" w:type="dxa"/>
              <w:bottom w:w="80" w:type="dxa"/>
              <w:end w:w="90" w:type="dxa"/>
            </w:tcMar>
          </w:tcPr>
          <w:p>
            <w:r>
              <w:t>Freigabe und Risikoprüfung</w:t>
            </w:r>
          </w:p>
        </w:tc>
      </w:tr>
      <w:tr>
        <w:tc>
          <w:tcPr>
            <w:tcW w:type="dxa" w:w="2835"/>
            <w:tcMar>
              <w:top w:w="80" w:type="dxa"/>
              <w:start w:w="90" w:type="dxa"/>
              <w:bottom w:w="80" w:type="dxa"/>
              <w:end w:w="90" w:type="dxa"/>
            </w:tcMar>
            <w:shd w:fill="FBF8F1"/>
          </w:tcPr>
          <w:p>
            <w:r>
              <w:rPr>
                <w:b/>
                <w:color w:val="0B1020"/>
              </w:rPr>
              <w:t>Produktwirkungsdaten</w:t>
            </w:r>
          </w:p>
        </w:tc>
        <w:tc>
          <w:tcPr>
            <w:tcW w:type="dxa" w:w="3402"/>
            <w:tcMar>
              <w:top w:w="80" w:type="dxa"/>
              <w:start w:w="90" w:type="dxa"/>
              <w:bottom w:w="80" w:type="dxa"/>
              <w:end w:w="90" w:type="dxa"/>
            </w:tcMar>
          </w:tcPr>
          <w:p>
            <w:r>
              <w:t>FinalScore, Kernfelder, rote Linien</w:t>
            </w:r>
          </w:p>
        </w:tc>
        <w:tc>
          <w:tcPr>
            <w:tcW w:type="dxa" w:w="2835"/>
            <w:tcMar>
              <w:top w:w="80" w:type="dxa"/>
              <w:start w:w="90" w:type="dxa"/>
              <w:bottom w:w="80" w:type="dxa"/>
              <w:end w:w="90" w:type="dxa"/>
            </w:tcMar>
          </w:tcPr>
          <w:p>
            <w:r>
              <w:t>Kommunikationsgrundlage</w:t>
            </w:r>
          </w:p>
        </w:tc>
      </w:tr>
      <w:tr>
        <w:tc>
          <w:tcPr>
            <w:tcW w:type="dxa" w:w="2835"/>
            <w:tcMar>
              <w:top w:w="80" w:type="dxa"/>
              <w:start w:w="90" w:type="dxa"/>
              <w:bottom w:w="80" w:type="dxa"/>
              <w:end w:w="90" w:type="dxa"/>
            </w:tcMar>
            <w:shd w:fill="FBF8F1"/>
          </w:tcPr>
          <w:p>
            <w:r>
              <w:rPr>
                <w:b/>
                <w:color w:val="0B1020"/>
              </w:rPr>
              <w:t>Responsible Marketing</w:t>
            </w:r>
          </w:p>
        </w:tc>
        <w:tc>
          <w:tcPr>
            <w:tcW w:type="dxa" w:w="3402"/>
            <w:tcMar>
              <w:top w:w="80" w:type="dxa"/>
              <w:start w:w="90" w:type="dxa"/>
              <w:bottom w:w="80" w:type="dxa"/>
              <w:end w:w="90" w:type="dxa"/>
            </w:tcMar>
          </w:tcPr>
          <w:p>
            <w:r>
              <w:t>Beschwerden, Zielgruppenschutz, dark-pattern-freie Gestaltung</w:t>
            </w:r>
          </w:p>
        </w:tc>
        <w:tc>
          <w:tcPr>
            <w:tcW w:type="dxa" w:w="2835"/>
            <w:tcMar>
              <w:top w:w="80" w:type="dxa"/>
              <w:start w:w="90" w:type="dxa"/>
              <w:bottom w:w="80" w:type="dxa"/>
              <w:end w:w="90" w:type="dxa"/>
            </w:tcMar>
          </w:tcPr>
          <w:p>
            <w:r>
              <w:t>Vertrieb und UX</w:t>
            </w:r>
          </w:p>
        </w:tc>
      </w:tr>
      <w:tr>
        <w:tc>
          <w:tcPr>
            <w:tcW w:type="dxa" w:w="2835"/>
            <w:tcMar>
              <w:top w:w="80" w:type="dxa"/>
              <w:start w:w="90" w:type="dxa"/>
              <w:bottom w:w="80" w:type="dxa"/>
              <w:end w:w="90" w:type="dxa"/>
            </w:tcMar>
            <w:shd w:fill="FBF8F1"/>
          </w:tcPr>
          <w:p>
            <w:r>
              <w:rPr>
                <w:b/>
                <w:color w:val="0B1020"/>
              </w:rPr>
              <w:t>Kreislauf-Information</w:t>
            </w:r>
          </w:p>
        </w:tc>
        <w:tc>
          <w:tcPr>
            <w:tcW w:type="dxa" w:w="3402"/>
            <w:tcMar>
              <w:top w:w="80" w:type="dxa"/>
              <w:start w:w="90" w:type="dxa"/>
              <w:bottom w:w="80" w:type="dxa"/>
              <w:end w:w="90" w:type="dxa"/>
            </w:tcMar>
          </w:tcPr>
          <w:p>
            <w:r>
              <w:t>Reparierbarkeit, Rücknahme, Lebensdauer, Ersatzteile</w:t>
            </w:r>
          </w:p>
        </w:tc>
        <w:tc>
          <w:tcPr>
            <w:tcW w:type="dxa" w:w="2835"/>
            <w:tcMar>
              <w:top w:w="80" w:type="dxa"/>
              <w:start w:w="90" w:type="dxa"/>
              <w:bottom w:w="80" w:type="dxa"/>
              <w:end w:w="90" w:type="dxa"/>
            </w:tcMar>
          </w:tcPr>
          <w:p>
            <w:r>
              <w:t>Produktversprechen</w:t>
            </w:r>
          </w:p>
        </w:tc>
      </w:tr>
      <w:tr>
        <w:tc>
          <w:tcPr>
            <w:tcW w:type="dxa" w:w="2835"/>
            <w:tcMar>
              <w:top w:w="80" w:type="dxa"/>
              <w:start w:w="90" w:type="dxa"/>
              <w:bottom w:w="80" w:type="dxa"/>
              <w:end w:w="90" w:type="dxa"/>
            </w:tcMar>
            <w:shd w:fill="FBF8F1"/>
          </w:tcPr>
          <w:p>
            <w:r>
              <w:rPr>
                <w:b/>
                <w:color w:val="0B1020"/>
              </w:rPr>
              <w:t>Resonanzrisiko</w:t>
            </w:r>
          </w:p>
        </w:tc>
        <w:tc>
          <w:tcPr>
            <w:tcW w:type="dxa" w:w="3402"/>
            <w:tcMar>
              <w:top w:w="80" w:type="dxa"/>
              <w:start w:w="90" w:type="dxa"/>
              <w:bottom w:w="80" w:type="dxa"/>
              <w:end w:w="90" w:type="dxa"/>
            </w:tcMar>
          </w:tcPr>
          <w:p>
            <w:r>
              <w:t>Polarisierung, Übertreibung, irreführende Framingmuster</w:t>
            </w:r>
          </w:p>
        </w:tc>
        <w:tc>
          <w:tcPr>
            <w:tcW w:type="dxa" w:w="2835"/>
            <w:tcMar>
              <w:top w:w="80" w:type="dxa"/>
              <w:start w:w="90" w:type="dxa"/>
              <w:bottom w:w="80" w:type="dxa"/>
              <w:end w:w="90" w:type="dxa"/>
            </w:tcMar>
          </w:tcPr>
          <w:p>
            <w:r>
              <w:t>Kampagnenfreigabe</w:t>
            </w:r>
          </w:p>
        </w:tc>
      </w:tr>
    </w:tbl>
    <w:p/>
    <w:p>
      <w:pPr>
        <w:pStyle w:val="Heading1"/>
      </w:pPr>
      <w:r>
        <w:t>Rechtliche und regulatorische Anschlussstellen</w:t>
      </w:r>
    </w:p>
    <w:p>
      <w:r>
        <w:rPr>
          <w:rFonts w:ascii="Arial" w:hAnsi="Arial"/>
          <w:color w:val="4B4F56"/>
          <w:sz w:val="19"/>
        </w:rPr>
        <w:t>Die europäische Regulierung bewegt sich bereits in Richtung stärkerer Nachweispflichten und besserer Verbraucherinformation. Die Richtlinie (EU) 2024/825 stärkt Verbraucher:innen für den ökologischen Wandel und verändert die Regeln gegen unlautere Geschäftspraktiken. Für die Wirkungsökonomie ist das ein wichtiger Anschluss: Umwelt- und Nachhaltigkeitskommunikation wird nicht mehr nur als freiwillige Markenfrage behandelt, sondern als Informations- und Fairnessfrage.</w:t>
      </w:r>
    </w:p>
    <w:p>
      <w:r>
        <w:rPr>
          <w:rFonts w:ascii="Arial" w:hAnsi="Arial"/>
          <w:color w:val="4B4F56"/>
          <w:sz w:val="19"/>
        </w:rPr>
        <w:t>CSRD/ESRS schaffen Unternehmensdaten, die für Claims und Produktkommunikation nutzbar werden. Die EU-Taxonomie setzt Kriterien für ökologisch nachhaltige wirtschaftliche Tätigkeiten. ESPR und der digitale Produktpass schaffen perspektivisch produktbezogene Dateninfrastrukturen. Die Wirkungsökonomie verbindet diese Ansätze: Was heute Bericht, Taxonomie, Produktpass oder Compliance ist, wird zur Grundlage von Marketingwahrheit.</w:t>
      </w:r>
    </w:p>
    <w:p>
      <w:r>
        <w:rPr>
          <w:rFonts w:ascii="Arial" w:hAnsi="Arial"/>
          <w:color w:val="4B4F56"/>
          <w:sz w:val="19"/>
        </w:rPr>
        <w:t>Rechtlich bleibt zu beachten: Ein WÖk-Marketingkonzept ist keine Rechtsberatung. Es beschreibt eine Struktur, mit der Unternehmen Claims, Kommunikation und Vertrieb so organisieren können, dass sie mit Wirkungsdaten, Lauterkeitsrecht und Verbraucherschutz besser vereinbar sind.</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04"/>
        <w:gridCol w:w="4904"/>
      </w:tblGrid>
      <w:tr>
        <w:trPr>
          <w:tblHeader w:val="true"/>
        </w:trPr>
        <w:tc>
          <w:tcPr>
            <w:tcW w:type="dxa" w:w="3402"/>
            <w:shd w:fill="0B1020"/>
            <w:tcMar>
              <w:top w:w="90" w:type="dxa"/>
              <w:start w:w="90" w:type="dxa"/>
              <w:bottom w:w="90" w:type="dxa"/>
              <w:end w:w="90" w:type="dxa"/>
            </w:tcMar>
          </w:tcPr>
          <w:p>
            <w:r>
              <w:rPr>
                <w:b/>
                <w:color w:val="FFFFFF"/>
              </w:rPr>
              <w:t>Anschlussstelle</w:t>
            </w:r>
          </w:p>
        </w:tc>
        <w:tc>
          <w:tcPr>
            <w:tcW w:type="dxa" w:w="5669"/>
            <w:shd w:fill="0B1020"/>
            <w:tcMar>
              <w:top w:w="90" w:type="dxa"/>
              <w:start w:w="90" w:type="dxa"/>
              <w:bottom w:w="90" w:type="dxa"/>
              <w:end w:w="90" w:type="dxa"/>
            </w:tcMar>
          </w:tcPr>
          <w:p>
            <w:r>
              <w:rPr>
                <w:b/>
                <w:color w:val="FFFFFF"/>
              </w:rPr>
              <w:t>Bedeutung für Marketing</w:t>
            </w:r>
          </w:p>
        </w:tc>
      </w:tr>
      <w:tr>
        <w:tc>
          <w:tcPr>
            <w:tcW w:type="dxa" w:w="3402"/>
            <w:tcMar>
              <w:top w:w="80" w:type="dxa"/>
              <w:start w:w="90" w:type="dxa"/>
              <w:bottom w:w="80" w:type="dxa"/>
              <w:end w:w="90" w:type="dxa"/>
            </w:tcMar>
            <w:shd w:fill="FBF8F1"/>
          </w:tcPr>
          <w:p>
            <w:r>
              <w:rPr>
                <w:b/>
                <w:color w:val="0B1020"/>
              </w:rPr>
              <w:t>Empowering Consumers / Richtlinie (EU) 2024/825</w:t>
            </w:r>
          </w:p>
        </w:tc>
        <w:tc>
          <w:tcPr>
            <w:tcW w:type="dxa" w:w="5669"/>
            <w:tcMar>
              <w:top w:w="80" w:type="dxa"/>
              <w:start w:w="90" w:type="dxa"/>
              <w:bottom w:w="80" w:type="dxa"/>
              <w:end w:w="90" w:type="dxa"/>
            </w:tcMar>
          </w:tcPr>
          <w:p>
            <w:r>
              <w:t>Schutz vor irreführenden Umweltclaims und bessere Verbraucherinformation</w:t>
            </w:r>
          </w:p>
        </w:tc>
      </w:tr>
      <w:tr>
        <w:tc>
          <w:tcPr>
            <w:tcW w:type="dxa" w:w="3402"/>
            <w:tcMar>
              <w:top w:w="80" w:type="dxa"/>
              <w:start w:w="90" w:type="dxa"/>
              <w:bottom w:w="80" w:type="dxa"/>
              <w:end w:w="90" w:type="dxa"/>
            </w:tcMar>
            <w:shd w:fill="FBF8F1"/>
          </w:tcPr>
          <w:p>
            <w:r>
              <w:rPr>
                <w:b/>
                <w:color w:val="0B1020"/>
              </w:rPr>
              <w:t>CSRD/ESRS</w:t>
            </w:r>
          </w:p>
        </w:tc>
        <w:tc>
          <w:tcPr>
            <w:tcW w:type="dxa" w:w="5669"/>
            <w:tcMar>
              <w:top w:w="80" w:type="dxa"/>
              <w:start w:w="90" w:type="dxa"/>
              <w:bottom w:w="80" w:type="dxa"/>
              <w:end w:w="90" w:type="dxa"/>
            </w:tcMar>
          </w:tcPr>
          <w:p>
            <w:r>
              <w:t>Datenbasis für Unternehmens- und Produktkommunikation</w:t>
            </w:r>
          </w:p>
        </w:tc>
      </w:tr>
      <w:tr>
        <w:tc>
          <w:tcPr>
            <w:tcW w:type="dxa" w:w="3402"/>
            <w:tcMar>
              <w:top w:w="80" w:type="dxa"/>
              <w:start w:w="90" w:type="dxa"/>
              <w:bottom w:w="80" w:type="dxa"/>
              <w:end w:w="90" w:type="dxa"/>
            </w:tcMar>
            <w:shd w:fill="FBF8F1"/>
          </w:tcPr>
          <w:p>
            <w:r>
              <w:rPr>
                <w:b/>
                <w:color w:val="0B1020"/>
              </w:rPr>
              <w:t>EU-Taxonomie</w:t>
            </w:r>
          </w:p>
        </w:tc>
        <w:tc>
          <w:tcPr>
            <w:tcW w:type="dxa" w:w="5669"/>
            <w:tcMar>
              <w:top w:w="80" w:type="dxa"/>
              <w:start w:w="90" w:type="dxa"/>
              <w:bottom w:w="80" w:type="dxa"/>
              <w:end w:w="90" w:type="dxa"/>
            </w:tcMar>
          </w:tcPr>
          <w:p>
            <w:r>
              <w:t>Referenz für nachhaltige Wirtschaftstätigkeiten, aber nicht vollständig für soziale/demokratische Wirkung</w:t>
            </w:r>
          </w:p>
        </w:tc>
      </w:tr>
      <w:tr>
        <w:tc>
          <w:tcPr>
            <w:tcW w:type="dxa" w:w="3402"/>
            <w:tcMar>
              <w:top w:w="80" w:type="dxa"/>
              <w:start w:w="90" w:type="dxa"/>
              <w:bottom w:w="80" w:type="dxa"/>
              <w:end w:w="90" w:type="dxa"/>
            </w:tcMar>
            <w:shd w:fill="FBF8F1"/>
          </w:tcPr>
          <w:p>
            <w:r>
              <w:rPr>
                <w:b/>
                <w:color w:val="0B1020"/>
              </w:rPr>
              <w:t>ESPR / DPP</w:t>
            </w:r>
          </w:p>
        </w:tc>
        <w:tc>
          <w:tcPr>
            <w:tcW w:type="dxa" w:w="5669"/>
            <w:tcMar>
              <w:top w:w="80" w:type="dxa"/>
              <w:start w:w="90" w:type="dxa"/>
              <w:bottom w:w="80" w:type="dxa"/>
              <w:end w:w="90" w:type="dxa"/>
            </w:tcMar>
          </w:tcPr>
          <w:p>
            <w:r>
              <w:t>Produktinformationen zu Lebensdauer, Kreislauf, Reparatur und Material</w:t>
            </w:r>
          </w:p>
        </w:tc>
      </w:tr>
      <w:tr>
        <w:tc>
          <w:tcPr>
            <w:tcW w:type="dxa" w:w="3402"/>
            <w:tcMar>
              <w:top w:w="80" w:type="dxa"/>
              <w:start w:w="90" w:type="dxa"/>
              <w:bottom w:w="80" w:type="dxa"/>
              <w:end w:w="90" w:type="dxa"/>
            </w:tcMar>
            <w:shd w:fill="FBF8F1"/>
          </w:tcPr>
          <w:p>
            <w:r>
              <w:rPr>
                <w:b/>
                <w:color w:val="0B1020"/>
              </w:rPr>
              <w:t>DSA / Plattformregeln</w:t>
            </w:r>
          </w:p>
        </w:tc>
        <w:tc>
          <w:tcPr>
            <w:tcW w:type="dxa" w:w="5669"/>
            <w:tcMar>
              <w:top w:w="80" w:type="dxa"/>
              <w:start w:w="90" w:type="dxa"/>
              <w:bottom w:w="80" w:type="dxa"/>
              <w:end w:w="90" w:type="dxa"/>
            </w:tcMar>
          </w:tcPr>
          <w:p>
            <w:r>
              <w:t>Kontext für digitale Vertriebskanäle, Transparenz und Plattformverantwortung</w:t>
            </w:r>
          </w:p>
        </w:tc>
      </w:tr>
    </w:tbl>
    <w:p/>
    <w:p>
      <w:pPr>
        <w:pStyle w:val="Heading1"/>
      </w:pPr>
      <w:r>
        <w:t>Anreiz- und Steuerlogik</w:t>
      </w:r>
    </w:p>
    <w:p>
      <w:r>
        <w:rPr>
          <w:rFonts w:ascii="Arial" w:hAnsi="Arial"/>
          <w:color w:val="4B4F56"/>
          <w:sz w:val="19"/>
        </w:rPr>
        <w:t>Marketing wirkt in der WÖk nicht isoliert, sondern über Preise, Steuern, Kapital und Nachfrage. Wenn Produkte mit positiver Wirkung steuerlich entlastet und Produkte mit negativer Wirkung belastet werden, verändert sich auch die Kommunikationslogik. Gute Wirkung wird nicht nur behauptet, sondern ökonomisch sichtbar. Schlechte Wirkung kann nicht mehr durch eine starke Kampagne verdeckt werden, weil Preis und Score gegensprechen würden.</w:t>
      </w:r>
    </w:p>
    <w:p>
      <w:r>
        <w:rPr>
          <w:rFonts w:ascii="Arial" w:hAnsi="Arial"/>
          <w:color w:val="4B4F56"/>
          <w:sz w:val="19"/>
        </w:rPr>
        <w:t>Das fünfte P wird damit zum Bindeglied zwischen Produktwirkungssteuer, Verbraucherinformation und Unternehmensführung. Marketing kommuniziert nicht mehr gegen die Produktwirklichkeit, sondern mit ihr. Unternehmen erhalten einen Anreiz, Wirkung tatsächlich zu verbessern, weil nur dann glaubwürdige Kommunikation, niedrigerer Wirkungssteuersatz und bessere Marktposition zusammenfallen.</w:t>
      </w:r>
    </w:p>
    <w:p>
      <w:r>
        <w:rPr>
          <w:rFonts w:ascii="Arial" w:hAnsi="Arial"/>
          <w:color w:val="4B4F56"/>
          <w:sz w:val="19"/>
        </w:rPr>
        <w:t>Zudem können Marketingbudgets selbst wirkungsbezogen gesteuert werden. Eine Kampagne, die Produktwahrheit verbessert, Reparatur fördert oder gesunde, langlebige und faire Alternativen sichtbar macht, hat eine andere Wirkung als eine Kampagne, die kurzfristigen Überkonsum oder Wegwerfverhalten normalisiert.</w:t>
      </w:r>
    </w:p>
    <w:p>
      <w:pPr>
        <w:pStyle w:val="Heading1"/>
      </w:pPr>
      <w:r>
        <w:t>Praxisbeispiele und Szenarien</w:t>
      </w:r>
    </w:p>
    <w:p>
      <w:r>
        <w:rPr>
          <w:rFonts w:ascii="Arial" w:hAnsi="Arial"/>
          <w:color w:val="4B4F56"/>
          <w:sz w:val="19"/>
        </w:rPr>
        <w:t>Beispiel 1: Ein Hersteller bewirbt ein Produkt als nachhaltig, weil es recycelbare Verpackung nutzt. Die WÖk-Prüfung zeigt aber hohe Emissionen, problematische Arbeitsbedingungen in der Lieferkette und geringe Reparierbarkeit. Die Kommunikation darf nicht das Verpackungsdetail zum Gesamturteil ausweiten. Zulässig wäre: „Verpackung recyclingfähig; weitere Produktwirkung siehe Scorecard.“</w:t>
      </w:r>
    </w:p>
    <w:p>
      <w:r>
        <w:rPr>
          <w:rFonts w:ascii="Arial" w:hAnsi="Arial"/>
          <w:color w:val="4B4F56"/>
          <w:sz w:val="19"/>
        </w:rPr>
        <w:t>Beispiel 2: Ein Textilunternehmen bringt eine langlebige, reparierbare, fair produzierte Jacke auf den Markt. Marketing betont nicht nur Werte, sondern zeigt die Produktscorecard, Reparaturoptionen, Lebensdauer, Rücknahme und Preiswirkung. Die Kampagne erzeugt Nachfrage nach Qualität statt nach kurzlebigem Rabatt.</w:t>
      </w:r>
    </w:p>
    <w:p>
      <w:r>
        <w:rPr>
          <w:rFonts w:ascii="Arial" w:hAnsi="Arial"/>
          <w:color w:val="4B4F56"/>
          <w:sz w:val="19"/>
        </w:rPr>
        <w:t>Beispiel 3: Ein Finanzprodukt nutzt den Begriff Impact. Das WÖk-Marketing verlangt, dass Portfolio-Wirkung, Ausschlüsse, Datenqualität, Nichtkompensation und Wirkungsrisiken offengelegt werden. Imagebilder allein reichen nicht.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70"/>
        <w:gridCol w:w="3270"/>
        <w:gridCol w:w="3270"/>
      </w:tblGrid>
      <w:tr>
        <w:trPr>
          <w:tblHeader w:val="true"/>
        </w:trPr>
        <w:tc>
          <w:tcPr>
            <w:tcW w:type="dxa" w:w="2835"/>
            <w:shd w:fill="0B1020"/>
            <w:tcMar>
              <w:top w:w="90" w:type="dxa"/>
              <w:start w:w="90" w:type="dxa"/>
              <w:bottom w:w="90" w:type="dxa"/>
              <w:end w:w="90" w:type="dxa"/>
            </w:tcMar>
          </w:tcPr>
          <w:p>
            <w:r>
              <w:rPr>
                <w:b/>
                <w:color w:val="FFFFFF"/>
              </w:rPr>
              <w:t>Szenario</w:t>
            </w:r>
          </w:p>
        </w:tc>
        <w:tc>
          <w:tcPr>
            <w:tcW w:type="dxa" w:w="2835"/>
            <w:shd w:fill="0B1020"/>
            <w:tcMar>
              <w:top w:w="90" w:type="dxa"/>
              <w:start w:w="90" w:type="dxa"/>
              <w:bottom w:w="90" w:type="dxa"/>
              <w:end w:w="90" w:type="dxa"/>
            </w:tcMar>
          </w:tcPr>
          <w:p>
            <w:r>
              <w:rPr>
                <w:b/>
                <w:color w:val="FFFFFF"/>
              </w:rPr>
              <w:t>Risiko</w:t>
            </w:r>
          </w:p>
        </w:tc>
        <w:tc>
          <w:tcPr>
            <w:tcW w:type="dxa" w:w="3402"/>
            <w:shd w:fill="0B1020"/>
            <w:tcMar>
              <w:top w:w="90" w:type="dxa"/>
              <w:start w:w="90" w:type="dxa"/>
              <w:bottom w:w="90" w:type="dxa"/>
              <w:end w:w="90" w:type="dxa"/>
            </w:tcMar>
          </w:tcPr>
          <w:p>
            <w:r>
              <w:rPr>
                <w:b/>
                <w:color w:val="FFFFFF"/>
              </w:rPr>
              <w:t>Wirkungsökonomische Antwort</w:t>
            </w:r>
          </w:p>
        </w:tc>
      </w:tr>
      <w:tr>
        <w:tc>
          <w:tcPr>
            <w:tcW w:type="dxa" w:w="2835"/>
            <w:tcMar>
              <w:top w:w="80" w:type="dxa"/>
              <w:start w:w="90" w:type="dxa"/>
              <w:bottom w:w="80" w:type="dxa"/>
              <w:end w:w="90" w:type="dxa"/>
            </w:tcMar>
            <w:shd w:fill="FBF8F1"/>
          </w:tcPr>
          <w:p>
            <w:r>
              <w:rPr>
                <w:b/>
                <w:color w:val="0B1020"/>
              </w:rPr>
              <w:t>Recyclingclaim bei ansonsten schwacher Produktwirkung</w:t>
            </w:r>
          </w:p>
        </w:tc>
        <w:tc>
          <w:tcPr>
            <w:tcW w:type="dxa" w:w="2835"/>
            <w:tcMar>
              <w:top w:w="80" w:type="dxa"/>
              <w:start w:w="90" w:type="dxa"/>
              <w:bottom w:w="80" w:type="dxa"/>
              <w:end w:w="90" w:type="dxa"/>
            </w:tcMar>
          </w:tcPr>
          <w:p>
            <w:r>
              <w:t>Greenwashing durch Teilaussage</w:t>
            </w:r>
          </w:p>
        </w:tc>
        <w:tc>
          <w:tcPr>
            <w:tcW w:type="dxa" w:w="3402"/>
            <w:tcMar>
              <w:top w:w="80" w:type="dxa"/>
              <w:start w:w="90" w:type="dxa"/>
              <w:bottom w:w="80" w:type="dxa"/>
              <w:end w:w="90" w:type="dxa"/>
            </w:tcMar>
          </w:tcPr>
          <w:p>
            <w:r>
              <w:t>Claim auf Teilwirkung begrenzen, Scorecard verlinken</w:t>
            </w:r>
          </w:p>
        </w:tc>
      </w:tr>
      <w:tr>
        <w:tc>
          <w:tcPr>
            <w:tcW w:type="dxa" w:w="2835"/>
            <w:tcMar>
              <w:top w:w="80" w:type="dxa"/>
              <w:start w:w="90" w:type="dxa"/>
              <w:bottom w:w="80" w:type="dxa"/>
              <w:end w:w="90" w:type="dxa"/>
            </w:tcMar>
            <w:shd w:fill="FBF8F1"/>
          </w:tcPr>
          <w:p>
            <w:r>
              <w:rPr>
                <w:b/>
                <w:color w:val="0B1020"/>
              </w:rPr>
              <w:t>Rabattkampagne für Wegwerfprodukt</w:t>
            </w:r>
          </w:p>
        </w:tc>
        <w:tc>
          <w:tcPr>
            <w:tcW w:type="dxa" w:w="2835"/>
            <w:tcMar>
              <w:top w:w="80" w:type="dxa"/>
              <w:start w:w="90" w:type="dxa"/>
              <w:bottom w:w="80" w:type="dxa"/>
              <w:end w:w="90" w:type="dxa"/>
            </w:tcMar>
          </w:tcPr>
          <w:p>
            <w:r>
              <w:t>Überkonsum, Retouren, Abfall</w:t>
            </w:r>
          </w:p>
        </w:tc>
        <w:tc>
          <w:tcPr>
            <w:tcW w:type="dxa" w:w="3402"/>
            <w:tcMar>
              <w:top w:w="80" w:type="dxa"/>
              <w:start w:w="90" w:type="dxa"/>
              <w:bottom w:w="80" w:type="dxa"/>
              <w:end w:w="90" w:type="dxa"/>
            </w:tcMar>
          </w:tcPr>
          <w:p>
            <w:r>
              <w:t>Preisaktion an Kreislauf- oder Rücknahmelogik koppeln</w:t>
            </w:r>
          </w:p>
        </w:tc>
      </w:tr>
      <w:tr>
        <w:tc>
          <w:tcPr>
            <w:tcW w:type="dxa" w:w="2835"/>
            <w:tcMar>
              <w:top w:w="80" w:type="dxa"/>
              <w:start w:w="90" w:type="dxa"/>
              <w:bottom w:w="80" w:type="dxa"/>
              <w:end w:w="90" w:type="dxa"/>
            </w:tcMar>
            <w:shd w:fill="FBF8F1"/>
          </w:tcPr>
          <w:p>
            <w:r>
              <w:rPr>
                <w:b/>
                <w:color w:val="0B1020"/>
              </w:rPr>
              <w:t>Influencer-Kampagne für Gesundheitsprodukt</w:t>
            </w:r>
          </w:p>
        </w:tc>
        <w:tc>
          <w:tcPr>
            <w:tcW w:type="dxa" w:w="2835"/>
            <w:tcMar>
              <w:top w:w="80" w:type="dxa"/>
              <w:start w:w="90" w:type="dxa"/>
              <w:bottom w:w="80" w:type="dxa"/>
              <w:end w:w="90" w:type="dxa"/>
            </w:tcMar>
          </w:tcPr>
          <w:p>
            <w:r>
              <w:t>Übertreibung, vulnerable Zielgruppen</w:t>
            </w:r>
          </w:p>
        </w:tc>
        <w:tc>
          <w:tcPr>
            <w:tcW w:type="dxa" w:w="3402"/>
            <w:tcMar>
              <w:top w:w="80" w:type="dxa"/>
              <w:start w:w="90" w:type="dxa"/>
              <w:bottom w:w="80" w:type="dxa"/>
              <w:end w:w="90" w:type="dxa"/>
            </w:tcMar>
          </w:tcPr>
          <w:p>
            <w:r>
              <w:t>Nachweis, Warnhinweise, Zielgruppenschutz</w:t>
            </w:r>
          </w:p>
        </w:tc>
      </w:tr>
      <w:tr>
        <w:tc>
          <w:tcPr>
            <w:tcW w:type="dxa" w:w="2835"/>
            <w:tcMar>
              <w:top w:w="80" w:type="dxa"/>
              <w:start w:w="90" w:type="dxa"/>
              <w:bottom w:w="80" w:type="dxa"/>
              <w:end w:w="90" w:type="dxa"/>
            </w:tcMar>
            <w:shd w:fill="FBF8F1"/>
          </w:tcPr>
          <w:p>
            <w:r>
              <w:rPr>
                <w:b/>
                <w:color w:val="0B1020"/>
              </w:rPr>
              <w:t>Impact-Finanzprodukt</w:t>
            </w:r>
          </w:p>
        </w:tc>
        <w:tc>
          <w:tcPr>
            <w:tcW w:type="dxa" w:w="2835"/>
            <w:tcMar>
              <w:top w:w="80" w:type="dxa"/>
              <w:start w:w="90" w:type="dxa"/>
              <w:bottom w:w="80" w:type="dxa"/>
              <w:end w:w="90" w:type="dxa"/>
            </w:tcMar>
          </w:tcPr>
          <w:p>
            <w:r>
              <w:t>Impact-Washing</w:t>
            </w:r>
          </w:p>
        </w:tc>
        <w:tc>
          <w:tcPr>
            <w:tcW w:type="dxa" w:w="3402"/>
            <w:tcMar>
              <w:top w:w="80" w:type="dxa"/>
              <w:start w:w="90" w:type="dxa"/>
              <w:bottom w:w="80" w:type="dxa"/>
              <w:end w:w="90" w:type="dxa"/>
            </w:tcMar>
          </w:tcPr>
          <w:p>
            <w:r>
              <w:t>Portfolio-Wirkungsrating, rote Linien, Datenqualität</w:t>
            </w:r>
          </w:p>
        </w:tc>
      </w:tr>
    </w:tbl>
    <w:p/>
    <w:p>
      <w:pPr>
        <w:pStyle w:val="Heading1"/>
      </w:pPr>
      <w:r>
        <w:t>Tool- und Rechnerbezug</w:t>
      </w:r>
    </w:p>
    <w:p>
      <w:r>
        <w:rPr>
          <w:rFonts w:ascii="Arial" w:hAnsi="Arial"/>
          <w:color w:val="4B4F56"/>
          <w:sz w:val="19"/>
        </w:rPr>
        <w:t>Das Detailkonzept kann in mehrere Tools übersetzt werden. Wichtig ist: Die Tools sollen keine Menschen bewerten, sondern Claims, Kampagnen, Produkte, Vertriebspfade und Entscheidungsarchitekturen prüfen. Sie dienen der internen Freigabe, der Website-Transparenz und der Verbesserung von Produktkommunikation.</w:t>
      </w:r>
    </w:p>
    <w:p>
      <w:r>
        <w:rPr>
          <w:rFonts w:ascii="Arial" w:hAnsi="Arial"/>
          <w:color w:val="4B4F56"/>
          <w:sz w:val="19"/>
        </w:rPr>
        <w:t>Ein Marketing-Wirkungscheck könnte prüfen, ob ein Claim durch Daten gedeckt ist, ob relevante Negativwirkungen verschwiegen werden, ob die Botschaft vulnerable Gruppen adressiert, ob Produktdaten verlinkt sind und ob eine Kampagne positive Netto-Wirkung wahrscheinlich macht oder lediglich Wirkungspotenzial simuliert.</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3270"/>
        <w:gridCol w:w="3270"/>
        <w:gridCol w:w="3270"/>
      </w:tblGrid>
      <w:tr>
        <w:trPr>
          <w:tblHeader w:val="true"/>
        </w:trPr>
        <w:tc>
          <w:tcPr>
            <w:tcW w:type="dxa" w:w="2835"/>
            <w:shd w:fill="0B1020"/>
            <w:tcMar>
              <w:top w:w="90" w:type="dxa"/>
              <w:start w:w="90" w:type="dxa"/>
              <w:bottom w:w="90" w:type="dxa"/>
              <w:end w:w="90" w:type="dxa"/>
            </w:tcMar>
          </w:tcPr>
          <w:p>
            <w:r>
              <w:rPr>
                <w:b/>
                <w:color w:val="FFFFFF"/>
              </w:rPr>
              <w:t>Tool</w:t>
            </w:r>
          </w:p>
        </w:tc>
        <w:tc>
          <w:tcPr>
            <w:tcW w:type="dxa" w:w="3969"/>
            <w:shd w:fill="0B1020"/>
            <w:tcMar>
              <w:top w:w="90" w:type="dxa"/>
              <w:start w:w="90" w:type="dxa"/>
              <w:bottom w:w="90" w:type="dxa"/>
              <w:end w:w="90" w:type="dxa"/>
            </w:tcMar>
          </w:tcPr>
          <w:p>
            <w:r>
              <w:rPr>
                <w:b/>
                <w:color w:val="FFFFFF"/>
              </w:rPr>
              <w:t>Funktion</w:t>
            </w:r>
          </w:p>
        </w:tc>
        <w:tc>
          <w:tcPr>
            <w:tcW w:type="dxa" w:w="2268"/>
            <w:shd w:fill="0B1020"/>
            <w:tcMar>
              <w:top w:w="90" w:type="dxa"/>
              <w:start w:w="90" w:type="dxa"/>
              <w:bottom w:w="90" w:type="dxa"/>
              <w:end w:w="90" w:type="dxa"/>
            </w:tcMar>
          </w:tcPr>
          <w:p>
            <w:r>
              <w:rPr>
                <w:b/>
                <w:color w:val="FFFFFF"/>
              </w:rPr>
              <w:t>Status</w:t>
            </w:r>
          </w:p>
        </w:tc>
      </w:tr>
      <w:tr>
        <w:tc>
          <w:tcPr>
            <w:tcW w:type="dxa" w:w="2835"/>
            <w:tcMar>
              <w:top w:w="80" w:type="dxa"/>
              <w:start w:w="90" w:type="dxa"/>
              <w:bottom w:w="80" w:type="dxa"/>
              <w:end w:w="90" w:type="dxa"/>
            </w:tcMar>
            <w:shd w:fill="FBF8F1"/>
          </w:tcPr>
          <w:p>
            <w:r>
              <w:rPr>
                <w:b/>
                <w:color w:val="0B1020"/>
              </w:rPr>
              <w:t>5P-Wirkungscheck</w:t>
            </w:r>
          </w:p>
        </w:tc>
        <w:tc>
          <w:tcPr>
            <w:tcW w:type="dxa" w:w="3969"/>
            <w:tcMar>
              <w:top w:w="80" w:type="dxa"/>
              <w:start w:w="90" w:type="dxa"/>
              <w:bottom w:w="80" w:type="dxa"/>
              <w:end w:w="90" w:type="dxa"/>
            </w:tcMar>
          </w:tcPr>
          <w:p>
            <w:r>
              <w:t>Prüft Product, Price, Place, Promotion und Planet auf Kohärenz</w:t>
            </w:r>
          </w:p>
        </w:tc>
        <w:tc>
          <w:tcPr>
            <w:tcW w:type="dxa" w:w="2268"/>
            <w:tcMar>
              <w:top w:w="80" w:type="dxa"/>
              <w:start w:w="90" w:type="dxa"/>
              <w:bottom w:w="80" w:type="dxa"/>
              <w:end w:w="90" w:type="dxa"/>
            </w:tcMar>
          </w:tcPr>
          <w:p>
            <w:r>
              <w:t>Demo in Vorbereitung</w:t>
            </w:r>
          </w:p>
        </w:tc>
      </w:tr>
      <w:tr>
        <w:tc>
          <w:tcPr>
            <w:tcW w:type="dxa" w:w="2835"/>
            <w:tcMar>
              <w:top w:w="80" w:type="dxa"/>
              <w:start w:w="90" w:type="dxa"/>
              <w:bottom w:w="80" w:type="dxa"/>
              <w:end w:w="90" w:type="dxa"/>
            </w:tcMar>
            <w:shd w:fill="FBF8F1"/>
          </w:tcPr>
          <w:p>
            <w:r>
              <w:rPr>
                <w:b/>
                <w:color w:val="0B1020"/>
              </w:rPr>
              <w:t>Green-Claims-Check</w:t>
            </w:r>
          </w:p>
        </w:tc>
        <w:tc>
          <w:tcPr>
            <w:tcW w:type="dxa" w:w="3969"/>
            <w:tcMar>
              <w:top w:w="80" w:type="dxa"/>
              <w:start w:w="90" w:type="dxa"/>
              <w:bottom w:w="80" w:type="dxa"/>
              <w:end w:w="90" w:type="dxa"/>
            </w:tcMar>
          </w:tcPr>
          <w:p>
            <w:r>
              <w:t>Ordnet Claim, Nachweis, Reichweite und Grenzen zusammen</w:t>
            </w:r>
          </w:p>
        </w:tc>
        <w:tc>
          <w:tcPr>
            <w:tcW w:type="dxa" w:w="2268"/>
            <w:tcMar>
              <w:top w:w="80" w:type="dxa"/>
              <w:start w:w="90" w:type="dxa"/>
              <w:bottom w:w="80" w:type="dxa"/>
              <w:end w:w="90" w:type="dxa"/>
            </w:tcMar>
          </w:tcPr>
          <w:p>
            <w:r>
              <w:t>Konzept</w:t>
            </w:r>
          </w:p>
        </w:tc>
      </w:tr>
      <w:tr>
        <w:tc>
          <w:tcPr>
            <w:tcW w:type="dxa" w:w="2835"/>
            <w:tcMar>
              <w:top w:w="80" w:type="dxa"/>
              <w:start w:w="90" w:type="dxa"/>
              <w:bottom w:w="80" w:type="dxa"/>
              <w:end w:w="90" w:type="dxa"/>
            </w:tcMar>
            <w:shd w:fill="FBF8F1"/>
          </w:tcPr>
          <w:p>
            <w:r>
              <w:rPr>
                <w:b/>
                <w:color w:val="0B1020"/>
              </w:rPr>
              <w:t>Resonanzrisiko-Check</w:t>
            </w:r>
          </w:p>
        </w:tc>
        <w:tc>
          <w:tcPr>
            <w:tcW w:type="dxa" w:w="3969"/>
            <w:tcMar>
              <w:top w:w="80" w:type="dxa"/>
              <w:start w:w="90" w:type="dxa"/>
              <w:bottom w:w="80" w:type="dxa"/>
              <w:end w:w="90" w:type="dxa"/>
            </w:tcMar>
          </w:tcPr>
          <w:p>
            <w:r>
              <w:t>Bewertet Framing, Zielgruppenrisiken und Manipulationspotenziale</w:t>
            </w:r>
          </w:p>
        </w:tc>
        <w:tc>
          <w:tcPr>
            <w:tcW w:type="dxa" w:w="2268"/>
            <w:tcMar>
              <w:top w:w="80" w:type="dxa"/>
              <w:start w:w="90" w:type="dxa"/>
              <w:bottom w:w="80" w:type="dxa"/>
              <w:end w:w="90" w:type="dxa"/>
            </w:tcMar>
          </w:tcPr>
          <w:p>
            <w:r>
              <w:t>Konzept</w:t>
            </w:r>
          </w:p>
        </w:tc>
      </w:tr>
      <w:tr>
        <w:tc>
          <w:tcPr>
            <w:tcW w:type="dxa" w:w="2835"/>
            <w:tcMar>
              <w:top w:w="80" w:type="dxa"/>
              <w:start w:w="90" w:type="dxa"/>
              <w:bottom w:w="80" w:type="dxa"/>
              <w:end w:w="90" w:type="dxa"/>
            </w:tcMar>
            <w:shd w:fill="FBF8F1"/>
          </w:tcPr>
          <w:p>
            <w:r>
              <w:rPr>
                <w:b/>
                <w:color w:val="0B1020"/>
              </w:rPr>
              <w:t>Responsible-Sales-Check</w:t>
            </w:r>
          </w:p>
        </w:tc>
        <w:tc>
          <w:tcPr>
            <w:tcW w:type="dxa" w:w="3969"/>
            <w:tcMar>
              <w:top w:w="80" w:type="dxa"/>
              <w:start w:w="90" w:type="dxa"/>
              <w:bottom w:w="80" w:type="dxa"/>
              <w:end w:w="90" w:type="dxa"/>
            </w:tcMar>
          </w:tcPr>
          <w:p>
            <w:r>
              <w:t>Prüft Provision, Beratung, Zielgruppenschutz und Beschwerdedaten</w:t>
            </w:r>
          </w:p>
        </w:tc>
        <w:tc>
          <w:tcPr>
            <w:tcW w:type="dxa" w:w="2268"/>
            <w:tcMar>
              <w:top w:w="80" w:type="dxa"/>
              <w:start w:w="90" w:type="dxa"/>
              <w:bottom w:w="80" w:type="dxa"/>
              <w:end w:w="90" w:type="dxa"/>
            </w:tcMar>
          </w:tcPr>
          <w:p>
            <w:r>
              <w:t>Konzept</w:t>
            </w:r>
          </w:p>
        </w:tc>
      </w:tr>
      <w:tr>
        <w:tc>
          <w:tcPr>
            <w:tcW w:type="dxa" w:w="2835"/>
            <w:tcMar>
              <w:top w:w="80" w:type="dxa"/>
              <w:start w:w="90" w:type="dxa"/>
              <w:bottom w:w="80" w:type="dxa"/>
              <w:end w:w="90" w:type="dxa"/>
            </w:tcMar>
            <w:shd w:fill="FBF8F1"/>
          </w:tcPr>
          <w:p>
            <w:r>
              <w:rPr>
                <w:b/>
                <w:color w:val="0B1020"/>
              </w:rPr>
              <w:t>Produktkommunikations-Scorecard</w:t>
            </w:r>
          </w:p>
        </w:tc>
        <w:tc>
          <w:tcPr>
            <w:tcW w:type="dxa" w:w="3969"/>
            <w:tcMar>
              <w:top w:w="80" w:type="dxa"/>
              <w:start w:w="90" w:type="dxa"/>
              <w:bottom w:w="80" w:type="dxa"/>
              <w:end w:w="90" w:type="dxa"/>
            </w:tcMar>
          </w:tcPr>
          <w:p>
            <w:r>
              <w:t>Verbindet Produktscore, DPP und Kund:inneninformation</w:t>
            </w:r>
          </w:p>
        </w:tc>
        <w:tc>
          <w:tcPr>
            <w:tcW w:type="dxa" w:w="2268"/>
            <w:tcMar>
              <w:top w:w="80" w:type="dxa"/>
              <w:start w:w="90" w:type="dxa"/>
              <w:bottom w:w="80" w:type="dxa"/>
              <w:end w:w="90" w:type="dxa"/>
            </w:tcMar>
          </w:tcPr>
          <w:p>
            <w:r>
              <w:t>Konzept</w:t>
            </w:r>
          </w:p>
        </w:tc>
      </w:tr>
    </w:tbl>
    <w:p/>
    <w:p>
      <w:pPr>
        <w:pStyle w:val="Heading1"/>
      </w:pPr>
      <w:r>
        <w:t>SDG-/SDG+-Bezug</w:t>
      </w:r>
    </w:p>
    <w:p>
      <w:r>
        <w:rPr>
          <w:rFonts w:ascii="Arial" w:hAnsi="Arial"/>
          <w:color w:val="4B4F56"/>
          <w:sz w:val="19"/>
        </w:rPr>
        <w:t>Marketing und Vertrieb betreffen SDG 12 besonders stark, weil Konsum- und Produktionsmuster nicht nur durch Angebot, sondern auch durch Kommunikation, Verfügbarkeit, Preis und Normalisierung geprägt werden. Je nach Produkt wirken außerdem SDG 3, 5, 8, 9, 10, 13, 16 und 17.</w:t>
      </w:r>
    </w:p>
    <w:p>
      <w:r>
        <w:rPr>
          <w:rFonts w:ascii="Arial" w:hAnsi="Arial"/>
          <w:color w:val="4B4F56"/>
          <w:sz w:val="19"/>
        </w:rPr>
        <w:t>SDG+ ist besonders relevant, weil Marketing Wahrnehmung, Vertrauen, Medienqualität, Diskursfähigkeit und digitale Selbstbestimmung berührt. Falsche Claims, manipulative Plattformlogik oder aggressive Zielgruppenansprache können nicht nur Konsument:innen täuschen, sondern Vertrauen in Nachhaltigkeit und Institutionen schwächen.</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04"/>
        <w:gridCol w:w="4904"/>
      </w:tblGrid>
      <w:tr>
        <w:trPr>
          <w:tblHeader w:val="true"/>
        </w:trPr>
        <w:tc>
          <w:tcPr>
            <w:tcW w:type="dxa" w:w="2268"/>
            <w:shd w:fill="0B1020"/>
            <w:tcMar>
              <w:top w:w="90" w:type="dxa"/>
              <w:start w:w="90" w:type="dxa"/>
              <w:bottom w:w="90" w:type="dxa"/>
              <w:end w:w="90" w:type="dxa"/>
            </w:tcMar>
          </w:tcPr>
          <w:p>
            <w:r>
              <w:rPr>
                <w:b/>
                <w:color w:val="FFFFFF"/>
              </w:rPr>
              <w:t>Referenz</w:t>
            </w:r>
          </w:p>
        </w:tc>
        <w:tc>
          <w:tcPr>
            <w:tcW w:type="dxa" w:w="6803"/>
            <w:shd w:fill="0B1020"/>
            <w:tcMar>
              <w:top w:w="90" w:type="dxa"/>
              <w:start w:w="90" w:type="dxa"/>
              <w:bottom w:w="90" w:type="dxa"/>
              <w:end w:w="90" w:type="dxa"/>
            </w:tcMar>
          </w:tcPr>
          <w:p>
            <w:r>
              <w:rPr>
                <w:b/>
                <w:color w:val="FFFFFF"/>
              </w:rPr>
              <w:t>Bedeutung</w:t>
            </w:r>
          </w:p>
        </w:tc>
      </w:tr>
      <w:tr>
        <w:tc>
          <w:tcPr>
            <w:tcW w:type="dxa" w:w="2268"/>
            <w:tcMar>
              <w:top w:w="80" w:type="dxa"/>
              <w:start w:w="90" w:type="dxa"/>
              <w:bottom w:w="80" w:type="dxa"/>
              <w:end w:w="90" w:type="dxa"/>
            </w:tcMar>
            <w:shd w:fill="FBF8F1"/>
          </w:tcPr>
          <w:p>
            <w:r>
              <w:rPr>
                <w:b/>
                <w:color w:val="0B1020"/>
              </w:rPr>
              <w:t>SDG 12</w:t>
            </w:r>
          </w:p>
        </w:tc>
        <w:tc>
          <w:tcPr>
            <w:tcW w:type="dxa" w:w="6803"/>
            <w:tcMar>
              <w:top w:w="80" w:type="dxa"/>
              <w:start w:w="90" w:type="dxa"/>
              <w:bottom w:w="80" w:type="dxa"/>
              <w:end w:w="90" w:type="dxa"/>
            </w:tcMar>
          </w:tcPr>
          <w:p>
            <w:r>
              <w:t>Nachhaltige Konsum- und Produktionsmuster, Produktinformation, Kreislauf</w:t>
            </w:r>
          </w:p>
        </w:tc>
      </w:tr>
      <w:tr>
        <w:tc>
          <w:tcPr>
            <w:tcW w:type="dxa" w:w="2268"/>
            <w:tcMar>
              <w:top w:w="80" w:type="dxa"/>
              <w:start w:w="90" w:type="dxa"/>
              <w:bottom w:w="80" w:type="dxa"/>
              <w:end w:w="90" w:type="dxa"/>
            </w:tcMar>
            <w:shd w:fill="FBF8F1"/>
          </w:tcPr>
          <w:p>
            <w:r>
              <w:rPr>
                <w:b/>
                <w:color w:val="0B1020"/>
              </w:rPr>
              <w:t>SDG 3</w:t>
            </w:r>
          </w:p>
        </w:tc>
        <w:tc>
          <w:tcPr>
            <w:tcW w:type="dxa" w:w="6803"/>
            <w:tcMar>
              <w:top w:w="80" w:type="dxa"/>
              <w:start w:w="90" w:type="dxa"/>
              <w:bottom w:w="80" w:type="dxa"/>
              <w:end w:w="90" w:type="dxa"/>
            </w:tcMar>
          </w:tcPr>
          <w:p>
            <w:r>
              <w:t>Gesundheitswirkungen von Produkten, Werbung und Zielgruppenansprache</w:t>
            </w:r>
          </w:p>
        </w:tc>
      </w:tr>
      <w:tr>
        <w:tc>
          <w:tcPr>
            <w:tcW w:type="dxa" w:w="2268"/>
            <w:tcMar>
              <w:top w:w="80" w:type="dxa"/>
              <w:start w:w="90" w:type="dxa"/>
              <w:bottom w:w="80" w:type="dxa"/>
              <w:end w:w="90" w:type="dxa"/>
            </w:tcMar>
            <w:shd w:fill="FBF8F1"/>
          </w:tcPr>
          <w:p>
            <w:r>
              <w:rPr>
                <w:b/>
                <w:color w:val="0B1020"/>
              </w:rPr>
              <w:t>SDG 8</w:t>
            </w:r>
          </w:p>
        </w:tc>
        <w:tc>
          <w:tcPr>
            <w:tcW w:type="dxa" w:w="6803"/>
            <w:tcMar>
              <w:top w:w="80" w:type="dxa"/>
              <w:start w:w="90" w:type="dxa"/>
              <w:bottom w:w="80" w:type="dxa"/>
              <w:end w:w="90" w:type="dxa"/>
            </w:tcMar>
          </w:tcPr>
          <w:p>
            <w:r>
              <w:t>Faire Arbeit, Lieferketten und verantwortlicher Vertrieb</w:t>
            </w:r>
          </w:p>
        </w:tc>
      </w:tr>
      <w:tr>
        <w:tc>
          <w:tcPr>
            <w:tcW w:type="dxa" w:w="2268"/>
            <w:tcMar>
              <w:top w:w="80" w:type="dxa"/>
              <w:start w:w="90" w:type="dxa"/>
              <w:bottom w:w="80" w:type="dxa"/>
              <w:end w:w="90" w:type="dxa"/>
            </w:tcMar>
            <w:shd w:fill="FBF8F1"/>
          </w:tcPr>
          <w:p>
            <w:r>
              <w:rPr>
                <w:b/>
                <w:color w:val="0B1020"/>
              </w:rPr>
              <w:t>SDG 10</w:t>
            </w:r>
          </w:p>
        </w:tc>
        <w:tc>
          <w:tcPr>
            <w:tcW w:type="dxa" w:w="6803"/>
            <w:tcMar>
              <w:top w:w="80" w:type="dxa"/>
              <w:start w:w="90" w:type="dxa"/>
              <w:bottom w:w="80" w:type="dxa"/>
              <w:end w:w="90" w:type="dxa"/>
            </w:tcMar>
          </w:tcPr>
          <w:p>
            <w:r>
              <w:t>Barrierefreiheit, Nichtdiskriminierung und faire Zugänge</w:t>
            </w:r>
          </w:p>
        </w:tc>
      </w:tr>
      <w:tr>
        <w:tc>
          <w:tcPr>
            <w:tcW w:type="dxa" w:w="2268"/>
            <w:tcMar>
              <w:top w:w="80" w:type="dxa"/>
              <w:start w:w="90" w:type="dxa"/>
              <w:bottom w:w="80" w:type="dxa"/>
              <w:end w:w="90" w:type="dxa"/>
            </w:tcMar>
            <w:shd w:fill="FBF8F1"/>
          </w:tcPr>
          <w:p>
            <w:r>
              <w:rPr>
                <w:b/>
                <w:color w:val="0B1020"/>
              </w:rPr>
              <w:t>SDG 16 / SDG+</w:t>
            </w:r>
          </w:p>
        </w:tc>
        <w:tc>
          <w:tcPr>
            <w:tcW w:type="dxa" w:w="6803"/>
            <w:tcMar>
              <w:top w:w="80" w:type="dxa"/>
              <w:start w:w="90" w:type="dxa"/>
              <w:bottom w:w="80" w:type="dxa"/>
              <w:end w:w="90" w:type="dxa"/>
            </w:tcMar>
          </w:tcPr>
          <w:p>
            <w:r>
              <w:t>Vertrauen, Transparenz, Medienqualität und Schutz vor Irreführung</w:t>
            </w:r>
          </w:p>
        </w:tc>
      </w:tr>
    </w:tbl>
    <w:p/>
    <w:p>
      <w:pPr>
        <w:pStyle w:val="Heading1"/>
      </w:pPr>
      <w:r>
        <w:t>Politische Anschlussfähigkeit und Umsetzungsoptionen</w:t>
      </w:r>
    </w:p>
    <w:p>
      <w:r>
        <w:rPr>
          <w:rFonts w:ascii="Arial" w:hAnsi="Arial"/>
          <w:color w:val="4B4F56"/>
          <w:sz w:val="19"/>
        </w:rPr>
        <w:t>Politisch ist wirkungsökonomisches Marketing anschlussfähig, weil es keine Produktverbote verlangt. Es schafft bessere Informations-, Nachweis- und Preissignale. Unterschiedliche Parteien können den Rahmen unterschiedlich ausgestalten: stärker über Lauterkeitsrecht, über Steuerlogik, über freiwillige Standards, über öffentliche Beschaffung, über Plattformregeln oder über Verbraucherbildung.</w:t>
      </w:r>
    </w:p>
    <w:p>
      <w:r>
        <w:rPr>
          <w:rFonts w:ascii="Arial" w:hAnsi="Arial"/>
          <w:color w:val="4B4F56"/>
          <w:sz w:val="19"/>
        </w:rPr>
        <w:t>Entscheidend ist der Schutz vor Technokratie. Wirkungsdaten bereiten Entscheidungen vor, ersetzen sie aber nicht. Die politische Entscheidung bleibt, wie verbindlich Claim-Prüfungen, Produktkennzeichnung, Plattformaufsicht oder Sanktionen ausgestaltet werden.</w:t>
      </w:r>
    </w:p>
    <w:tbl>
      <w:tblPr>
        <w:tblW w:type="auto" w:w="0"/>
        <w:jc w:val="center"/>
        <w:tblLook w:firstColumn="1" w:firstRow="1" w:lastColumn="0" w:lastRow="0" w:noHBand="0" w:noVBand="1" w:val="04A0"/>
        <w:tblBorders>
          <w:top w:val="single" w:sz="6" w:space="0" w:color="D7D2C9"/>
          <w:left w:val="single" w:sz="6" w:space="0" w:color="D7D2C9"/>
          <w:bottom w:val="single" w:sz="6" w:space="0" w:color="D7D2C9"/>
          <w:right w:val="single" w:sz="6" w:space="0" w:color="D7D2C9"/>
          <w:insideH w:val="single" w:sz="6" w:space="0" w:color="D7D2C9"/>
          <w:insideV w:val="single" w:sz="6" w:space="0" w:color="D7D2C9"/>
        </w:tblBorders>
      </w:tblPr>
      <w:tblGrid>
        <w:gridCol w:w="4904"/>
        <w:gridCol w:w="4904"/>
      </w:tblGrid>
      <w:tr>
        <w:trPr>
          <w:tblHeader w:val="true"/>
        </w:trPr>
        <w:tc>
          <w:tcPr>
            <w:tcW w:type="dxa" w:w="2835"/>
            <w:shd w:fill="0B1020"/>
            <w:tcMar>
              <w:top w:w="90" w:type="dxa"/>
              <w:start w:w="90" w:type="dxa"/>
              <w:bottom w:w="90" w:type="dxa"/>
              <w:end w:w="90" w:type="dxa"/>
            </w:tcMar>
          </w:tcPr>
          <w:p>
            <w:r>
              <w:rPr>
                <w:b/>
                <w:color w:val="FFFFFF"/>
              </w:rPr>
              <w:t>Ebene</w:t>
            </w:r>
          </w:p>
        </w:tc>
        <w:tc>
          <w:tcPr>
            <w:tcW w:type="dxa" w:w="6236"/>
            <w:shd w:fill="0B1020"/>
            <w:tcMar>
              <w:top w:w="90" w:type="dxa"/>
              <w:start w:w="90" w:type="dxa"/>
              <w:bottom w:w="90" w:type="dxa"/>
              <w:end w:w="90" w:type="dxa"/>
            </w:tcMar>
          </w:tcPr>
          <w:p>
            <w:r>
              <w:rPr>
                <w:b/>
                <w:color w:val="FFFFFF"/>
              </w:rPr>
              <w:t>Aufgabe</w:t>
            </w:r>
          </w:p>
        </w:tc>
      </w:tr>
      <w:tr>
        <w:tc>
          <w:tcPr>
            <w:tcW w:type="dxa" w:w="2835"/>
            <w:tcMar>
              <w:top w:w="80" w:type="dxa"/>
              <w:start w:w="90" w:type="dxa"/>
              <w:bottom w:w="80" w:type="dxa"/>
              <w:end w:w="90" w:type="dxa"/>
            </w:tcMar>
            <w:shd w:fill="FBF8F1"/>
          </w:tcPr>
          <w:p>
            <w:r>
              <w:rPr>
                <w:b/>
                <w:color w:val="0B1020"/>
              </w:rPr>
              <w:t>Aufgabe der Politik</w:t>
            </w:r>
          </w:p>
        </w:tc>
        <w:tc>
          <w:tcPr>
            <w:tcW w:type="dxa" w:w="6236"/>
            <w:tcMar>
              <w:top w:w="80" w:type="dxa"/>
              <w:start w:w="90" w:type="dxa"/>
              <w:bottom w:w="80" w:type="dxa"/>
              <w:end w:w="90" w:type="dxa"/>
            </w:tcMar>
          </w:tcPr>
          <w:p>
            <w:r>
              <w:t>Rahmen für nachweisbare Claims, faire Verbraucherinformation und Schutz vor Manipulation schaffen</w:t>
            </w:r>
          </w:p>
        </w:tc>
      </w:tr>
      <w:tr>
        <w:tc>
          <w:tcPr>
            <w:tcW w:type="dxa" w:w="2835"/>
            <w:tcMar>
              <w:top w:w="80" w:type="dxa"/>
              <w:start w:w="90" w:type="dxa"/>
              <w:bottom w:w="80" w:type="dxa"/>
              <w:end w:w="90" w:type="dxa"/>
            </w:tcMar>
            <w:shd w:fill="FBF8F1"/>
          </w:tcPr>
          <w:p>
            <w:r>
              <w:rPr>
                <w:b/>
                <w:color w:val="0B1020"/>
              </w:rPr>
              <w:t>Ausgestaltungsspielraum</w:t>
            </w:r>
          </w:p>
        </w:tc>
        <w:tc>
          <w:tcPr>
            <w:tcW w:type="dxa" w:w="6236"/>
            <w:tcMar>
              <w:top w:w="80" w:type="dxa"/>
              <w:start w:w="90" w:type="dxa"/>
              <w:bottom w:w="80" w:type="dxa"/>
              <w:end w:w="90" w:type="dxa"/>
            </w:tcMar>
          </w:tcPr>
          <w:p>
            <w:r>
              <w:t>Pflichtkennzeichnung, freiwillige Label, Steueranreize, Plattformpflichten oder Beschaffungsvorgaben</w:t>
            </w:r>
          </w:p>
        </w:tc>
      </w:tr>
      <w:tr>
        <w:tc>
          <w:tcPr>
            <w:tcW w:type="dxa" w:w="2835"/>
            <w:tcMar>
              <w:top w:w="80" w:type="dxa"/>
              <w:start w:w="90" w:type="dxa"/>
              <w:bottom w:w="80" w:type="dxa"/>
              <w:end w:w="90" w:type="dxa"/>
            </w:tcMar>
            <w:shd w:fill="FBF8F1"/>
          </w:tcPr>
          <w:p>
            <w:r>
              <w:rPr>
                <w:b/>
                <w:color w:val="0B1020"/>
              </w:rPr>
              <w:t>Zielkonflikte</w:t>
            </w:r>
          </w:p>
        </w:tc>
        <w:tc>
          <w:tcPr>
            <w:tcW w:type="dxa" w:w="6236"/>
            <w:tcMar>
              <w:top w:w="80" w:type="dxa"/>
              <w:start w:w="90" w:type="dxa"/>
              <w:bottom w:w="80" w:type="dxa"/>
              <w:end w:w="90" w:type="dxa"/>
            </w:tcMar>
          </w:tcPr>
          <w:p>
            <w:r>
              <w:t>Informationslast, Bürokratie, Kreativfreiheit, Wettbewerbsfähigkeit, Schutz vulnerabler Gruppen</w:t>
            </w:r>
          </w:p>
        </w:tc>
      </w:tr>
      <w:tr>
        <w:tc>
          <w:tcPr>
            <w:tcW w:type="dxa" w:w="2835"/>
            <w:tcMar>
              <w:top w:w="80" w:type="dxa"/>
              <w:start w:w="90" w:type="dxa"/>
              <w:bottom w:w="80" w:type="dxa"/>
              <w:end w:w="90" w:type="dxa"/>
            </w:tcMar>
            <w:shd w:fill="FBF8F1"/>
          </w:tcPr>
          <w:p>
            <w:r>
              <w:rPr>
                <w:b/>
                <w:color w:val="0B1020"/>
              </w:rPr>
              <w:t>Übergang</w:t>
            </w:r>
          </w:p>
        </w:tc>
        <w:tc>
          <w:tcPr>
            <w:tcW w:type="dxa" w:w="6236"/>
            <w:tcMar>
              <w:top w:w="80" w:type="dxa"/>
              <w:start w:w="90" w:type="dxa"/>
              <w:bottom w:w="80" w:type="dxa"/>
              <w:end w:w="90" w:type="dxa"/>
            </w:tcMar>
          </w:tcPr>
          <w:p>
            <w:r>
              <w:t>KMU-fähige Claim-Vorlagen, Pilotbranchen, sichere Datenräume, Beratungsangebote</w:t>
            </w:r>
          </w:p>
        </w:tc>
      </w:tr>
      <w:tr>
        <w:tc>
          <w:tcPr>
            <w:tcW w:type="dxa" w:w="2835"/>
            <w:tcMar>
              <w:top w:w="80" w:type="dxa"/>
              <w:start w:w="90" w:type="dxa"/>
              <w:bottom w:w="80" w:type="dxa"/>
              <w:end w:w="90" w:type="dxa"/>
            </w:tcMar>
            <w:shd w:fill="FBF8F1"/>
          </w:tcPr>
          <w:p>
            <w:r>
              <w:rPr>
                <w:b/>
                <w:color w:val="0B1020"/>
              </w:rPr>
              <w:t>Schutz vor Technokratie</w:t>
            </w:r>
          </w:p>
        </w:tc>
        <w:tc>
          <w:tcPr>
            <w:tcW w:type="dxa" w:w="6236"/>
            <w:tcMar>
              <w:top w:w="80" w:type="dxa"/>
              <w:start w:w="90" w:type="dxa"/>
              <w:bottom w:w="80" w:type="dxa"/>
              <w:end w:w="90" w:type="dxa"/>
            </w:tcMar>
          </w:tcPr>
          <w:p>
            <w:r>
              <w:t>Keine Meinungs- oder Geschmacksbewertung, sondern Prüfung von Nachweis, Irreführung und Wirkungspfad</w:t>
            </w:r>
          </w:p>
        </w:tc>
      </w:tr>
    </w:tbl>
    <w:p/>
    <w:p>
      <w:pPr>
        <w:pStyle w:val="Heading1"/>
      </w:pPr>
      <w:r>
        <w:t>Website- und Portalintegration</w:t>
      </w:r>
    </w:p>
    <w:p>
      <w:r>
        <w:rPr>
          <w:rFonts w:ascii="Arial" w:hAnsi="Arial"/>
          <w:color w:val="4B4F56"/>
          <w:sz w:val="19"/>
        </w:rPr>
        <w:t>Auf der Website sollte dieses Detailkonzept nicht den Portal-Einstieg ersetzen. Es gehört als Vertiefung unter Wirtschaft &amp; Unternehmen und wird zugleich mit Produkte &amp; Konsum, Medien &amp; Öffentlichkeit, WÖk-IDs, Produktscorecards, DPP, WUStG und SDG-/SDG+ verlinkt.</w:t>
      </w:r>
    </w:p>
    <w:p>
      <w:r>
        <w:rPr>
          <w:rFonts w:ascii="Arial" w:hAnsi="Arial"/>
          <w:color w:val="4B4F56"/>
          <w:sz w:val="19"/>
        </w:rPr>
        <w:t>Die Kurzfassung kann erklären: Marketing wird nicht verteufelt, sondern an Produktwahrheit und Wirkung gekoppelt. Der Online-Volltext sollte vollständig lesbar sein. Downloads enthalten DOCX und PDF. Toolkarten zeigen den Status der geplanten Checks.</w:t>
      </w:r>
    </w:p>
    <w:p>
      <w:pPr>
        <w:pStyle w:val="Heading1"/>
      </w:pPr>
      <w:r>
        <w:t>Fazit</w:t>
      </w:r>
    </w:p>
    <w:p>
      <w:r>
        <w:rPr>
          <w:rFonts w:ascii="Arial" w:hAnsi="Arial"/>
          <w:color w:val="4B4F56"/>
          <w:sz w:val="19"/>
        </w:rPr>
        <w:t>Marketing ist einer der wirksamsten Hebel der Marktwirtschaft, weil es entscheidet, was sichtbar, begehrenswert und normal wird. In der alten Logik kann dieser Hebel destruktive Produkte legitimieren. In der Wirkungsökonomie kann er zum Motor besserer Märkte werden.</w:t>
      </w:r>
    </w:p>
    <w:p>
      <w:r>
        <w:rPr>
          <w:rFonts w:ascii="Arial" w:hAnsi="Arial"/>
          <w:color w:val="4B4F56"/>
          <w:sz w:val="19"/>
        </w:rPr>
        <w:t>Das fünfte P - Planet - ist deshalb kein Moralzusatz, sondern ein Steuerungsprinzip: Kommunikation muss an tatsächliche Wirkung zurückgebunden werden. Erst dann wird aus Marketing nicht nur Absatzkunst, sondern Wirkungswahrheit im Markt.</w:t>
      </w:r>
    </w:p>
    <w:p>
      <w:pPr>
        <w:pStyle w:val="Heading1"/>
      </w:pPr>
      <w:r>
        <w:t>Quellen und Anschlussstellen</w:t>
      </w:r>
    </w:p>
    <w:p>
      <w:r>
        <w:rPr>
          <w:b/>
          <w:color w:val="0B1020"/>
        </w:rPr>
        <w:t xml:space="preserve">CSRD / Corporate Sustainability Reporting, European Commission: </w:t>
      </w:r>
      <w:r>
        <w:rPr>
          <w:color w:val="2F7D5C"/>
          <w:u w:val="single"/>
        </w:rPr>
        <w:t>https://finance.ec.europa.eu/financial-markets/company-reporting-and-auditing/company-reporting/corporate-sustainability-reporting_en</w:t>
      </w:r>
    </w:p>
    <w:p>
      <w:r>
        <w:rPr>
          <w:b/>
          <w:color w:val="0B1020"/>
        </w:rPr>
        <w:t xml:space="preserve">EU Taxonomy for sustainable activities, European Commission: </w:t>
      </w:r>
      <w:r>
        <w:rPr>
          <w:color w:val="2F7D5C"/>
          <w:u w:val="single"/>
        </w:rPr>
        <w:t>https://finance.ec.europa.eu/sustainable-finance/tools-and-standards/eu-taxonomy-sustainable-activities_en</w:t>
      </w:r>
    </w:p>
    <w:p>
      <w:r>
        <w:rPr>
          <w:b/>
          <w:color w:val="0B1020"/>
        </w:rPr>
        <w:t xml:space="preserve">Corporate Sustainability Due Diligence, European Commission: </w:t>
      </w:r>
      <w:r>
        <w:rPr>
          <w:color w:val="2F7D5C"/>
          <w:u w:val="single"/>
        </w:rPr>
        <w:t>https://commission.europa.eu/topics/business-and-industry/doing-business-eu/sustainability-due-diligence-responsible-business/corporate-sustainability-due-diligence_en</w:t>
      </w:r>
    </w:p>
    <w:p>
      <w:r>
        <w:rPr>
          <w:b/>
          <w:color w:val="0B1020"/>
        </w:rPr>
        <w:t xml:space="preserve">Ecodesign for Sustainable Products Regulation / Digital Product Passport, European Commission: </w:t>
      </w:r>
      <w:r>
        <w:rPr>
          <w:color w:val="2F7D5C"/>
          <w:u w:val="single"/>
        </w:rPr>
        <w:t>https://environment.ec.europa.eu/strategy/circular-economy/ecodesign-sustainable-products-regulation_en</w:t>
      </w:r>
    </w:p>
    <w:p>
      <w:r>
        <w:rPr>
          <w:b/>
          <w:color w:val="0B1020"/>
        </w:rPr>
        <w:t xml:space="preserve">EBA Guidelines on the management of ESG risks: </w:t>
      </w:r>
      <w:r>
        <w:rPr>
          <w:color w:val="2F7D5C"/>
          <w:u w:val="single"/>
        </w:rPr>
        <w:t>https://www.eba.europa.eu/activities/single-rulebook/regulatory-activities/sustainable-finance/guidelines-management-esg-risks</w:t>
      </w:r>
    </w:p>
    <w:p>
      <w:r>
        <w:rPr>
          <w:b/>
          <w:color w:val="0B1020"/>
        </w:rPr>
        <w:t xml:space="preserve">Directive (EU) 2024/825 - empowering consumers for the green transition, EUR-Lex: </w:t>
      </w:r>
      <w:r>
        <w:rPr>
          <w:color w:val="2F7D5C"/>
          <w:u w:val="single"/>
        </w:rPr>
        <w:t>https://eur-lex.europa.eu/legal-content/EN/TXT/?uri=CELEX:32024L0825</w:t>
      </w:r>
    </w:p>
    <w:p>
      <w:pPr>
        <w:pStyle w:val="Heading1"/>
      </w:pPr>
      <w:r>
        <w:t>Buchanker und interne Referenzen</w:t>
      </w:r>
    </w:p>
    <w:p>
      <w:pPr>
        <w:ind w:left="312" w:hanging="142"/>
      </w:pPr>
      <w:r>
        <w:rPr>
          <w:b/>
          <w:color w:val="2F7D5C"/>
        </w:rPr>
        <w:t xml:space="preserve">• </w:t>
      </w:r>
      <w:r>
        <w:rPr>
          <w:rFonts w:ascii="Arial" w:hAnsi="Arial"/>
          <w:color w:val="4B4F56"/>
          <w:sz w:val="19"/>
        </w:rPr>
        <w:t>Teil VII, Kapitel 46.6: Marketing, Vertrieb und Kundennutzen nach Wirkung.</w:t>
      </w:r>
    </w:p>
    <w:p>
      <w:pPr>
        <w:ind w:left="312" w:hanging="142"/>
      </w:pPr>
      <w:r>
        <w:rPr>
          <w:b/>
          <w:color w:val="2F7D5C"/>
        </w:rPr>
        <w:t xml:space="preserve">• </w:t>
      </w:r>
      <w:r>
        <w:rPr>
          <w:rFonts w:ascii="Arial" w:hAnsi="Arial"/>
          <w:color w:val="4B4F56"/>
          <w:sz w:val="19"/>
        </w:rPr>
        <w:t>Teil VIII: Produkte, Märkte und Preise - insbesondere ehrliche Preise, Produktscorecards und Verbraucherinformation.</w:t>
      </w:r>
    </w:p>
    <w:p>
      <w:pPr>
        <w:ind w:left="312" w:hanging="142"/>
      </w:pPr>
      <w:r>
        <w:rPr>
          <w:b/>
          <w:color w:val="2F7D5C"/>
        </w:rPr>
        <w:t xml:space="preserve">• </w:t>
      </w:r>
      <w:r>
        <w:rPr>
          <w:rFonts w:ascii="Arial" w:hAnsi="Arial"/>
          <w:color w:val="4B4F56"/>
          <w:sz w:val="19"/>
        </w:rPr>
        <w:t>Teil XII: Medien, Kommunikation und Öffentlichkeit - Sprache, Frames, Resonanzräume und Verantwortung.</w:t>
      </w:r>
    </w:p>
    <w:p>
      <w:pPr>
        <w:ind w:left="312" w:hanging="142"/>
      </w:pPr>
      <w:r>
        <w:rPr>
          <w:b/>
          <w:color w:val="2F7D5C"/>
        </w:rPr>
        <w:t xml:space="preserve">• </w:t>
      </w:r>
      <w:r>
        <w:rPr>
          <w:rFonts w:ascii="Arial" w:hAnsi="Arial"/>
          <w:color w:val="4B4F56"/>
          <w:sz w:val="19"/>
        </w:rPr>
        <w:t>Begriffsleitfaden: Wirkung ist tatsächliche Zustandsveränderung; Wirkungspotenzial und Resonanzraum dürfen nicht mit eingetretener Wirkung verwechselt werden.</w:t>
      </w:r>
    </w:p>
    <w:sectPr w:rsidR="00FC693F" w:rsidRPr="0006063C" w:rsidSect="00034616">
      <w:headerReference w:type="default" r:id="rId9"/>
      <w:footerReference w:type="default" r:id="rId10"/>
      <w:pgSz w:w="11906" w:h="16838"/>
      <w:pgMar w:top="1020" w:right="1020"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4F56"/>
        <w:sz w:val="16"/>
      </w:rPr>
      <w:t xml:space="preserve">Natalie Weber · Wirkungsökonomie · Go 7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2F7D5C"/>
        <w:sz w:val="16"/>
      </w:rPr>
      <w:t>Wirkungsökonomie · Wirtschaft &amp; 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4B4F5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eastAsia="Georgia"/>
      <w:b/>
      <w:bCs/>
      <w:color w:val="0B102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eastAsia="Georgia"/>
      <w:b/>
      <w:bCs/>
      <w:color w:val="0B102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Georgia" w:hAnsi="Georgia" w:eastAsia="Georgia"/>
      <w:b/>
      <w:bCs/>
      <w:color w:val="0B1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B10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