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Aptos" w:hAnsi="Aptos"/>
          <w:b/>
          <w:color w:val="2F7D5C"/>
          <w:sz w:val="24"/>
        </w:rPr>
        <w:t>WIRKUNGSÖKONOMIE</w:t>
      </w:r>
    </w:p>
    <w:p>
      <w:pPr>
        <w:pStyle w:val="Heading3"/>
      </w:pPr>
      <w:r>
        <w:t>DETAILKONZEPT</w:t>
      </w:r>
    </w:p>
    <w:p>
      <w:pPr>
        <w:pStyle w:val="Title"/>
      </w:pPr>
      <w:r>
        <w:t>Wirkungsfonds als Dacharchitektur</w:t>
      </w:r>
    </w:p>
    <w:p>
      <w:r>
        <w:rPr>
          <w:rFonts w:ascii="Georgia" w:hAnsi="Georgia"/>
          <w:color w:val="0B1020"/>
          <w:sz w:val="26"/>
        </w:rPr>
        <w:t>Finanzierbarkeit, Wirkungsdividende, Spezialfonds und demokratische Kapitalrückkopplung</w:t>
      </w:r>
    </w:p>
    <w:p/>
    <w:tbl>
      <w:tblPr>
        <w:tblStyle w:val="TableGrid"/>
        <w:tblW w:type="auto" w:w="0"/>
        <w:jc w:val="left"/>
        <w:tblLook w:firstColumn="1" w:firstRow="1" w:lastColumn="0" w:lastRow="0" w:noHBand="0" w:noVBand="1" w:val="04A0"/>
      </w:tblPr>
      <w:tblGrid>
        <w:gridCol w:w="5100"/>
        <w:gridCol w:w="5100"/>
      </w:tblGrid>
      <w:tr>
        <w:tc>
          <w:tcPr>
            <w:tcW w:type="dxa" w:w="5100"/>
            <w:shd w:fill="F6F1E8"/>
          </w:tcPr>
          <w:p>
            <w:r/>
            <w:r>
              <w:rPr>
                <w:rFonts w:ascii="Aptos" w:hAnsi="Aptos"/>
                <w:b/>
                <w:color w:val="0B1020"/>
                <w:sz w:val="16"/>
              </w:rPr>
              <w:t>Autorin</w:t>
            </w:r>
          </w:p>
        </w:tc>
        <w:tc>
          <w:tcPr>
            <w:tcW w:type="dxa" w:w="5100"/>
          </w:tcPr>
          <w:p>
            <w:r/>
            <w:r>
              <w:rPr>
                <w:rFonts w:ascii="Aptos" w:hAnsi="Aptos"/>
                <w:b w:val="0"/>
                <w:color w:val="2A2A2A"/>
                <w:sz w:val="16"/>
              </w:rPr>
              <w:t>Natalie Weber</w:t>
            </w:r>
          </w:p>
        </w:tc>
      </w:tr>
      <w:tr>
        <w:tc>
          <w:tcPr>
            <w:tcW w:type="dxa" w:w="5100"/>
            <w:shd w:fill="F6F1E8"/>
          </w:tcPr>
          <w:p>
            <w:r/>
            <w:r>
              <w:rPr>
                <w:rFonts w:ascii="Aptos" w:hAnsi="Aptos"/>
                <w:b/>
                <w:color w:val="0B1020"/>
                <w:sz w:val="16"/>
              </w:rPr>
              <w:t>Referenz</w:t>
            </w:r>
          </w:p>
        </w:tc>
        <w:tc>
          <w:tcPr>
            <w:tcW w:type="dxa" w:w="5100"/>
          </w:tcPr>
          <w:p>
            <w:r/>
            <w:r>
              <w:rPr>
                <w:rFonts w:ascii="Aptos" w:hAnsi="Aptos"/>
                <w:b w:val="0"/>
                <w:color w:val="2A2A2A"/>
                <w:sz w:val="16"/>
              </w:rPr>
              <w:t>Wirkungsökonomie</w:t>
            </w:r>
          </w:p>
        </w:tc>
      </w:tr>
      <w:tr>
        <w:tc>
          <w:tcPr>
            <w:tcW w:type="dxa" w:w="5100"/>
            <w:shd w:fill="F6F1E8"/>
          </w:tcPr>
          <w:p>
            <w:r/>
            <w:r>
              <w:rPr>
                <w:rFonts w:ascii="Aptos" w:hAnsi="Aptos"/>
                <w:b/>
                <w:color w:val="0B1020"/>
                <w:sz w:val="16"/>
              </w:rPr>
              <w:t>Version</w:t>
            </w:r>
          </w:p>
        </w:tc>
        <w:tc>
          <w:tcPr>
            <w:tcW w:type="dxa" w:w="5100"/>
          </w:tcPr>
          <w:p>
            <w:r/>
            <w:r>
              <w:rPr>
                <w:rFonts w:ascii="Aptos" w:hAnsi="Aptos"/>
                <w:b w:val="0"/>
                <w:color w:val="2A2A2A"/>
                <w:sz w:val="16"/>
              </w:rPr>
              <w:t>v1.0</w:t>
            </w:r>
          </w:p>
        </w:tc>
      </w:tr>
      <w:tr>
        <w:tc>
          <w:tcPr>
            <w:tcW w:type="dxa" w:w="5100"/>
            <w:shd w:fill="F6F1E8"/>
          </w:tcPr>
          <w:p>
            <w:r/>
            <w:r>
              <w:rPr>
                <w:rFonts w:ascii="Aptos" w:hAnsi="Aptos"/>
                <w:b/>
                <w:color w:val="0B1020"/>
                <w:sz w:val="16"/>
              </w:rPr>
              <w:t>Status</w:t>
            </w:r>
          </w:p>
        </w:tc>
        <w:tc>
          <w:tcPr>
            <w:tcW w:type="dxa" w:w="5100"/>
          </w:tcPr>
          <w:p>
            <w:r/>
            <w:r>
              <w:rPr>
                <w:rFonts w:ascii="Aptos" w:hAnsi="Aptos"/>
                <w:b w:val="0"/>
                <w:color w:val="2A2A2A"/>
                <w:sz w:val="16"/>
              </w:rPr>
              <w:t>öffentliche Ausarbeitung</w:t>
            </w:r>
          </w:p>
        </w:tc>
      </w:tr>
      <w:tr>
        <w:tc>
          <w:tcPr>
            <w:tcW w:type="dxa" w:w="5100"/>
            <w:shd w:fill="F6F1E8"/>
          </w:tcPr>
          <w:p>
            <w:r/>
            <w:r>
              <w:rPr>
                <w:rFonts w:ascii="Aptos" w:hAnsi="Aptos"/>
                <w:b/>
                <w:color w:val="0B1020"/>
                <w:sz w:val="16"/>
              </w:rPr>
              <w:t>Stand</w:t>
            </w:r>
          </w:p>
        </w:tc>
        <w:tc>
          <w:tcPr>
            <w:tcW w:type="dxa" w:w="5100"/>
          </w:tcPr>
          <w:p>
            <w:r/>
            <w:r>
              <w:rPr>
                <w:rFonts w:ascii="Aptos" w:hAnsi="Aptos"/>
                <w:b w:val="0"/>
                <w:color w:val="2A2A2A"/>
                <w:sz w:val="16"/>
              </w:rPr>
              <w:t>24. Mai 2026</w:t>
            </w:r>
          </w:p>
        </w:tc>
      </w:tr>
      <w:tr>
        <w:tc>
          <w:tcPr>
            <w:tcW w:type="dxa" w:w="5100"/>
            <w:shd w:fill="F6F1E8"/>
          </w:tcPr>
          <w:p>
            <w:r/>
            <w:r>
              <w:rPr>
                <w:rFonts w:ascii="Aptos" w:hAnsi="Aptos"/>
                <w:b/>
                <w:color w:val="0B1020"/>
                <w:sz w:val="16"/>
              </w:rPr>
              <w:t>Dokumenttyp</w:t>
            </w:r>
          </w:p>
        </w:tc>
        <w:tc>
          <w:tcPr>
            <w:tcW w:type="dxa" w:w="5100"/>
          </w:tcPr>
          <w:p>
            <w:r/>
            <w:r>
              <w:rPr>
                <w:rFonts w:ascii="Aptos" w:hAnsi="Aptos"/>
                <w:b w:val="0"/>
                <w:color w:val="2A2A2A"/>
                <w:sz w:val="16"/>
              </w:rPr>
              <w:t>Detailkonzept</w:t>
            </w:r>
          </w:p>
        </w:tc>
      </w:tr>
      <w:tr>
        <w:tc>
          <w:tcPr>
            <w:tcW w:type="dxa" w:w="5100"/>
            <w:shd w:fill="F6F1E8"/>
          </w:tcPr>
          <w:p>
            <w:r/>
            <w:r>
              <w:rPr>
                <w:rFonts w:ascii="Aptos" w:hAnsi="Aptos"/>
                <w:b/>
                <w:color w:val="0B1020"/>
                <w:sz w:val="16"/>
              </w:rPr>
              <w:t>Hinweis</w:t>
            </w:r>
          </w:p>
        </w:tc>
        <w:tc>
          <w:tcPr>
            <w:tcW w:type="dxa" w:w="5100"/>
          </w:tcPr>
          <w:p>
            <w:r/>
            <w:r>
              <w:rPr>
                <w:rFonts w:ascii="Aptos" w:hAnsi="Aptos"/>
                <w:b w:val="0"/>
                <w:color w:val="2A2A2A"/>
                <w:sz w:val="16"/>
              </w:rPr>
              <w:t>Konzeptionelle Arbeitsfassung; keine Rechts-, Steuer-, Anlage-, Kredit- oder Finanzberatung.</w:t>
            </w:r>
          </w:p>
        </w:tc>
      </w:tr>
    </w:tbl>
    <w:p/>
    <w:p>
      <w:pPr>
        <w:pStyle w:val="Heading1"/>
      </w:pPr>
      <w:r>
        <w:t>Executive Summary</w:t>
      </w:r>
    </w:p>
    <w:tbl>
      <w:tblPr>
        <w:tblStyle w:val="TableGrid"/>
        <w:tblW w:type="auto" w:w="0"/>
        <w:jc w:val="center"/>
        <w:tblLook w:firstColumn="1" w:firstRow="1" w:lastColumn="0" w:lastRow="0" w:noHBand="0" w:noVBand="1" w:val="04A0"/>
      </w:tblPr>
      <w:tblGrid>
        <w:gridCol w:w="10200"/>
      </w:tblGrid>
      <w:tr>
        <w:tc>
          <w:tcPr>
            <w:tcW w:type="dxa" w:w="10200"/>
            <w:shd w:fill="FBF8F1"/>
          </w:tcPr>
          <w:p>
            <w:r>
              <w:rPr>
                <w:rFonts w:ascii="Aptos" w:hAnsi="Aptos"/>
                <w:b/>
                <w:color w:val="2F7D5C"/>
                <w:sz w:val="18"/>
              </w:rPr>
              <w:t>LEITSATZ</w:t>
            </w:r>
          </w:p>
          <w:p>
            <w:r>
              <w:rPr>
                <w:rFonts w:ascii="Aptos" w:hAnsi="Aptos"/>
                <w:color w:val="2A2A2A"/>
                <w:sz w:val="21"/>
              </w:rPr>
              <w:t>Wirkungsfonds sind keine Fördertöpfe alter Art. Sie sind Rückkopplungsinstrumente, die Kapital aus positiven Wirkungen, negativen Externalitäten und Automatisierungsgewinnen in Zukunftsfähigkeit übersetzen.</w:t>
            </w:r>
          </w:p>
        </w:tc>
      </w:tr>
    </w:tbl>
    <w:p>
      <w:pPr>
        <w:spacing w:after="120" w:line="264" w:lineRule="auto"/>
      </w:pPr>
      <w:r>
        <w:t>Dieses Detailkonzept entwickelt die Wirkungsfonds als Dacharchitektur der Finanzierbarkeit in der Wirkungsökonomie. Es zeigt, wie Bildungs-, Gesundheits-, Wohn-, Klima-, Demokratie-, Medien-, Pflege-, Renten-, Innovations- und Regenerationsfonds nicht isoliert nebeneinanderstehen, sondern als verbundene Kapitalinfrastruktur wirken.</w:t>
      </w:r>
    </w:p>
    <w:p>
      <w:pPr>
        <w:spacing w:after="120" w:line="264" w:lineRule="auto"/>
      </w:pPr>
      <w:r>
        <w:t>Die zentrale Frage lautet: Wie finanziert eine Gesellschaft positive Netto-Wirkung, ohne jedes Thema in kurzfristige Haushaltskämpfe, projektbezogene Förderbürokratie oder private Spendenlogik zu zwingen? Die Antwort der WÖk lautet: über Fonds, die an Wirkung, Datenqualität, T-SROI, NWI, Governance und demokratische Kontrolle gebunden sind.</w:t>
      </w:r>
    </w:p>
    <w:p>
      <w:pPr>
        <w:spacing w:after="120" w:line="264" w:lineRule="auto"/>
      </w:pPr>
      <w:r>
        <w:t>Wirkungsfonds sollen nicht den Staat ersetzen und nicht private Verantwortung auflösen. Sie verbinden öffentliche Steuerungsfähigkeit, private Kapitalmobilisierung, Bürger:innenbeteiligung und thematische Zweckbindung zu einer lernenden Finanzierungsarchitektur.</w:t>
      </w:r>
    </w:p>
    <w:p>
      <w:pPr>
        <w:pStyle w:val="Heading1"/>
      </w:pPr>
      <w:r>
        <w:t>Ausgangsdiagnose: Warum klassische Finanzierung nicht reicht</w:t>
      </w:r>
    </w:p>
    <w:p>
      <w:pPr>
        <w:spacing w:after="120" w:line="264" w:lineRule="auto"/>
      </w:pPr>
      <w:r>
        <w:t>Viele gesellschaftlich zentrale Wirkungen entstehen langfristig, präventiv und systemisch: frühe Bildung, Gesundheitsprävention, Pflegeentlastung, Gebäudesanierung, Klimaanpassung, lokale Kultur, Demokratie- und Medienresilienz, Wissenschaftsinfrastruktur, Biodiversität und digitale Souveränität. Genau diese Wirkungen haben im klassischen Finanzsystem ein Problem: Sie sind häufig nicht kurzfristig renditestark, nicht leicht bilanzierbar und nicht innerhalb einer Legislaturperiode vollständig sichtbar.</w:t>
      </w:r>
    </w:p>
    <w:p>
      <w:pPr>
        <w:spacing w:after="120" w:line="264" w:lineRule="auto"/>
      </w:pPr>
      <w:r>
        <w:t>Dadurch entstehen drei Finanzierungslücken. Erstens die Präventionslücke: Geld fließt in Reparatur, nicht in Vermeidung. Zweitens die Systemlücke: Interdependente Wirkung passt nicht in sektorale Haushaltstitel. Drittens die Teilhabelücke: Bürger:innen profitieren selten direkt von der Kapitalwirkung, die ihre Lebensgrundlagen stabilisiert.</w:t>
      </w:r>
    </w:p>
    <w:p>
      <w:pPr>
        <w:spacing w:after="120" w:line="264" w:lineRule="auto"/>
      </w:pPr>
      <w:r>
        <w:t>Die WÖk-Fondsarchitektur setzt genau dort an. Sie bündelt Kapital nicht nach Institution, sondern nach Wirkungspfad.</w:t>
      </w:r>
    </w:p>
    <w:p>
      <w:pPr>
        <w:pStyle w:val="Heading1"/>
      </w:pPr>
      <w:r>
        <w:t>Begriffsabgrenzung</w:t>
      </w:r>
    </w:p>
    <w:tbl>
      <w:tblPr>
        <w:tblStyle w:val="TableGrid"/>
        <w:tblW w:type="auto" w:w="0"/>
        <w:jc w:val="center"/>
        <w:tblLook w:firstColumn="1" w:firstRow="1" w:lastColumn="0" w:lastRow="0" w:noHBand="0" w:noVBand="1" w:val="04A0"/>
      </w:tblPr>
      <w:tblGrid>
        <w:gridCol w:w="5100"/>
        <w:gridCol w:w="5100"/>
      </w:tblGrid>
      <w:tr>
        <w:trPr>
          <w:tblHeader w:val="true"/>
        </w:trPr>
        <w:tc>
          <w:tcPr>
            <w:tcW w:type="dxa" w:w="2268"/>
            <w:shd w:fill="0B1020"/>
            <w:vAlign w:val="center"/>
          </w:tcPr>
          <w:p>
            <w:r/>
            <w:r>
              <w:rPr>
                <w:rFonts w:ascii="Aptos" w:hAnsi="Aptos"/>
                <w:b/>
                <w:color w:val="FFFFFF"/>
                <w:sz w:val="16"/>
              </w:rPr>
              <w:t>Begriff</w:t>
            </w:r>
          </w:p>
        </w:tc>
        <w:tc>
          <w:tcPr>
            <w:tcW w:type="dxa" w:w="5669"/>
            <w:shd w:fill="0B1020"/>
            <w:vAlign w:val="center"/>
          </w:tcPr>
          <w:p>
            <w:r/>
            <w:r>
              <w:rPr>
                <w:rFonts w:ascii="Aptos" w:hAnsi="Aptos"/>
                <w:b/>
                <w:color w:val="FFFFFF"/>
                <w:sz w:val="16"/>
              </w:rPr>
              <w:t>Bedeutung im WÖk-Fondsmodell</w:t>
            </w:r>
          </w:p>
        </w:tc>
      </w:tr>
      <w:tr>
        <w:tc>
          <w:tcPr>
            <w:tcW w:type="dxa" w:w="2268"/>
            <w:vAlign w:val="top"/>
          </w:tcPr>
          <w:p>
            <w:r/>
            <w:r>
              <w:rPr>
                <w:rFonts w:ascii="Aptos" w:hAnsi="Aptos"/>
                <w:b w:val="0"/>
                <w:color w:val="2A2A2A"/>
                <w:sz w:val="16"/>
              </w:rPr>
              <w:t>Wirkungsfonds</w:t>
            </w:r>
          </w:p>
        </w:tc>
        <w:tc>
          <w:tcPr>
            <w:tcW w:type="dxa" w:w="5669"/>
            <w:vAlign w:val="top"/>
          </w:tcPr>
          <w:p>
            <w:r/>
            <w:r>
              <w:rPr>
                <w:rFonts w:ascii="Aptos" w:hAnsi="Aptos"/>
                <w:b w:val="0"/>
                <w:color w:val="2A2A2A"/>
                <w:sz w:val="16"/>
              </w:rPr>
              <w:t>Kapitalvehikel mit Zweckbindung an positive Netto-Wirkung und demokratischer Governance.</w:t>
            </w:r>
          </w:p>
        </w:tc>
      </w:tr>
      <w:tr>
        <w:tc>
          <w:tcPr>
            <w:tcW w:type="dxa" w:w="2268"/>
            <w:vAlign w:val="top"/>
          </w:tcPr>
          <w:p>
            <w:r/>
            <w:r>
              <w:rPr>
                <w:rFonts w:ascii="Aptos" w:hAnsi="Aptos"/>
                <w:b w:val="0"/>
                <w:color w:val="2A2A2A"/>
                <w:sz w:val="16"/>
              </w:rPr>
              <w:t>Dachfonds</w:t>
            </w:r>
          </w:p>
        </w:tc>
        <w:tc>
          <w:tcPr>
            <w:tcW w:type="dxa" w:w="5669"/>
            <w:vAlign w:val="top"/>
          </w:tcPr>
          <w:p>
            <w:r/>
            <w:r>
              <w:rPr>
                <w:rFonts w:ascii="Aptos" w:hAnsi="Aptos"/>
                <w:b w:val="0"/>
                <w:color w:val="2A2A2A"/>
                <w:sz w:val="16"/>
              </w:rPr>
              <w:t>Übergeordnete Struktur, die mehrere thematische Wirkungsfonds verbindet und ausgleicht.</w:t>
            </w:r>
          </w:p>
        </w:tc>
      </w:tr>
      <w:tr>
        <w:tc>
          <w:tcPr>
            <w:tcW w:type="dxa" w:w="2268"/>
            <w:vAlign w:val="top"/>
          </w:tcPr>
          <w:p>
            <w:r/>
            <w:r>
              <w:rPr>
                <w:rFonts w:ascii="Aptos" w:hAnsi="Aptos"/>
                <w:b w:val="0"/>
                <w:color w:val="2A2A2A"/>
                <w:sz w:val="16"/>
              </w:rPr>
              <w:t>Themenfonds</w:t>
            </w:r>
          </w:p>
        </w:tc>
        <w:tc>
          <w:tcPr>
            <w:tcW w:type="dxa" w:w="5669"/>
            <w:vAlign w:val="top"/>
          </w:tcPr>
          <w:p>
            <w:r/>
            <w:r>
              <w:rPr>
                <w:rFonts w:ascii="Aptos" w:hAnsi="Aptos"/>
                <w:b w:val="0"/>
                <w:color w:val="2A2A2A"/>
                <w:sz w:val="16"/>
              </w:rPr>
              <w:t>Fonds für Bildung, Gesundheit, Wohnen, Klima, Pflege, Medien, Demokratie, Kultur usw.</w:t>
            </w:r>
          </w:p>
        </w:tc>
      </w:tr>
      <w:tr>
        <w:tc>
          <w:tcPr>
            <w:tcW w:type="dxa" w:w="2268"/>
            <w:vAlign w:val="top"/>
          </w:tcPr>
          <w:p>
            <w:r/>
            <w:r>
              <w:rPr>
                <w:rFonts w:ascii="Aptos" w:hAnsi="Aptos"/>
                <w:b w:val="0"/>
                <w:color w:val="2A2A2A"/>
                <w:sz w:val="16"/>
              </w:rPr>
              <w:t>Wirkungsdividende</w:t>
            </w:r>
          </w:p>
        </w:tc>
        <w:tc>
          <w:tcPr>
            <w:tcW w:type="dxa" w:w="5669"/>
            <w:vAlign w:val="top"/>
          </w:tcPr>
          <w:p>
            <w:r/>
            <w:r>
              <w:rPr>
                <w:rFonts w:ascii="Aptos" w:hAnsi="Aptos"/>
                <w:b w:val="0"/>
                <w:color w:val="2A2A2A"/>
                <w:sz w:val="16"/>
              </w:rPr>
              <w:t>Rückfluss positiver Systemwirkung an Bürger:innen oder Zielgruppen.</w:t>
            </w:r>
          </w:p>
        </w:tc>
      </w:tr>
      <w:tr>
        <w:tc>
          <w:tcPr>
            <w:tcW w:type="dxa" w:w="2268"/>
            <w:vAlign w:val="top"/>
          </w:tcPr>
          <w:p>
            <w:r/>
            <w:r>
              <w:rPr>
                <w:rFonts w:ascii="Aptos" w:hAnsi="Aptos"/>
                <w:b w:val="0"/>
                <w:color w:val="2A2A2A"/>
                <w:sz w:val="16"/>
              </w:rPr>
              <w:t>T-SROI</w:t>
            </w:r>
          </w:p>
        </w:tc>
        <w:tc>
          <w:tcPr>
            <w:tcW w:type="dxa" w:w="5669"/>
            <w:vAlign w:val="top"/>
          </w:tcPr>
          <w:p>
            <w:r/>
            <w:r>
              <w:rPr>
                <w:rFonts w:ascii="Aptos" w:hAnsi="Aptos"/>
                <w:b w:val="0"/>
                <w:color w:val="2A2A2A"/>
                <w:sz w:val="16"/>
              </w:rPr>
              <w:t>Prüfung, ob ein Fonds nicht nur Nutzen erzeugt, sondern Transformation auslöst.</w:t>
            </w:r>
          </w:p>
        </w:tc>
      </w:tr>
      <w:tr>
        <w:tc>
          <w:tcPr>
            <w:tcW w:type="dxa" w:w="2268"/>
            <w:vAlign w:val="top"/>
          </w:tcPr>
          <w:p>
            <w:r/>
            <w:r>
              <w:rPr>
                <w:rFonts w:ascii="Aptos" w:hAnsi="Aptos"/>
                <w:b w:val="0"/>
                <w:color w:val="2A2A2A"/>
                <w:sz w:val="16"/>
              </w:rPr>
              <w:t>NWI</w:t>
            </w:r>
          </w:p>
        </w:tc>
        <w:tc>
          <w:tcPr>
            <w:tcW w:type="dxa" w:w="5669"/>
            <w:vAlign w:val="top"/>
          </w:tcPr>
          <w:p>
            <w:r/>
            <w:r>
              <w:rPr>
                <w:rFonts w:ascii="Aptos" w:hAnsi="Aptos"/>
                <w:b w:val="0"/>
                <w:color w:val="2A2A2A"/>
                <w:sz w:val="16"/>
              </w:rPr>
              <w:t>Operative Netto-Wirkungskennzahl innerhalb des Fondsmanagements.</w:t>
            </w:r>
          </w:p>
        </w:tc>
      </w:tr>
    </w:tbl>
    <w:p>
      <w:pPr>
        <w:pStyle w:val="Heading1"/>
      </w:pPr>
      <w:r>
        <w:t>Dacharchitektur der Wirkungsfonds</w:t>
      </w:r>
    </w:p>
    <w:p>
      <w:pPr>
        <w:spacing w:after="120" w:line="264" w:lineRule="auto"/>
      </w:pPr>
      <w:r>
        <w:t>Die Wirkungsfonds-Architektur besteht aus einem Dachfonds und mehreren thematischen Unterfonds. Der Dachfonds sichert Standards, Governance, Datenqualität, Missbrauchsschutz und Ausgleich zwischen Bereichen. Die Unterfonds arbeiten fachlich: Bildung, Gesundheit, Wohnen, Rente, Klima, Kultur, Medien, Wissenschaft, Digitalisierung, Pflege, Arbeit, Demokratie und Regeneration.</w:t>
      </w:r>
    </w:p>
    <w:tbl>
      <w:tblPr>
        <w:tblStyle w:val="TableGrid"/>
        <w:tblW w:type="auto" w:w="0"/>
        <w:jc w:val="center"/>
        <w:tblLook w:firstColumn="1" w:firstRow="1" w:lastColumn="0" w:lastRow="0" w:noHBand="0" w:noVBand="1" w:val="04A0"/>
      </w:tblPr>
      <w:tblGrid>
        <w:gridCol w:w="3400"/>
        <w:gridCol w:w="3400"/>
        <w:gridCol w:w="3400"/>
      </w:tblGrid>
      <w:tr>
        <w:trPr>
          <w:tblHeader w:val="true"/>
        </w:trPr>
        <w:tc>
          <w:tcPr>
            <w:tcW w:type="dxa" w:w="2268"/>
            <w:shd w:fill="0B1020"/>
            <w:vAlign w:val="center"/>
          </w:tcPr>
          <w:p>
            <w:r/>
            <w:r>
              <w:rPr>
                <w:rFonts w:ascii="Aptos" w:hAnsi="Aptos"/>
                <w:b/>
                <w:color w:val="FFFFFF"/>
                <w:sz w:val="16"/>
              </w:rPr>
              <w:t>Fondsbereich</w:t>
            </w:r>
          </w:p>
        </w:tc>
        <w:tc>
          <w:tcPr>
            <w:tcW w:type="dxa" w:w="2268"/>
            <w:shd w:fill="0B1020"/>
            <w:vAlign w:val="center"/>
          </w:tcPr>
          <w:p>
            <w:r/>
            <w:r>
              <w:rPr>
                <w:rFonts w:ascii="Aptos" w:hAnsi="Aptos"/>
                <w:b/>
                <w:color w:val="FFFFFF"/>
                <w:sz w:val="16"/>
              </w:rPr>
              <w:t>Wirkungslogik</w:t>
            </w:r>
          </w:p>
        </w:tc>
        <w:tc>
          <w:tcPr>
            <w:tcW w:type="dxa" w:w="3402"/>
            <w:shd w:fill="0B1020"/>
            <w:vAlign w:val="center"/>
          </w:tcPr>
          <w:p>
            <w:r/>
            <w:r>
              <w:rPr>
                <w:rFonts w:ascii="Aptos" w:hAnsi="Aptos"/>
                <w:b/>
                <w:color w:val="FFFFFF"/>
                <w:sz w:val="16"/>
              </w:rPr>
              <w:t>Beispiele für Finanzierungsgegenstände</w:t>
            </w:r>
          </w:p>
        </w:tc>
      </w:tr>
      <w:tr>
        <w:tc>
          <w:tcPr>
            <w:tcW w:type="dxa" w:w="2268"/>
            <w:vAlign w:val="top"/>
          </w:tcPr>
          <w:p>
            <w:r/>
            <w:r>
              <w:rPr>
                <w:rFonts w:ascii="Aptos" w:hAnsi="Aptos"/>
                <w:b w:val="0"/>
                <w:color w:val="2A2A2A"/>
                <w:sz w:val="16"/>
              </w:rPr>
              <w:t>Bildungsfonds</w:t>
            </w:r>
          </w:p>
        </w:tc>
        <w:tc>
          <w:tcPr>
            <w:tcW w:type="dxa" w:w="2268"/>
            <w:vAlign w:val="top"/>
          </w:tcPr>
          <w:p>
            <w:r/>
            <w:r>
              <w:rPr>
                <w:rFonts w:ascii="Aptos" w:hAnsi="Aptos"/>
                <w:b w:val="0"/>
                <w:color w:val="2A2A2A"/>
                <w:sz w:val="16"/>
              </w:rPr>
              <w:t>frühe Wirkung, Zukunftskompetenz, Teilhabe</w:t>
            </w:r>
          </w:p>
        </w:tc>
        <w:tc>
          <w:tcPr>
            <w:tcW w:type="dxa" w:w="3402"/>
            <w:vAlign w:val="top"/>
          </w:tcPr>
          <w:p>
            <w:r/>
            <w:r>
              <w:rPr>
                <w:rFonts w:ascii="Aptos" w:hAnsi="Aptos"/>
                <w:b w:val="0"/>
                <w:color w:val="2A2A2A"/>
                <w:sz w:val="16"/>
              </w:rPr>
              <w:t>Wirkungsschulen, Lernförderung, Fach Zukunft, digitale Mündigkeit</w:t>
            </w:r>
          </w:p>
        </w:tc>
      </w:tr>
      <w:tr>
        <w:tc>
          <w:tcPr>
            <w:tcW w:type="dxa" w:w="2268"/>
            <w:vAlign w:val="top"/>
          </w:tcPr>
          <w:p>
            <w:r/>
            <w:r>
              <w:rPr>
                <w:rFonts w:ascii="Aptos" w:hAnsi="Aptos"/>
                <w:b w:val="0"/>
                <w:color w:val="2A2A2A"/>
                <w:sz w:val="16"/>
              </w:rPr>
              <w:t>Gesundheitsfonds</w:t>
            </w:r>
          </w:p>
        </w:tc>
        <w:tc>
          <w:tcPr>
            <w:tcW w:type="dxa" w:w="2268"/>
            <w:vAlign w:val="top"/>
          </w:tcPr>
          <w:p>
            <w:r/>
            <w:r>
              <w:rPr>
                <w:rFonts w:ascii="Aptos" w:hAnsi="Aptos"/>
                <w:b w:val="0"/>
                <w:color w:val="2A2A2A"/>
                <w:sz w:val="16"/>
              </w:rPr>
              <w:t>Prävention statt Krankheitsverwaltung</w:t>
            </w:r>
          </w:p>
        </w:tc>
        <w:tc>
          <w:tcPr>
            <w:tcW w:type="dxa" w:w="3402"/>
            <w:vAlign w:val="top"/>
          </w:tcPr>
          <w:p>
            <w:r/>
            <w:r>
              <w:rPr>
                <w:rFonts w:ascii="Aptos" w:hAnsi="Aptos"/>
                <w:b w:val="0"/>
                <w:color w:val="2A2A2A"/>
                <w:sz w:val="16"/>
              </w:rPr>
              <w:t>kommunale Gesundheitsräume, mentale Gesundheit, Präventionsprogramme</w:t>
            </w:r>
          </w:p>
        </w:tc>
      </w:tr>
      <w:tr>
        <w:tc>
          <w:tcPr>
            <w:tcW w:type="dxa" w:w="2268"/>
            <w:vAlign w:val="top"/>
          </w:tcPr>
          <w:p>
            <w:r/>
            <w:r>
              <w:rPr>
                <w:rFonts w:ascii="Aptos" w:hAnsi="Aptos"/>
                <w:b w:val="0"/>
                <w:color w:val="2A2A2A"/>
                <w:sz w:val="16"/>
              </w:rPr>
              <w:t>Wohnfonds</w:t>
            </w:r>
          </w:p>
        </w:tc>
        <w:tc>
          <w:tcPr>
            <w:tcW w:type="dxa" w:w="2268"/>
            <w:vAlign w:val="top"/>
          </w:tcPr>
          <w:p>
            <w:r/>
            <w:r>
              <w:rPr>
                <w:rFonts w:ascii="Aptos" w:hAnsi="Aptos"/>
                <w:b w:val="0"/>
                <w:color w:val="2A2A2A"/>
                <w:sz w:val="16"/>
              </w:rPr>
              <w:t>Bezahlbarkeit, Sanierung, Quartier, Spekulationsschutz</w:t>
            </w:r>
          </w:p>
        </w:tc>
        <w:tc>
          <w:tcPr>
            <w:tcW w:type="dxa" w:w="3402"/>
            <w:vAlign w:val="top"/>
          </w:tcPr>
          <w:p>
            <w:r/>
            <w:r>
              <w:rPr>
                <w:rFonts w:ascii="Aptos" w:hAnsi="Aptos"/>
                <w:b w:val="0"/>
                <w:color w:val="2A2A2A"/>
                <w:sz w:val="16"/>
              </w:rPr>
              <w:t>warmmietenneutrale Sanierung, Genossenschaften, soziale Bodenmodelle</w:t>
            </w:r>
          </w:p>
        </w:tc>
      </w:tr>
      <w:tr>
        <w:tc>
          <w:tcPr>
            <w:tcW w:type="dxa" w:w="2268"/>
            <w:vAlign w:val="top"/>
          </w:tcPr>
          <w:p>
            <w:r/>
            <w:r>
              <w:rPr>
                <w:rFonts w:ascii="Aptos" w:hAnsi="Aptos"/>
                <w:b w:val="0"/>
                <w:color w:val="2A2A2A"/>
                <w:sz w:val="16"/>
              </w:rPr>
              <w:t>Klimafonds</w:t>
            </w:r>
          </w:p>
        </w:tc>
        <w:tc>
          <w:tcPr>
            <w:tcW w:type="dxa" w:w="2268"/>
            <w:vAlign w:val="top"/>
          </w:tcPr>
          <w:p>
            <w:r/>
            <w:r>
              <w:rPr>
                <w:rFonts w:ascii="Aptos" w:hAnsi="Aptos"/>
                <w:b w:val="0"/>
                <w:color w:val="2A2A2A"/>
                <w:sz w:val="16"/>
              </w:rPr>
              <w:t>planetare Stabilität und Anpassung</w:t>
            </w:r>
          </w:p>
        </w:tc>
        <w:tc>
          <w:tcPr>
            <w:tcW w:type="dxa" w:w="3402"/>
            <w:vAlign w:val="top"/>
          </w:tcPr>
          <w:p>
            <w:r/>
            <w:r>
              <w:rPr>
                <w:rFonts w:ascii="Aptos" w:hAnsi="Aptos"/>
                <w:b w:val="0"/>
                <w:color w:val="2A2A2A"/>
                <w:sz w:val="16"/>
              </w:rPr>
              <w:t>Energie, Wasser, Biodiversität, Klimaanpassung</w:t>
            </w:r>
          </w:p>
        </w:tc>
      </w:tr>
      <w:tr>
        <w:tc>
          <w:tcPr>
            <w:tcW w:type="dxa" w:w="2268"/>
            <w:vAlign w:val="top"/>
          </w:tcPr>
          <w:p>
            <w:r/>
            <w:r>
              <w:rPr>
                <w:rFonts w:ascii="Aptos" w:hAnsi="Aptos"/>
                <w:b w:val="0"/>
                <w:color w:val="2A2A2A"/>
                <w:sz w:val="16"/>
              </w:rPr>
              <w:t>Demokratie- und Medienfonds</w:t>
            </w:r>
          </w:p>
        </w:tc>
        <w:tc>
          <w:tcPr>
            <w:tcW w:type="dxa" w:w="2268"/>
            <w:vAlign w:val="top"/>
          </w:tcPr>
          <w:p>
            <w:r/>
            <w:r>
              <w:rPr>
                <w:rFonts w:ascii="Aptos" w:hAnsi="Aptos"/>
                <w:b w:val="0"/>
                <w:color w:val="2A2A2A"/>
                <w:sz w:val="16"/>
              </w:rPr>
              <w:t>öffentliche Wahrheit, Diskursfähigkeit, Medienqualität</w:t>
            </w:r>
          </w:p>
        </w:tc>
        <w:tc>
          <w:tcPr>
            <w:tcW w:type="dxa" w:w="3402"/>
            <w:vAlign w:val="top"/>
          </w:tcPr>
          <w:p>
            <w:r/>
            <w:r>
              <w:rPr>
                <w:rFonts w:ascii="Aptos" w:hAnsi="Aptos"/>
                <w:b w:val="0"/>
                <w:color w:val="2A2A2A"/>
                <w:sz w:val="16"/>
              </w:rPr>
              <w:t>Lokaljournalismus, Quellenklarheit, Plattformresilienz</w:t>
            </w:r>
          </w:p>
        </w:tc>
      </w:tr>
      <w:tr>
        <w:tc>
          <w:tcPr>
            <w:tcW w:type="dxa" w:w="2268"/>
            <w:vAlign w:val="top"/>
          </w:tcPr>
          <w:p>
            <w:r/>
            <w:r>
              <w:rPr>
                <w:rFonts w:ascii="Aptos" w:hAnsi="Aptos"/>
                <w:b w:val="0"/>
                <w:color w:val="2A2A2A"/>
                <w:sz w:val="16"/>
              </w:rPr>
              <w:t>Pflege- und Care-Fonds</w:t>
            </w:r>
          </w:p>
        </w:tc>
        <w:tc>
          <w:tcPr>
            <w:tcW w:type="dxa" w:w="2268"/>
            <w:vAlign w:val="top"/>
          </w:tcPr>
          <w:p>
            <w:r/>
            <w:r>
              <w:rPr>
                <w:rFonts w:ascii="Aptos" w:hAnsi="Aptos"/>
                <w:b w:val="0"/>
                <w:color w:val="2A2A2A"/>
                <w:sz w:val="16"/>
              </w:rPr>
              <w:t>Wirkleistung sichtbar machen</w:t>
            </w:r>
          </w:p>
        </w:tc>
        <w:tc>
          <w:tcPr>
            <w:tcW w:type="dxa" w:w="3402"/>
            <w:vAlign w:val="top"/>
          </w:tcPr>
          <w:p>
            <w:r/>
            <w:r>
              <w:rPr>
                <w:rFonts w:ascii="Aptos" w:hAnsi="Aptos"/>
                <w:b w:val="0"/>
                <w:color w:val="2A2A2A"/>
                <w:sz w:val="16"/>
              </w:rPr>
              <w:t>Pflegeentlastung, Quartierspflege, Care-Infrastruktur</w:t>
            </w:r>
          </w:p>
        </w:tc>
      </w:tr>
      <w:tr>
        <w:tc>
          <w:tcPr>
            <w:tcW w:type="dxa" w:w="2268"/>
            <w:vAlign w:val="top"/>
          </w:tcPr>
          <w:p>
            <w:r/>
            <w:r>
              <w:rPr>
                <w:rFonts w:ascii="Aptos" w:hAnsi="Aptos"/>
                <w:b w:val="0"/>
                <w:color w:val="2A2A2A"/>
                <w:sz w:val="16"/>
              </w:rPr>
              <w:t>Renten- und Teilhabefonds</w:t>
            </w:r>
          </w:p>
        </w:tc>
        <w:tc>
          <w:tcPr>
            <w:tcW w:type="dxa" w:w="2268"/>
            <w:vAlign w:val="top"/>
          </w:tcPr>
          <w:p>
            <w:r/>
            <w:r>
              <w:rPr>
                <w:rFonts w:ascii="Aptos" w:hAnsi="Aptos"/>
                <w:b w:val="0"/>
                <w:color w:val="2A2A2A"/>
                <w:sz w:val="16"/>
              </w:rPr>
              <w:t>Lebensleistung und Kapitalteilhabe verbinden</w:t>
            </w:r>
          </w:p>
        </w:tc>
        <w:tc>
          <w:tcPr>
            <w:tcW w:type="dxa" w:w="3402"/>
            <w:vAlign w:val="top"/>
          </w:tcPr>
          <w:p>
            <w:r/>
            <w:r>
              <w:rPr>
                <w:rFonts w:ascii="Aptos" w:hAnsi="Aptos"/>
                <w:b w:val="0"/>
                <w:color w:val="2A2A2A"/>
                <w:sz w:val="16"/>
              </w:rPr>
              <w:t>Wirkungsrente, Bürger:innenfonds, Generationenvertrag</w:t>
            </w:r>
          </w:p>
        </w:tc>
      </w:tr>
      <w:tr>
        <w:tc>
          <w:tcPr>
            <w:tcW w:type="dxa" w:w="2268"/>
            <w:vAlign w:val="top"/>
          </w:tcPr>
          <w:p>
            <w:r/>
            <w:r>
              <w:rPr>
                <w:rFonts w:ascii="Aptos" w:hAnsi="Aptos"/>
                <w:b w:val="0"/>
                <w:color w:val="2A2A2A"/>
                <w:sz w:val="16"/>
              </w:rPr>
              <w:t>Innovationsfonds</w:t>
            </w:r>
          </w:p>
        </w:tc>
        <w:tc>
          <w:tcPr>
            <w:tcW w:type="dxa" w:w="2268"/>
            <w:vAlign w:val="top"/>
          </w:tcPr>
          <w:p>
            <w:r/>
            <w:r>
              <w:rPr>
                <w:rFonts w:ascii="Aptos" w:hAnsi="Aptos"/>
                <w:b w:val="0"/>
                <w:color w:val="2A2A2A"/>
                <w:sz w:val="16"/>
              </w:rPr>
              <w:t>Systemlernen und Transfer</w:t>
            </w:r>
          </w:p>
        </w:tc>
        <w:tc>
          <w:tcPr>
            <w:tcW w:type="dxa" w:w="3402"/>
            <w:vAlign w:val="top"/>
          </w:tcPr>
          <w:p>
            <w:r/>
            <w:r>
              <w:rPr>
                <w:rFonts w:ascii="Aptos" w:hAnsi="Aptos"/>
                <w:b w:val="0"/>
                <w:color w:val="2A2A2A"/>
                <w:sz w:val="16"/>
              </w:rPr>
              <w:t>Open Science, Deep Tech, KI-Wirkungsprüfung</w:t>
            </w:r>
          </w:p>
        </w:tc>
      </w:tr>
    </w:tbl>
    <w:p>
      <w:pPr>
        <w:pStyle w:val="Heading1"/>
      </w:pPr>
      <w:r>
        <w:t>Finanzierungsquellen</w:t>
      </w:r>
    </w:p>
    <w:p>
      <w:pPr>
        <w:spacing w:after="120" w:line="264" w:lineRule="auto"/>
      </w:pPr>
      <w:r>
        <w:t>Wirkungsfonds dürfen nicht nur aus klassischen Haushaltsmitteln bestehen. Sie brauchen eine Mischarchitektur aus öffentlichen Mitteln, Wirkungsteuern, Kapitalerträgen, Risikoprämien, Automatisierungsdividenden, nichtkompensierbaren Malus-Zahlungen, privaten Co-Investments und europäischen Programmen. Entscheidend ist die Zweckbindung: Mittel fließen nicht in beliebige Projekte, sondern in geprüfte positive Netto-Wirkung.</w:t>
      </w:r>
    </w:p>
    <w:p>
      <w:pPr>
        <w:pStyle w:val="ListBullet"/>
      </w:pPr>
      <w:r>
        <w:t>Wirkungssteuern: Malus-Anteile aus negativen Wirkungen fließen in Reparatur- und Präventionsfonds.</w:t>
      </w:r>
    </w:p>
    <w:p>
      <w:pPr>
        <w:pStyle w:val="ListBullet"/>
      </w:pPr>
      <w:r>
        <w:t>Automatisierungsdividende: Produktivität ohne menschliche Arbeit beteiligt sich an sozialer Stabilität.</w:t>
      </w:r>
    </w:p>
    <w:p>
      <w:pPr>
        <w:pStyle w:val="ListBullet"/>
      </w:pPr>
      <w:r>
        <w:t>Kapitalaufschläge: höhere Risikokosten für negative Wirkung können teilweise in Transformationsfonds zurückfließen.</w:t>
      </w:r>
    </w:p>
    <w:p>
      <w:pPr>
        <w:pStyle w:val="ListBullet"/>
      </w:pPr>
      <w:r>
        <w:t>Öffentliche Haushalte: Mittel werden wirkungsorientiert gebündelt, statt in Förderlogik zu zersplittern.</w:t>
      </w:r>
    </w:p>
    <w:p>
      <w:pPr>
        <w:pStyle w:val="ListBullet"/>
      </w:pPr>
      <w:r>
        <w:t>Private Co-Investments: möglich, aber nur unter Governance-, Transparenz- und Renditegrenzen, die Zweckbindung schützen.</w:t>
      </w:r>
    </w:p>
    <w:p>
      <w:pPr>
        <w:pStyle w:val="ListBullet"/>
      </w:pPr>
      <w:r>
        <w:t>Bürger:innenbeteiligung: Wirkungssparen, Bürger:innenfonds und Wirkungsrentenanteile ermöglichen Teilhabe.</w:t>
      </w:r>
    </w:p>
    <w:p>
      <w:pPr>
        <w:pStyle w:val="Heading1"/>
      </w:pPr>
      <w:r>
        <w:t>Governance und Schutz vor Fonds-Fehlsteuerung</w:t>
      </w:r>
    </w:p>
    <w:p>
      <w:pPr>
        <w:spacing w:after="120" w:line="264" w:lineRule="auto"/>
      </w:pPr>
      <w:r>
        <w:t>Die größte Gefahr jeder Fondsarchitektur ist nicht Kapitalmangel, sondern Zweckentfremdung. Ein Wirkungsfonds darf nicht zum Impact-Washing-Vehikel werden. Deshalb braucht er klare Governance: Wirkungsrat, Datenprüfung, offene Zieldefinition, externe Assurance, parlamentarische Kontrolle, Bürger:innenbeteiligung und Veröffentlichung der Wirkungsergebnisse.</w:t>
      </w:r>
    </w:p>
    <w:tbl>
      <w:tblPr>
        <w:tblStyle w:val="TableGrid"/>
        <w:tblW w:type="auto" w:w="0"/>
        <w:jc w:val="center"/>
        <w:tblLook w:firstColumn="1" w:firstRow="1" w:lastColumn="0" w:lastRow="0" w:noHBand="0" w:noVBand="1" w:val="04A0"/>
      </w:tblPr>
      <w:tblGrid>
        <w:gridCol w:w="5100"/>
        <w:gridCol w:w="5100"/>
      </w:tblGrid>
      <w:tr>
        <w:trPr>
          <w:tblHeader w:val="true"/>
        </w:trPr>
        <w:tc>
          <w:tcPr>
            <w:tcW w:type="dxa" w:w="2268"/>
            <w:shd w:fill="0B1020"/>
            <w:vAlign w:val="center"/>
          </w:tcPr>
          <w:p>
            <w:r/>
            <w:r>
              <w:rPr>
                <w:rFonts w:ascii="Aptos" w:hAnsi="Aptos"/>
                <w:b/>
                <w:color w:val="FFFFFF"/>
                <w:sz w:val="16"/>
              </w:rPr>
              <w:t>Risiko</w:t>
            </w:r>
          </w:p>
        </w:tc>
        <w:tc>
          <w:tcPr>
            <w:tcW w:type="dxa" w:w="5669"/>
            <w:shd w:fill="0B1020"/>
            <w:vAlign w:val="center"/>
          </w:tcPr>
          <w:p>
            <w:r/>
            <w:r>
              <w:rPr>
                <w:rFonts w:ascii="Aptos" w:hAnsi="Aptos"/>
                <w:b/>
                <w:color w:val="FFFFFF"/>
                <w:sz w:val="16"/>
              </w:rPr>
              <w:t>Schutzmechanismus</w:t>
            </w:r>
          </w:p>
        </w:tc>
      </w:tr>
      <w:tr>
        <w:tc>
          <w:tcPr>
            <w:tcW w:type="dxa" w:w="2268"/>
            <w:vAlign w:val="top"/>
          </w:tcPr>
          <w:p>
            <w:r/>
            <w:r>
              <w:rPr>
                <w:rFonts w:ascii="Aptos" w:hAnsi="Aptos"/>
                <w:b w:val="0"/>
                <w:color w:val="2A2A2A"/>
                <w:sz w:val="16"/>
              </w:rPr>
              <w:t>Impact-Washing</w:t>
            </w:r>
          </w:p>
        </w:tc>
        <w:tc>
          <w:tcPr>
            <w:tcW w:type="dxa" w:w="5669"/>
            <w:vAlign w:val="top"/>
          </w:tcPr>
          <w:p>
            <w:r/>
            <w:r>
              <w:rPr>
                <w:rFonts w:ascii="Aptos" w:hAnsi="Aptos"/>
                <w:b w:val="0"/>
                <w:color w:val="2A2A2A"/>
                <w:sz w:val="16"/>
              </w:rPr>
              <w:t>Reverse Merit Order, offene Indikatoren, externe Prüfung</w:t>
            </w:r>
          </w:p>
        </w:tc>
      </w:tr>
      <w:tr>
        <w:tc>
          <w:tcPr>
            <w:tcW w:type="dxa" w:w="2268"/>
            <w:vAlign w:val="top"/>
          </w:tcPr>
          <w:p>
            <w:r/>
            <w:r>
              <w:rPr>
                <w:rFonts w:ascii="Aptos" w:hAnsi="Aptos"/>
                <w:b w:val="0"/>
                <w:color w:val="2A2A2A"/>
                <w:sz w:val="16"/>
              </w:rPr>
              <w:t>politische Zweckentfremdung</w:t>
            </w:r>
          </w:p>
        </w:tc>
        <w:tc>
          <w:tcPr>
            <w:tcW w:type="dxa" w:w="5669"/>
            <w:vAlign w:val="top"/>
          </w:tcPr>
          <w:p>
            <w:r/>
            <w:r>
              <w:rPr>
                <w:rFonts w:ascii="Aptos" w:hAnsi="Aptos"/>
                <w:b w:val="0"/>
                <w:color w:val="2A2A2A"/>
                <w:sz w:val="16"/>
              </w:rPr>
              <w:t>parlamentarische Kontrolle, transparente Kriterien, Revisionszyklen</w:t>
            </w:r>
          </w:p>
        </w:tc>
      </w:tr>
      <w:tr>
        <w:tc>
          <w:tcPr>
            <w:tcW w:type="dxa" w:w="2268"/>
            <w:vAlign w:val="top"/>
          </w:tcPr>
          <w:p>
            <w:r/>
            <w:r>
              <w:rPr>
                <w:rFonts w:ascii="Aptos" w:hAnsi="Aptos"/>
                <w:b w:val="0"/>
                <w:color w:val="2A2A2A"/>
                <w:sz w:val="16"/>
              </w:rPr>
              <w:t>Private Rendite dominiert Zweck</w:t>
            </w:r>
          </w:p>
        </w:tc>
        <w:tc>
          <w:tcPr>
            <w:tcW w:type="dxa" w:w="5669"/>
            <w:vAlign w:val="top"/>
          </w:tcPr>
          <w:p>
            <w:r/>
            <w:r>
              <w:rPr>
                <w:rFonts w:ascii="Aptos" w:hAnsi="Aptos"/>
                <w:b w:val="0"/>
                <w:color w:val="2A2A2A"/>
                <w:sz w:val="16"/>
              </w:rPr>
              <w:t>Renditekorridore, Zweckbindung, Governance-Rechte</w:t>
            </w:r>
          </w:p>
        </w:tc>
      </w:tr>
      <w:tr>
        <w:tc>
          <w:tcPr>
            <w:tcW w:type="dxa" w:w="2268"/>
            <w:vAlign w:val="top"/>
          </w:tcPr>
          <w:p>
            <w:r/>
            <w:r>
              <w:rPr>
                <w:rFonts w:ascii="Aptos" w:hAnsi="Aptos"/>
                <w:b w:val="0"/>
                <w:color w:val="2A2A2A"/>
                <w:sz w:val="16"/>
              </w:rPr>
              <w:t>Bürokratieüberlastung</w:t>
            </w:r>
          </w:p>
        </w:tc>
        <w:tc>
          <w:tcPr>
            <w:tcW w:type="dxa" w:w="5669"/>
            <w:vAlign w:val="top"/>
          </w:tcPr>
          <w:p>
            <w:r/>
            <w:r>
              <w:rPr>
                <w:rFonts w:ascii="Aptos" w:hAnsi="Aptos"/>
                <w:b w:val="0"/>
                <w:color w:val="2A2A2A"/>
                <w:sz w:val="16"/>
              </w:rPr>
              <w:t>Standardisierte Anträge, WÖk-IDs, Datenräume, Förderlotsen</w:t>
            </w:r>
          </w:p>
        </w:tc>
      </w:tr>
      <w:tr>
        <w:tc>
          <w:tcPr>
            <w:tcW w:type="dxa" w:w="2268"/>
            <w:vAlign w:val="top"/>
          </w:tcPr>
          <w:p>
            <w:r/>
            <w:r>
              <w:rPr>
                <w:rFonts w:ascii="Aptos" w:hAnsi="Aptos"/>
                <w:b w:val="0"/>
                <w:color w:val="2A2A2A"/>
                <w:sz w:val="16"/>
              </w:rPr>
              <w:t>Technokratie</w:t>
            </w:r>
          </w:p>
        </w:tc>
        <w:tc>
          <w:tcPr>
            <w:tcW w:type="dxa" w:w="5669"/>
            <w:vAlign w:val="top"/>
          </w:tcPr>
          <w:p>
            <w:r/>
            <w:r>
              <w:rPr>
                <w:rFonts w:ascii="Aptos" w:hAnsi="Aptos"/>
                <w:b w:val="0"/>
                <w:color w:val="2A2A2A"/>
                <w:sz w:val="16"/>
              </w:rPr>
              <w:t>politische Entscheidung bleibt demokratisch, Wirkungsdaten sind Entscheidungsgrundlage</w:t>
            </w:r>
          </w:p>
        </w:tc>
      </w:tr>
      <w:tr>
        <w:tc>
          <w:tcPr>
            <w:tcW w:type="dxa" w:w="2268"/>
            <w:vAlign w:val="top"/>
          </w:tcPr>
          <w:p>
            <w:r/>
            <w:r>
              <w:rPr>
                <w:rFonts w:ascii="Aptos" w:hAnsi="Aptos"/>
                <w:b w:val="0"/>
                <w:color w:val="2A2A2A"/>
                <w:sz w:val="16"/>
              </w:rPr>
              <w:t>Ungleichheit im Zugang</w:t>
            </w:r>
          </w:p>
        </w:tc>
        <w:tc>
          <w:tcPr>
            <w:tcW w:type="dxa" w:w="5669"/>
            <w:vAlign w:val="top"/>
          </w:tcPr>
          <w:p>
            <w:r/>
            <w:r>
              <w:rPr>
                <w:rFonts w:ascii="Aptos" w:hAnsi="Aptos"/>
                <w:b w:val="0"/>
                <w:color w:val="2A2A2A"/>
                <w:sz w:val="16"/>
              </w:rPr>
              <w:t>KMU-, Kommunal- und Gemeinwohlfenster, Beratung, vereinfachte Verfahren</w:t>
            </w:r>
          </w:p>
        </w:tc>
      </w:tr>
    </w:tbl>
    <w:p>
      <w:pPr>
        <w:pStyle w:val="Heading1"/>
      </w:pPr>
      <w:r>
        <w:t>T-SROI, NWI und Fondssteuerung</w:t>
      </w:r>
    </w:p>
    <w:p>
      <w:pPr>
        <w:spacing w:after="120" w:line="264" w:lineRule="auto"/>
      </w:pPr>
      <w:r>
        <w:t>Die operative Fondssteuerung braucht zwei Ebenen. Der NWI prüft, ob ein konkretes Projekt positive Netto-Wirkung erreicht und rote Linien einhält. Der T-SROI prüft, ob die Investition über den Projektoutput hinaus Transformationswirkung erzeugt: Pfadänderung, Standardsetzung, Skalierung, Resilienz, Lernwirkung und Vermeidung künftiger Reparaturkosten.</w:t>
      </w:r>
    </w:p>
    <w:tbl>
      <w:tblPr>
        <w:tblStyle w:val="TableGrid"/>
        <w:tblW w:type="auto" w:w="0"/>
        <w:jc w:val="center"/>
        <w:tblLook w:firstColumn="1" w:firstRow="1" w:lastColumn="0" w:lastRow="0" w:noHBand="0" w:noVBand="1" w:val="04A0"/>
      </w:tblPr>
      <w:tblGrid>
        <w:gridCol w:w="10200"/>
      </w:tblGrid>
      <w:tr>
        <w:tc>
          <w:tcPr>
            <w:tcW w:type="dxa" w:w="10200"/>
            <w:shd w:fill="FBF8F1"/>
          </w:tcPr>
          <w:p>
            <w:r>
              <w:rPr>
                <w:rFonts w:ascii="Aptos" w:hAnsi="Aptos"/>
                <w:b/>
                <w:color w:val="C89B3C"/>
                <w:sz w:val="18"/>
              </w:rPr>
              <w:t>NWI UND T-SROI</w:t>
            </w:r>
          </w:p>
          <w:p>
            <w:r>
              <w:rPr>
                <w:rFonts w:ascii="Aptos" w:hAnsi="Aptos"/>
                <w:color w:val="2A2A2A"/>
                <w:sz w:val="21"/>
              </w:rPr>
              <w:t>NWI beantwortet: Ist die Maßnahme netto positiv? T-SROI beantwortet: Verändert die Maßnahme ein System in Richtung Mensch, Planet und Demokratie?</w:t>
            </w:r>
          </w:p>
        </w:tc>
      </w:tr>
    </w:tbl>
    <w:tbl>
      <w:tblPr>
        <w:tblStyle w:val="TableGrid"/>
        <w:tblW w:type="auto" w:w="0"/>
        <w:jc w:val="center"/>
        <w:tblLook w:firstColumn="1" w:firstRow="1" w:lastColumn="0" w:lastRow="0" w:noHBand="0" w:noVBand="1" w:val="04A0"/>
      </w:tblPr>
      <w:tblGrid>
        <w:gridCol w:w="3400"/>
        <w:gridCol w:w="3400"/>
        <w:gridCol w:w="3400"/>
      </w:tblGrid>
      <w:tr>
        <w:trPr>
          <w:tblHeader w:val="true"/>
        </w:trPr>
        <w:tc>
          <w:tcPr>
            <w:tcW w:type="dxa" w:w="1984"/>
            <w:shd w:fill="0B1020"/>
            <w:vAlign w:val="center"/>
          </w:tcPr>
          <w:p>
            <w:r/>
            <w:r>
              <w:rPr>
                <w:rFonts w:ascii="Aptos" w:hAnsi="Aptos"/>
                <w:b/>
                <w:color w:val="FFFFFF"/>
                <w:sz w:val="16"/>
              </w:rPr>
              <w:t>Fondsentscheidung</w:t>
            </w:r>
          </w:p>
        </w:tc>
        <w:tc>
          <w:tcPr>
            <w:tcW w:type="dxa" w:w="2835"/>
            <w:shd w:fill="0B1020"/>
            <w:vAlign w:val="center"/>
          </w:tcPr>
          <w:p>
            <w:r/>
            <w:r>
              <w:rPr>
                <w:rFonts w:ascii="Aptos" w:hAnsi="Aptos"/>
                <w:b/>
                <w:color w:val="FFFFFF"/>
                <w:sz w:val="16"/>
              </w:rPr>
              <w:t>NWI-Frage</w:t>
            </w:r>
          </w:p>
        </w:tc>
        <w:tc>
          <w:tcPr>
            <w:tcW w:type="dxa" w:w="2835"/>
            <w:shd w:fill="0B1020"/>
            <w:vAlign w:val="center"/>
          </w:tcPr>
          <w:p>
            <w:r/>
            <w:r>
              <w:rPr>
                <w:rFonts w:ascii="Aptos" w:hAnsi="Aptos"/>
                <w:b/>
                <w:color w:val="FFFFFF"/>
                <w:sz w:val="16"/>
              </w:rPr>
              <w:t>T-SROI-Frage</w:t>
            </w:r>
          </w:p>
        </w:tc>
      </w:tr>
      <w:tr>
        <w:tc>
          <w:tcPr>
            <w:tcW w:type="dxa" w:w="1984"/>
            <w:vAlign w:val="top"/>
          </w:tcPr>
          <w:p>
            <w:r/>
            <w:r>
              <w:rPr>
                <w:rFonts w:ascii="Aptos" w:hAnsi="Aptos"/>
                <w:b w:val="0"/>
                <w:color w:val="2A2A2A"/>
                <w:sz w:val="16"/>
              </w:rPr>
              <w:t>Bildungsprojekt</w:t>
            </w:r>
          </w:p>
        </w:tc>
        <w:tc>
          <w:tcPr>
            <w:tcW w:type="dxa" w:w="2835"/>
            <w:vAlign w:val="top"/>
          </w:tcPr>
          <w:p>
            <w:r/>
            <w:r>
              <w:rPr>
                <w:rFonts w:ascii="Aptos" w:hAnsi="Aptos"/>
                <w:b w:val="0"/>
                <w:color w:val="2A2A2A"/>
                <w:sz w:val="16"/>
              </w:rPr>
              <w:t>Verbessert es Teilhabe, Kompetenz, Gesundheit und Zukunftsfähigkeit?</w:t>
            </w:r>
          </w:p>
        </w:tc>
        <w:tc>
          <w:tcPr>
            <w:tcW w:type="dxa" w:w="2835"/>
            <w:vAlign w:val="top"/>
          </w:tcPr>
          <w:p>
            <w:r/>
            <w:r>
              <w:rPr>
                <w:rFonts w:ascii="Aptos" w:hAnsi="Aptos"/>
                <w:b w:val="0"/>
                <w:color w:val="2A2A2A"/>
                <w:sz w:val="16"/>
              </w:rPr>
              <w:t>Verändert es Schulentwicklung, Lehrpläne, kommunale Bildungsnetzwerke?</w:t>
            </w:r>
          </w:p>
        </w:tc>
      </w:tr>
      <w:tr>
        <w:tc>
          <w:tcPr>
            <w:tcW w:type="dxa" w:w="1984"/>
            <w:vAlign w:val="top"/>
          </w:tcPr>
          <w:p>
            <w:r/>
            <w:r>
              <w:rPr>
                <w:rFonts w:ascii="Aptos" w:hAnsi="Aptos"/>
                <w:b w:val="0"/>
                <w:color w:val="2A2A2A"/>
                <w:sz w:val="16"/>
              </w:rPr>
              <w:t>Sanierungsprojekt</w:t>
            </w:r>
          </w:p>
        </w:tc>
        <w:tc>
          <w:tcPr>
            <w:tcW w:type="dxa" w:w="2835"/>
            <w:vAlign w:val="top"/>
          </w:tcPr>
          <w:p>
            <w:r/>
            <w:r>
              <w:rPr>
                <w:rFonts w:ascii="Aptos" w:hAnsi="Aptos"/>
                <w:b w:val="0"/>
                <w:color w:val="2A2A2A"/>
                <w:sz w:val="16"/>
              </w:rPr>
              <w:t>Sinken Emissionen und Warmmietenbelastung ohne Verdrängung?</w:t>
            </w:r>
          </w:p>
        </w:tc>
        <w:tc>
          <w:tcPr>
            <w:tcW w:type="dxa" w:w="2835"/>
            <w:vAlign w:val="top"/>
          </w:tcPr>
          <w:p>
            <w:r/>
            <w:r>
              <w:rPr>
                <w:rFonts w:ascii="Aptos" w:hAnsi="Aptos"/>
                <w:b w:val="0"/>
                <w:color w:val="2A2A2A"/>
                <w:sz w:val="16"/>
              </w:rPr>
              <w:t>Entsteht ein skalierbares Modell für Quartiere und Kapitalzugang?</w:t>
            </w:r>
          </w:p>
        </w:tc>
      </w:tr>
      <w:tr>
        <w:tc>
          <w:tcPr>
            <w:tcW w:type="dxa" w:w="1984"/>
            <w:vAlign w:val="top"/>
          </w:tcPr>
          <w:p>
            <w:r/>
            <w:r>
              <w:rPr>
                <w:rFonts w:ascii="Aptos" w:hAnsi="Aptos"/>
                <w:b w:val="0"/>
                <w:color w:val="2A2A2A"/>
                <w:sz w:val="16"/>
              </w:rPr>
              <w:t>Medienprojekt</w:t>
            </w:r>
          </w:p>
        </w:tc>
        <w:tc>
          <w:tcPr>
            <w:tcW w:type="dxa" w:w="2835"/>
            <w:vAlign w:val="top"/>
          </w:tcPr>
          <w:p>
            <w:r/>
            <w:r>
              <w:rPr>
                <w:rFonts w:ascii="Aptos" w:hAnsi="Aptos"/>
                <w:b w:val="0"/>
                <w:color w:val="2A2A2A"/>
                <w:sz w:val="16"/>
              </w:rPr>
              <w:t>Verbessert es Quellenklarheit und lokale Information?</w:t>
            </w:r>
          </w:p>
        </w:tc>
        <w:tc>
          <w:tcPr>
            <w:tcW w:type="dxa" w:w="2835"/>
            <w:vAlign w:val="top"/>
          </w:tcPr>
          <w:p>
            <w:r/>
            <w:r>
              <w:rPr>
                <w:rFonts w:ascii="Aptos" w:hAnsi="Aptos"/>
                <w:b w:val="0"/>
                <w:color w:val="2A2A2A"/>
                <w:sz w:val="16"/>
              </w:rPr>
              <w:t>Stärkt es langfristig demokratische Diskursinfrastruktur?</w:t>
            </w:r>
          </w:p>
        </w:tc>
      </w:tr>
      <w:tr>
        <w:tc>
          <w:tcPr>
            <w:tcW w:type="dxa" w:w="1984"/>
            <w:vAlign w:val="top"/>
          </w:tcPr>
          <w:p>
            <w:r/>
            <w:r>
              <w:rPr>
                <w:rFonts w:ascii="Aptos" w:hAnsi="Aptos"/>
                <w:b w:val="0"/>
                <w:color w:val="2A2A2A"/>
                <w:sz w:val="16"/>
              </w:rPr>
              <w:t>Pflegeprojekt</w:t>
            </w:r>
          </w:p>
        </w:tc>
        <w:tc>
          <w:tcPr>
            <w:tcW w:type="dxa" w:w="2835"/>
            <w:vAlign w:val="top"/>
          </w:tcPr>
          <w:p>
            <w:r/>
            <w:r>
              <w:rPr>
                <w:rFonts w:ascii="Aptos" w:hAnsi="Aptos"/>
                <w:b w:val="0"/>
                <w:color w:val="2A2A2A"/>
                <w:sz w:val="16"/>
              </w:rPr>
              <w:t>Entlastet es Pflegebedürftige, Angehörige und Fachkräfte?</w:t>
            </w:r>
          </w:p>
        </w:tc>
        <w:tc>
          <w:tcPr>
            <w:tcW w:type="dxa" w:w="2835"/>
            <w:vAlign w:val="top"/>
          </w:tcPr>
          <w:p>
            <w:r/>
            <w:r>
              <w:rPr>
                <w:rFonts w:ascii="Aptos" w:hAnsi="Aptos"/>
                <w:b w:val="0"/>
                <w:color w:val="2A2A2A"/>
                <w:sz w:val="16"/>
              </w:rPr>
              <w:t>Verändert es Pflegeorganisation und Präventionslogik?</w:t>
            </w:r>
          </w:p>
        </w:tc>
      </w:tr>
    </w:tbl>
    <w:p>
      <w:pPr>
        <w:pStyle w:val="Heading1"/>
      </w:pPr>
      <w:r>
        <w:t>Akteursperspektiven</w:t>
      </w:r>
    </w:p>
    <w:tbl>
      <w:tblPr>
        <w:tblStyle w:val="TableGrid"/>
        <w:tblW w:type="auto" w:w="0"/>
        <w:jc w:val="center"/>
        <w:tblLook w:firstColumn="1" w:firstRow="1" w:lastColumn="0" w:lastRow="0" w:noHBand="0" w:noVBand="1" w:val="04A0"/>
      </w:tblPr>
      <w:tblGrid>
        <w:gridCol w:w="3400"/>
        <w:gridCol w:w="3400"/>
        <w:gridCol w:w="3400"/>
      </w:tblGrid>
      <w:tr>
        <w:trPr>
          <w:tblHeader w:val="true"/>
        </w:trPr>
        <w:tc>
          <w:tcPr>
            <w:tcW w:type="dxa" w:w="1701"/>
            <w:shd w:fill="0B1020"/>
            <w:vAlign w:val="center"/>
          </w:tcPr>
          <w:p>
            <w:r/>
            <w:r>
              <w:rPr>
                <w:rFonts w:ascii="Aptos" w:hAnsi="Aptos"/>
                <w:b/>
                <w:color w:val="FFFFFF"/>
                <w:sz w:val="16"/>
              </w:rPr>
              <w:t>Akteur</w:t>
            </w:r>
          </w:p>
        </w:tc>
        <w:tc>
          <w:tcPr>
            <w:tcW w:type="dxa" w:w="2268"/>
            <w:shd w:fill="0B1020"/>
            <w:vAlign w:val="center"/>
          </w:tcPr>
          <w:p>
            <w:r/>
            <w:r>
              <w:rPr>
                <w:rFonts w:ascii="Aptos" w:hAnsi="Aptos"/>
                <w:b/>
                <w:color w:val="FFFFFF"/>
                <w:sz w:val="16"/>
              </w:rPr>
              <w:t>Interesse</w:t>
            </w:r>
          </w:p>
        </w:tc>
        <w:tc>
          <w:tcPr>
            <w:tcW w:type="dxa" w:w="3969"/>
            <w:shd w:fill="0B1020"/>
            <w:vAlign w:val="center"/>
          </w:tcPr>
          <w:p>
            <w:r/>
            <w:r>
              <w:rPr>
                <w:rFonts w:ascii="Aptos" w:hAnsi="Aptos"/>
                <w:b/>
                <w:color w:val="FFFFFF"/>
                <w:sz w:val="16"/>
              </w:rPr>
              <w:t>Wirkungsökonomischer Anschluss</w:t>
            </w:r>
          </w:p>
        </w:tc>
      </w:tr>
      <w:tr>
        <w:tc>
          <w:tcPr>
            <w:tcW w:type="dxa" w:w="1701"/>
            <w:vAlign w:val="top"/>
          </w:tcPr>
          <w:p>
            <w:r/>
            <w:r>
              <w:rPr>
                <w:rFonts w:ascii="Aptos" w:hAnsi="Aptos"/>
                <w:b w:val="0"/>
                <w:color w:val="2A2A2A"/>
                <w:sz w:val="16"/>
              </w:rPr>
              <w:t>Kommunen</w:t>
            </w:r>
          </w:p>
        </w:tc>
        <w:tc>
          <w:tcPr>
            <w:tcW w:type="dxa" w:w="2268"/>
            <w:vAlign w:val="top"/>
          </w:tcPr>
          <w:p>
            <w:r/>
            <w:r>
              <w:rPr>
                <w:rFonts w:ascii="Aptos" w:hAnsi="Aptos"/>
                <w:b w:val="0"/>
                <w:color w:val="2A2A2A"/>
                <w:sz w:val="16"/>
              </w:rPr>
              <w:t>Planbare Finanzierung für lokale Infrastruktur</w:t>
            </w:r>
          </w:p>
        </w:tc>
        <w:tc>
          <w:tcPr>
            <w:tcW w:type="dxa" w:w="3969"/>
            <w:vAlign w:val="top"/>
          </w:tcPr>
          <w:p>
            <w:r/>
            <w:r>
              <w:rPr>
                <w:rFonts w:ascii="Aptos" w:hAnsi="Aptos"/>
                <w:b w:val="0"/>
                <w:color w:val="2A2A2A"/>
                <w:sz w:val="16"/>
              </w:rPr>
              <w:t>Kommunale Wirkungsbudgets, Sozialraumprofile, Wohn- und Gesundheitsfonds</w:t>
            </w:r>
          </w:p>
        </w:tc>
      </w:tr>
      <w:tr>
        <w:tc>
          <w:tcPr>
            <w:tcW w:type="dxa" w:w="1701"/>
            <w:vAlign w:val="top"/>
          </w:tcPr>
          <w:p>
            <w:r/>
            <w:r>
              <w:rPr>
                <w:rFonts w:ascii="Aptos" w:hAnsi="Aptos"/>
                <w:b w:val="0"/>
                <w:color w:val="2A2A2A"/>
                <w:sz w:val="16"/>
              </w:rPr>
              <w:t>Unternehmen</w:t>
            </w:r>
          </w:p>
        </w:tc>
        <w:tc>
          <w:tcPr>
            <w:tcW w:type="dxa" w:w="2268"/>
            <w:vAlign w:val="top"/>
          </w:tcPr>
          <w:p>
            <w:r/>
            <w:r>
              <w:rPr>
                <w:rFonts w:ascii="Aptos" w:hAnsi="Aptos"/>
                <w:b w:val="0"/>
                <w:color w:val="2A2A2A"/>
                <w:sz w:val="16"/>
              </w:rPr>
              <w:t>Transformationskapital und Risikoentlastung</w:t>
            </w:r>
          </w:p>
        </w:tc>
        <w:tc>
          <w:tcPr>
            <w:tcW w:type="dxa" w:w="3969"/>
            <w:vAlign w:val="top"/>
          </w:tcPr>
          <w:p>
            <w:r/>
            <w:r>
              <w:rPr>
                <w:rFonts w:ascii="Aptos" w:hAnsi="Aptos"/>
                <w:b w:val="0"/>
                <w:color w:val="2A2A2A"/>
                <w:sz w:val="16"/>
              </w:rPr>
              <w:t>T-SROI, Wirkungskredite, Lieferkettenumbau</w:t>
            </w:r>
          </w:p>
        </w:tc>
      </w:tr>
      <w:tr>
        <w:tc>
          <w:tcPr>
            <w:tcW w:type="dxa" w:w="1701"/>
            <w:vAlign w:val="top"/>
          </w:tcPr>
          <w:p>
            <w:r/>
            <w:r>
              <w:rPr>
                <w:rFonts w:ascii="Aptos" w:hAnsi="Aptos"/>
                <w:b w:val="0"/>
                <w:color w:val="2A2A2A"/>
                <w:sz w:val="16"/>
              </w:rPr>
              <w:t>Bürger:innen</w:t>
            </w:r>
          </w:p>
        </w:tc>
        <w:tc>
          <w:tcPr>
            <w:tcW w:type="dxa" w:w="2268"/>
            <w:vAlign w:val="top"/>
          </w:tcPr>
          <w:p>
            <w:r/>
            <w:r>
              <w:rPr>
                <w:rFonts w:ascii="Aptos" w:hAnsi="Aptos"/>
                <w:b w:val="0"/>
                <w:color w:val="2A2A2A"/>
                <w:sz w:val="16"/>
              </w:rPr>
              <w:t>Sicherheit, Teilhabe, Altersvorsorge</w:t>
            </w:r>
          </w:p>
        </w:tc>
        <w:tc>
          <w:tcPr>
            <w:tcW w:type="dxa" w:w="3969"/>
            <w:vAlign w:val="top"/>
          </w:tcPr>
          <w:p>
            <w:r/>
            <w:r>
              <w:rPr>
                <w:rFonts w:ascii="Aptos" w:hAnsi="Aptos"/>
                <w:b w:val="0"/>
                <w:color w:val="2A2A2A"/>
                <w:sz w:val="16"/>
              </w:rPr>
              <w:t>Wirkungsrente, Bürger:innenfonds, Wirkungssparen</w:t>
            </w:r>
          </w:p>
        </w:tc>
      </w:tr>
      <w:tr>
        <w:tc>
          <w:tcPr>
            <w:tcW w:type="dxa" w:w="1701"/>
            <w:vAlign w:val="top"/>
          </w:tcPr>
          <w:p>
            <w:r/>
            <w:r>
              <w:rPr>
                <w:rFonts w:ascii="Aptos" w:hAnsi="Aptos"/>
                <w:b w:val="0"/>
                <w:color w:val="2A2A2A"/>
                <w:sz w:val="16"/>
              </w:rPr>
              <w:t>Banken</w:t>
            </w:r>
          </w:p>
        </w:tc>
        <w:tc>
          <w:tcPr>
            <w:tcW w:type="dxa" w:w="2268"/>
            <w:vAlign w:val="top"/>
          </w:tcPr>
          <w:p>
            <w:r/>
            <w:r>
              <w:rPr>
                <w:rFonts w:ascii="Aptos" w:hAnsi="Aptos"/>
                <w:b w:val="0"/>
                <w:color w:val="2A2A2A"/>
                <w:sz w:val="16"/>
              </w:rPr>
              <w:t>prüfbare Transformationskredite</w:t>
            </w:r>
          </w:p>
        </w:tc>
        <w:tc>
          <w:tcPr>
            <w:tcW w:type="dxa" w:w="3969"/>
            <w:vAlign w:val="top"/>
          </w:tcPr>
          <w:p>
            <w:r/>
            <w:r>
              <w:rPr>
                <w:rFonts w:ascii="Aptos" w:hAnsi="Aptos"/>
                <w:b w:val="0"/>
                <w:color w:val="2A2A2A"/>
                <w:sz w:val="16"/>
              </w:rPr>
              <w:t>EBA-ESG-Daten, Kapitalwirkungsrating</w:t>
            </w:r>
          </w:p>
        </w:tc>
      </w:tr>
      <w:tr>
        <w:tc>
          <w:tcPr>
            <w:tcW w:type="dxa" w:w="1701"/>
            <w:vAlign w:val="top"/>
          </w:tcPr>
          <w:p>
            <w:r/>
            <w:r>
              <w:rPr>
                <w:rFonts w:ascii="Aptos" w:hAnsi="Aptos"/>
                <w:b w:val="0"/>
                <w:color w:val="2A2A2A"/>
                <w:sz w:val="16"/>
              </w:rPr>
              <w:t>Versicherungen</w:t>
            </w:r>
          </w:p>
        </w:tc>
        <w:tc>
          <w:tcPr>
            <w:tcW w:type="dxa" w:w="2268"/>
            <w:vAlign w:val="top"/>
          </w:tcPr>
          <w:p>
            <w:r/>
            <w:r>
              <w:rPr>
                <w:rFonts w:ascii="Aptos" w:hAnsi="Aptos"/>
                <w:b w:val="0"/>
                <w:color w:val="2A2A2A"/>
                <w:sz w:val="16"/>
              </w:rPr>
              <w:t>weniger Schäden, mehr Prävention</w:t>
            </w:r>
          </w:p>
        </w:tc>
        <w:tc>
          <w:tcPr>
            <w:tcW w:type="dxa" w:w="3969"/>
            <w:vAlign w:val="top"/>
          </w:tcPr>
          <w:p>
            <w:r/>
            <w:r>
              <w:rPr>
                <w:rFonts w:ascii="Aptos" w:hAnsi="Aptos"/>
                <w:b w:val="0"/>
                <w:color w:val="2A2A2A"/>
                <w:sz w:val="16"/>
              </w:rPr>
              <w:t>Präventionsrabatte, Resilienzfonds, Schutzlücken schließen</w:t>
            </w:r>
          </w:p>
        </w:tc>
      </w:tr>
      <w:tr>
        <w:tc>
          <w:tcPr>
            <w:tcW w:type="dxa" w:w="1701"/>
            <w:vAlign w:val="top"/>
          </w:tcPr>
          <w:p>
            <w:r/>
            <w:r>
              <w:rPr>
                <w:rFonts w:ascii="Aptos" w:hAnsi="Aptos"/>
                <w:b w:val="0"/>
                <w:color w:val="2A2A2A"/>
                <w:sz w:val="16"/>
              </w:rPr>
              <w:t>Politik</w:t>
            </w:r>
          </w:p>
        </w:tc>
        <w:tc>
          <w:tcPr>
            <w:tcW w:type="dxa" w:w="2268"/>
            <w:vAlign w:val="top"/>
          </w:tcPr>
          <w:p>
            <w:r/>
            <w:r>
              <w:rPr>
                <w:rFonts w:ascii="Aptos" w:hAnsi="Aptos"/>
                <w:b w:val="0"/>
                <w:color w:val="2A2A2A"/>
                <w:sz w:val="16"/>
              </w:rPr>
              <w:t>Umsetzung ohne Einheitsideologie</w:t>
            </w:r>
          </w:p>
        </w:tc>
        <w:tc>
          <w:tcPr>
            <w:tcW w:type="dxa" w:w="3969"/>
            <w:vAlign w:val="top"/>
          </w:tcPr>
          <w:p>
            <w:r/>
            <w:r>
              <w:rPr>
                <w:rFonts w:ascii="Aptos" w:hAnsi="Aptos"/>
                <w:b w:val="0"/>
                <w:color w:val="2A2A2A"/>
                <w:sz w:val="16"/>
              </w:rPr>
              <w:t>Ausgestaltungsspielraum über Zweck, Tempo, Finanzierung, Governance</w:t>
            </w:r>
          </w:p>
        </w:tc>
      </w:tr>
    </w:tbl>
    <w:p>
      <w:pPr>
        <w:pStyle w:val="Heading1"/>
      </w:pPr>
      <w:r>
        <w:t>Spezialfonds und Portallogik</w:t>
      </w:r>
    </w:p>
    <w:p>
      <w:pPr>
        <w:spacing w:after="120" w:line="264" w:lineRule="auto"/>
      </w:pPr>
      <w:r>
        <w:t>Die Website sollte Wirkungsfonds nicht nur als Finanzthema führen. Jeder Fachbereich erhält seinen thematischen Fondsbezug: Bildungsfonds im Bildungsportal, Wohnfonds im Wohnportal, Gesundheitsfonds im Gesundheitsportal, Medienfonds im Medienportal. Zentral liegt die Dacharchitektur im Portal Finanzsystem &amp; Kapital.</w:t>
      </w:r>
    </w:p>
    <w:p>
      <w:pPr>
        <w:pStyle w:val="ListBullet"/>
      </w:pPr>
      <w:r>
        <w:t>Zentral: /wirkungsfelder/finanzsystem-kapital/wirkungsfonds/</w:t>
      </w:r>
    </w:p>
    <w:p>
      <w:pPr>
        <w:pStyle w:val="ListBullet"/>
      </w:pPr>
      <w:r>
        <w:t>Querverlinkung: Bildung, Gesundheit, Wohnen, Arbeit, Rente, Medien, Klima, Kultur, Wissenschaft.</w:t>
      </w:r>
    </w:p>
    <w:p>
      <w:pPr>
        <w:pStyle w:val="ListBullet"/>
      </w:pPr>
      <w:r>
        <w:t>Toolkarte: Wirkungsfonds-Simulator mit Parametern Mittelherkunft, NWI, T-SROI, Zielgruppe, Rückfluss, Risiko.</w:t>
      </w:r>
    </w:p>
    <w:p>
      <w:pPr>
        <w:pStyle w:val="ListBullet"/>
      </w:pPr>
      <w:r>
        <w:t>Downloads: Dachkonzept, Einzeldossiers je Fonds, Berechnungslogik, Governance-Schema.</w:t>
      </w:r>
    </w:p>
    <w:p>
      <w:pPr>
        <w:pStyle w:val="Heading1"/>
      </w:pPr>
      <w:r>
        <w:t>Beispiel: Wohnfonds für warmmietenneutrale Sanierung</w:t>
      </w:r>
    </w:p>
    <w:p>
      <w:pPr>
        <w:spacing w:after="120" w:line="264" w:lineRule="auto"/>
      </w:pPr>
      <w:r>
        <w:t>Ein Wohnfonds kann zeigen, wie Wirkungsfonds mehrere Ziele gleichzeitig adressieren. Er finanziert energetische Sanierung, aber nur, wenn Warmmietenneutralität, Mieter:innenschutz, Gesundheitsqualität, Quartiersstabilität und Datenprüfung erfüllt sind. Die Rendite entsteht nicht aus Verdrängung, sondern aus Energieeinsparung, Werterhalt, Risikoreduktion und öffentlichen Zuschüssen für nachweisbare Wirkung.</w:t>
      </w:r>
    </w:p>
    <w:tbl>
      <w:tblPr>
        <w:tblStyle w:val="TableGrid"/>
        <w:tblW w:type="auto" w:w="0"/>
        <w:jc w:val="center"/>
        <w:tblLook w:firstColumn="1" w:firstRow="1" w:lastColumn="0" w:lastRow="0" w:noHBand="0" w:noVBand="1" w:val="04A0"/>
      </w:tblPr>
      <w:tblGrid>
        <w:gridCol w:w="3400"/>
        <w:gridCol w:w="3400"/>
        <w:gridCol w:w="3400"/>
      </w:tblGrid>
      <w:tr>
        <w:trPr>
          <w:tblHeader w:val="true"/>
        </w:trPr>
        <w:tc>
          <w:tcPr>
            <w:tcW w:type="dxa" w:w="1701"/>
            <w:shd w:fill="0B1020"/>
            <w:vAlign w:val="center"/>
          </w:tcPr>
          <w:p>
            <w:r/>
            <w:r>
              <w:rPr>
                <w:rFonts w:ascii="Aptos" w:hAnsi="Aptos"/>
                <w:b/>
                <w:color w:val="FFFFFF"/>
                <w:sz w:val="16"/>
              </w:rPr>
              <w:t>Wirkungsfeld</w:t>
            </w:r>
          </w:p>
        </w:tc>
        <w:tc>
          <w:tcPr>
            <w:tcW w:type="dxa" w:w="2835"/>
            <w:shd w:fill="0B1020"/>
            <w:vAlign w:val="center"/>
          </w:tcPr>
          <w:p>
            <w:r/>
            <w:r>
              <w:rPr>
                <w:rFonts w:ascii="Aptos" w:hAnsi="Aptos"/>
                <w:b/>
                <w:color w:val="FFFFFF"/>
                <w:sz w:val="16"/>
              </w:rPr>
              <w:t>Indikator</w:t>
            </w:r>
          </w:p>
        </w:tc>
        <w:tc>
          <w:tcPr>
            <w:tcW w:type="dxa" w:w="2835"/>
            <w:shd w:fill="0B1020"/>
            <w:vAlign w:val="center"/>
          </w:tcPr>
          <w:p>
            <w:r/>
            <w:r>
              <w:rPr>
                <w:rFonts w:ascii="Aptos" w:hAnsi="Aptos"/>
                <w:b/>
                <w:color w:val="FFFFFF"/>
                <w:sz w:val="16"/>
              </w:rPr>
              <w:t>Rückkopplung</w:t>
            </w:r>
          </w:p>
        </w:tc>
      </w:tr>
      <w:tr>
        <w:tc>
          <w:tcPr>
            <w:tcW w:type="dxa" w:w="1701"/>
            <w:vAlign w:val="top"/>
          </w:tcPr>
          <w:p>
            <w:r/>
            <w:r>
              <w:rPr>
                <w:rFonts w:ascii="Aptos" w:hAnsi="Aptos"/>
                <w:b w:val="0"/>
                <w:color w:val="2A2A2A"/>
                <w:sz w:val="16"/>
              </w:rPr>
              <w:t>Mensch</w:t>
            </w:r>
          </w:p>
        </w:tc>
        <w:tc>
          <w:tcPr>
            <w:tcW w:type="dxa" w:w="2835"/>
            <w:vAlign w:val="top"/>
          </w:tcPr>
          <w:p>
            <w:r/>
            <w:r>
              <w:rPr>
                <w:rFonts w:ascii="Aptos" w:hAnsi="Aptos"/>
                <w:b w:val="0"/>
                <w:color w:val="2A2A2A"/>
                <w:sz w:val="16"/>
              </w:rPr>
              <w:t>Mietbelastungsquote, Schimmelrisiko, Barrierefreiheit</w:t>
            </w:r>
          </w:p>
        </w:tc>
        <w:tc>
          <w:tcPr>
            <w:tcW w:type="dxa" w:w="2835"/>
            <w:vAlign w:val="top"/>
          </w:tcPr>
          <w:p>
            <w:r/>
            <w:r>
              <w:rPr>
                <w:rFonts w:ascii="Aptos" w:hAnsi="Aptos"/>
                <w:b w:val="0"/>
                <w:color w:val="2A2A2A"/>
                <w:sz w:val="16"/>
              </w:rPr>
              <w:t>Bonus bei sinkender Warmmietenlast</w:t>
            </w:r>
          </w:p>
        </w:tc>
      </w:tr>
      <w:tr>
        <w:tc>
          <w:tcPr>
            <w:tcW w:type="dxa" w:w="1701"/>
            <w:vAlign w:val="top"/>
          </w:tcPr>
          <w:p>
            <w:r/>
            <w:r>
              <w:rPr>
                <w:rFonts w:ascii="Aptos" w:hAnsi="Aptos"/>
                <w:b w:val="0"/>
                <w:color w:val="2A2A2A"/>
                <w:sz w:val="16"/>
              </w:rPr>
              <w:t>Planet</w:t>
            </w:r>
          </w:p>
        </w:tc>
        <w:tc>
          <w:tcPr>
            <w:tcW w:type="dxa" w:w="2835"/>
            <w:vAlign w:val="top"/>
          </w:tcPr>
          <w:p>
            <w:r/>
            <w:r>
              <w:rPr>
                <w:rFonts w:ascii="Aptos" w:hAnsi="Aptos"/>
                <w:b w:val="0"/>
                <w:color w:val="2A2A2A"/>
                <w:sz w:val="16"/>
              </w:rPr>
              <w:t>CO2, Energiebedarf, erneuerbare Wärme</w:t>
            </w:r>
          </w:p>
        </w:tc>
        <w:tc>
          <w:tcPr>
            <w:tcW w:type="dxa" w:w="2835"/>
            <w:vAlign w:val="top"/>
          </w:tcPr>
          <w:p>
            <w:r/>
            <w:r>
              <w:rPr>
                <w:rFonts w:ascii="Aptos" w:hAnsi="Aptos"/>
                <w:b w:val="0"/>
                <w:color w:val="2A2A2A"/>
                <w:sz w:val="16"/>
              </w:rPr>
              <w:t>Förderquote und günstiger Kredit</w:t>
            </w:r>
          </w:p>
        </w:tc>
      </w:tr>
      <w:tr>
        <w:tc>
          <w:tcPr>
            <w:tcW w:type="dxa" w:w="1701"/>
            <w:vAlign w:val="top"/>
          </w:tcPr>
          <w:p>
            <w:r/>
            <w:r>
              <w:rPr>
                <w:rFonts w:ascii="Aptos" w:hAnsi="Aptos"/>
                <w:b w:val="0"/>
                <w:color w:val="2A2A2A"/>
                <w:sz w:val="16"/>
              </w:rPr>
              <w:t>Demokratie</w:t>
            </w:r>
          </w:p>
        </w:tc>
        <w:tc>
          <w:tcPr>
            <w:tcW w:type="dxa" w:w="2835"/>
            <w:vAlign w:val="top"/>
          </w:tcPr>
          <w:p>
            <w:r/>
            <w:r>
              <w:rPr>
                <w:rFonts w:ascii="Aptos" w:hAnsi="Aptos"/>
                <w:b w:val="0"/>
                <w:color w:val="2A2A2A"/>
                <w:sz w:val="16"/>
              </w:rPr>
              <w:t>Beteiligung, Transparenz, Verdrängungsschutz</w:t>
            </w:r>
          </w:p>
        </w:tc>
        <w:tc>
          <w:tcPr>
            <w:tcW w:type="dxa" w:w="2835"/>
            <w:vAlign w:val="top"/>
          </w:tcPr>
          <w:p>
            <w:r/>
            <w:r>
              <w:rPr>
                <w:rFonts w:ascii="Aptos" w:hAnsi="Aptos"/>
                <w:b w:val="0"/>
                <w:color w:val="2A2A2A"/>
                <w:sz w:val="16"/>
              </w:rPr>
              <w:t>kommunaler Vorrang und öffentliche Akzeptanz</w:t>
            </w:r>
          </w:p>
        </w:tc>
      </w:tr>
      <w:tr>
        <w:tc>
          <w:tcPr>
            <w:tcW w:type="dxa" w:w="1701"/>
            <w:vAlign w:val="top"/>
          </w:tcPr>
          <w:p>
            <w:r/>
            <w:r>
              <w:rPr>
                <w:rFonts w:ascii="Aptos" w:hAnsi="Aptos"/>
                <w:b w:val="0"/>
                <w:color w:val="2A2A2A"/>
                <w:sz w:val="16"/>
              </w:rPr>
              <w:t>Kapital</w:t>
            </w:r>
          </w:p>
        </w:tc>
        <w:tc>
          <w:tcPr>
            <w:tcW w:type="dxa" w:w="2835"/>
            <w:vAlign w:val="top"/>
          </w:tcPr>
          <w:p>
            <w:r/>
            <w:r>
              <w:rPr>
                <w:rFonts w:ascii="Aptos" w:hAnsi="Aptos"/>
                <w:b w:val="0"/>
                <w:color w:val="2A2A2A"/>
                <w:sz w:val="16"/>
              </w:rPr>
              <w:t>Stranded-Asset-Risiko, Versicherbarkeit, Werterhalt</w:t>
            </w:r>
          </w:p>
        </w:tc>
        <w:tc>
          <w:tcPr>
            <w:tcW w:type="dxa" w:w="2835"/>
            <w:vAlign w:val="top"/>
          </w:tcPr>
          <w:p>
            <w:r/>
            <w:r>
              <w:rPr>
                <w:rFonts w:ascii="Aptos" w:hAnsi="Aptos"/>
                <w:b w:val="0"/>
                <w:color w:val="2A2A2A"/>
                <w:sz w:val="16"/>
              </w:rPr>
              <w:t>bessere Konditionen und geringeres Risiko</w:t>
            </w:r>
          </w:p>
        </w:tc>
      </w:tr>
    </w:tbl>
    <w:p>
      <w:pPr>
        <w:pStyle w:val="Heading1"/>
      </w:pPr>
      <w:r>
        <w:t>Verhältnis zu Staat, Markt und Zivilgesellschaft</w:t>
      </w:r>
    </w:p>
    <w:p>
      <w:pPr>
        <w:spacing w:after="120" w:line="264" w:lineRule="auto"/>
      </w:pPr>
      <w:r>
        <w:t>Wirkungsfonds sind hybride Instrumente. Sie sollen nicht alle Entscheidungen zentralisieren. Sie sollen die richtige Schnittstelle zwischen öffentlichem Auftrag, privatem Kapital, zivilgesellschaftlicher Expertise und demokratischer Kontrolle bilden. Deshalb ist die Trägerstruktur entscheidend.</w:t>
      </w:r>
    </w:p>
    <w:p>
      <w:pPr>
        <w:pStyle w:val="ListBullet"/>
      </w:pPr>
      <w:r>
        <w:t>Der Staat setzt Zweck, Rahmen, Transparenzpflicht und Schutzregeln.</w:t>
      </w:r>
    </w:p>
    <w:p>
      <w:pPr>
        <w:pStyle w:val="ListBullet"/>
      </w:pPr>
      <w:r>
        <w:t>Der Wirkungsrat prüft Methoden, Indikatoren, rote Linien und Missbrauchsrisiken.</w:t>
      </w:r>
    </w:p>
    <w:p>
      <w:pPr>
        <w:pStyle w:val="ListBullet"/>
      </w:pPr>
      <w:r>
        <w:t>Private Investoren können co-investieren, aber nicht die Wirkungskriterien dominieren.</w:t>
      </w:r>
    </w:p>
    <w:p>
      <w:pPr>
        <w:pStyle w:val="ListBullet"/>
      </w:pPr>
      <w:r>
        <w:t>Zivilgesellschaft und Wissenschaft bringen Fachwissen, Betroffenheit und Korrektur ein.</w:t>
      </w:r>
    </w:p>
    <w:p>
      <w:pPr>
        <w:pStyle w:val="ListBullet"/>
      </w:pPr>
      <w:r>
        <w:t>Bürger:innen erhalten Beteiligungs- und Kontrollrechte, insbesondere bei lokalen Fonds.</w:t>
      </w:r>
    </w:p>
    <w:tbl>
      <w:tblPr>
        <w:tblStyle w:val="TableGrid"/>
        <w:tblW w:type="auto" w:w="0"/>
        <w:jc w:val="center"/>
        <w:tblLook w:firstColumn="1" w:firstRow="1" w:lastColumn="0" w:lastRow="0" w:noHBand="0" w:noVBand="1" w:val="04A0"/>
      </w:tblPr>
      <w:tblGrid>
        <w:gridCol w:w="10200"/>
      </w:tblGrid>
      <w:tr>
        <w:tc>
          <w:tcPr>
            <w:tcW w:type="dxa" w:w="10200"/>
            <w:shd w:fill="FBF8F1"/>
          </w:tcPr>
          <w:p>
            <w:r>
              <w:rPr>
                <w:rFonts w:ascii="Aptos" w:hAnsi="Aptos"/>
                <w:b/>
                <w:color w:val="C8544A"/>
                <w:sz w:val="18"/>
              </w:rPr>
              <w:t>DEMOKRATISCHE FONDSLOGIK</w:t>
            </w:r>
          </w:p>
          <w:p>
            <w:r>
              <w:rPr>
                <w:rFonts w:ascii="Aptos" w:hAnsi="Aptos"/>
                <w:color w:val="2A2A2A"/>
                <w:sz w:val="21"/>
              </w:rPr>
              <w:t>Ein Wirkungsfonds darf keine Schattenregierung werden. Er finanziert Wirkung innerhalb eines demokratisch beschlossenen Rahmens und bleibt öffentlich prüfbar.</w:t>
            </w:r>
          </w:p>
        </w:tc>
      </w:tr>
    </w:tbl>
    <w:p>
      <w:pPr>
        <w:pStyle w:val="Heading1"/>
      </w:pPr>
      <w:r>
        <w:t>Berechnungslogik: Wirkungsfonds-Simulator</w:t>
      </w:r>
    </w:p>
    <w:p>
      <w:pPr>
        <w:spacing w:after="120" w:line="264" w:lineRule="auto"/>
      </w:pPr>
      <w:r>
        <w:t>Für jedes Fondsprojekt braucht es eine einfache, später ausbaubare Berechnungslogik. Der Simulator sollte nicht behaupten, exakte Wahrheit zu liefern. Er soll Wirkpfade transparent machen: Mittelzufluss, Wirkungsziel, Datenqualität, erwartete Netto-Wirkung, Transformationsmultiplikator, Rückfluss an Fonds oder Gesellschaft und Risikoabschlag.</w:t>
      </w:r>
    </w:p>
    <w:tbl>
      <w:tblPr>
        <w:tblStyle w:val="TableGrid"/>
        <w:tblW w:type="auto" w:w="0"/>
        <w:jc w:val="center"/>
        <w:tblLook w:firstColumn="1" w:firstRow="1" w:lastColumn="0" w:lastRow="0" w:noHBand="0" w:noVBand="1" w:val="04A0"/>
      </w:tblPr>
      <w:tblGrid>
        <w:gridCol w:w="3400"/>
        <w:gridCol w:w="3400"/>
        <w:gridCol w:w="3400"/>
      </w:tblGrid>
      <w:tr>
        <w:trPr>
          <w:tblHeader w:val="true"/>
        </w:trPr>
        <w:tc>
          <w:tcPr>
            <w:tcW w:type="dxa" w:w="1701"/>
            <w:shd w:fill="0B1020"/>
            <w:vAlign w:val="center"/>
          </w:tcPr>
          <w:p>
            <w:r/>
            <w:r>
              <w:rPr>
                <w:rFonts w:ascii="Aptos" w:hAnsi="Aptos"/>
                <w:b/>
                <w:color w:val="FFFFFF"/>
                <w:sz w:val="16"/>
              </w:rPr>
              <w:t>Parameter</w:t>
            </w:r>
          </w:p>
        </w:tc>
        <w:tc>
          <w:tcPr>
            <w:tcW w:type="dxa" w:w="2835"/>
            <w:shd w:fill="0B1020"/>
            <w:vAlign w:val="center"/>
          </w:tcPr>
          <w:p>
            <w:r/>
            <w:r>
              <w:rPr>
                <w:rFonts w:ascii="Aptos" w:hAnsi="Aptos"/>
                <w:b/>
                <w:color w:val="FFFFFF"/>
                <w:sz w:val="16"/>
              </w:rPr>
              <w:t>Beschreibung</w:t>
            </w:r>
          </w:p>
        </w:tc>
        <w:tc>
          <w:tcPr>
            <w:tcW w:type="dxa" w:w="2835"/>
            <w:shd w:fill="0B1020"/>
            <w:vAlign w:val="center"/>
          </w:tcPr>
          <w:p>
            <w:r/>
            <w:r>
              <w:rPr>
                <w:rFonts w:ascii="Aptos" w:hAnsi="Aptos"/>
                <w:b/>
                <w:color w:val="FFFFFF"/>
                <w:sz w:val="16"/>
              </w:rPr>
              <w:t>Beispiel</w:t>
            </w:r>
          </w:p>
        </w:tc>
      </w:tr>
      <w:tr>
        <w:tc>
          <w:tcPr>
            <w:tcW w:type="dxa" w:w="1701"/>
            <w:vAlign w:val="top"/>
          </w:tcPr>
          <w:p>
            <w:r/>
            <w:r>
              <w:rPr>
                <w:rFonts w:ascii="Aptos" w:hAnsi="Aptos"/>
                <w:b w:val="0"/>
                <w:color w:val="2A2A2A"/>
                <w:sz w:val="16"/>
              </w:rPr>
              <w:t>Mittelzufluss</w:t>
            </w:r>
          </w:p>
        </w:tc>
        <w:tc>
          <w:tcPr>
            <w:tcW w:type="dxa" w:w="2835"/>
            <w:vAlign w:val="top"/>
          </w:tcPr>
          <w:p>
            <w:r/>
            <w:r>
              <w:rPr>
                <w:rFonts w:ascii="Aptos" w:hAnsi="Aptos"/>
                <w:b w:val="0"/>
                <w:color w:val="2A2A2A"/>
                <w:sz w:val="16"/>
              </w:rPr>
              <w:t>Kapital, Steueranteil, Co-Investment oder Maluszahlung</w:t>
            </w:r>
          </w:p>
        </w:tc>
        <w:tc>
          <w:tcPr>
            <w:tcW w:type="dxa" w:w="2835"/>
            <w:vAlign w:val="top"/>
          </w:tcPr>
          <w:p>
            <w:r/>
            <w:r>
              <w:rPr>
                <w:rFonts w:ascii="Aptos" w:hAnsi="Aptos"/>
                <w:b w:val="0"/>
                <w:color w:val="2A2A2A"/>
                <w:sz w:val="16"/>
              </w:rPr>
              <w:t>10 Mio. Euro Wohnfonds</w:t>
            </w:r>
          </w:p>
        </w:tc>
      </w:tr>
      <w:tr>
        <w:tc>
          <w:tcPr>
            <w:tcW w:type="dxa" w:w="1701"/>
            <w:vAlign w:val="top"/>
          </w:tcPr>
          <w:p>
            <w:r/>
            <w:r>
              <w:rPr>
                <w:rFonts w:ascii="Aptos" w:hAnsi="Aptos"/>
                <w:b w:val="0"/>
                <w:color w:val="2A2A2A"/>
                <w:sz w:val="16"/>
              </w:rPr>
              <w:t>Zielwirkung</w:t>
            </w:r>
          </w:p>
        </w:tc>
        <w:tc>
          <w:tcPr>
            <w:tcW w:type="dxa" w:w="2835"/>
            <w:vAlign w:val="top"/>
          </w:tcPr>
          <w:p>
            <w:r/>
            <w:r>
              <w:rPr>
                <w:rFonts w:ascii="Aptos" w:hAnsi="Aptos"/>
                <w:b w:val="0"/>
                <w:color w:val="2A2A2A"/>
                <w:sz w:val="16"/>
              </w:rPr>
              <w:t>konkretes Wirkungsziel im MPD-Rahmen</w:t>
            </w:r>
          </w:p>
        </w:tc>
        <w:tc>
          <w:tcPr>
            <w:tcW w:type="dxa" w:w="2835"/>
            <w:vAlign w:val="top"/>
          </w:tcPr>
          <w:p>
            <w:r/>
            <w:r>
              <w:rPr>
                <w:rFonts w:ascii="Aptos" w:hAnsi="Aptos"/>
                <w:b w:val="0"/>
                <w:color w:val="2A2A2A"/>
                <w:sz w:val="16"/>
              </w:rPr>
              <w:t>Warmmietenbelastung senken, CO2 reduzieren</w:t>
            </w:r>
          </w:p>
        </w:tc>
      </w:tr>
      <w:tr>
        <w:tc>
          <w:tcPr>
            <w:tcW w:type="dxa" w:w="1701"/>
            <w:vAlign w:val="top"/>
          </w:tcPr>
          <w:p>
            <w:r/>
            <w:r>
              <w:rPr>
                <w:rFonts w:ascii="Aptos" w:hAnsi="Aptos"/>
                <w:b w:val="0"/>
                <w:color w:val="2A2A2A"/>
                <w:sz w:val="16"/>
              </w:rPr>
              <w:t>NWI</w:t>
            </w:r>
          </w:p>
        </w:tc>
        <w:tc>
          <w:tcPr>
            <w:tcW w:type="dxa" w:w="2835"/>
            <w:vAlign w:val="top"/>
          </w:tcPr>
          <w:p>
            <w:r/>
            <w:r>
              <w:rPr>
                <w:rFonts w:ascii="Aptos" w:hAnsi="Aptos"/>
                <w:b w:val="0"/>
                <w:color w:val="2A2A2A"/>
                <w:sz w:val="16"/>
              </w:rPr>
              <w:t>operative Netto-Wirkung nach positiven/negativen Wirkungen</w:t>
            </w:r>
          </w:p>
        </w:tc>
        <w:tc>
          <w:tcPr>
            <w:tcW w:type="dxa" w:w="2835"/>
            <w:vAlign w:val="top"/>
          </w:tcPr>
          <w:p>
            <w:r/>
            <w:r>
              <w:rPr>
                <w:rFonts w:ascii="Aptos" w:hAnsi="Aptos"/>
                <w:b w:val="0"/>
                <w:color w:val="2A2A2A"/>
                <w:sz w:val="16"/>
              </w:rPr>
              <w:t>+1,8 bei Einhaltung roter Linien</w:t>
            </w:r>
          </w:p>
        </w:tc>
      </w:tr>
      <w:tr>
        <w:tc>
          <w:tcPr>
            <w:tcW w:type="dxa" w:w="1701"/>
            <w:vAlign w:val="top"/>
          </w:tcPr>
          <w:p>
            <w:r/>
            <w:r>
              <w:rPr>
                <w:rFonts w:ascii="Aptos" w:hAnsi="Aptos"/>
                <w:b w:val="0"/>
                <w:color w:val="2A2A2A"/>
                <w:sz w:val="16"/>
              </w:rPr>
              <w:t>T-SROI</w:t>
            </w:r>
          </w:p>
        </w:tc>
        <w:tc>
          <w:tcPr>
            <w:tcW w:type="dxa" w:w="2835"/>
            <w:vAlign w:val="top"/>
          </w:tcPr>
          <w:p>
            <w:r/>
            <w:r>
              <w:rPr>
                <w:rFonts w:ascii="Aptos" w:hAnsi="Aptos"/>
                <w:b w:val="0"/>
                <w:color w:val="2A2A2A"/>
                <w:sz w:val="16"/>
              </w:rPr>
              <w:t>Transformationsbeitrag pro eingesetztem Euro</w:t>
            </w:r>
          </w:p>
        </w:tc>
        <w:tc>
          <w:tcPr>
            <w:tcW w:type="dxa" w:w="2835"/>
            <w:vAlign w:val="top"/>
          </w:tcPr>
          <w:p>
            <w:r/>
            <w:r>
              <w:rPr>
                <w:rFonts w:ascii="Aptos" w:hAnsi="Aptos"/>
                <w:b w:val="0"/>
                <w:color w:val="2A2A2A"/>
                <w:sz w:val="16"/>
              </w:rPr>
              <w:t>3,2:1 bei skalierbarem Quartiersmodell</w:t>
            </w:r>
          </w:p>
        </w:tc>
      </w:tr>
      <w:tr>
        <w:tc>
          <w:tcPr>
            <w:tcW w:type="dxa" w:w="1701"/>
            <w:vAlign w:val="top"/>
          </w:tcPr>
          <w:p>
            <w:r/>
            <w:r>
              <w:rPr>
                <w:rFonts w:ascii="Aptos" w:hAnsi="Aptos"/>
                <w:b w:val="0"/>
                <w:color w:val="2A2A2A"/>
                <w:sz w:val="16"/>
              </w:rPr>
              <w:t>Datenqualität</w:t>
            </w:r>
          </w:p>
        </w:tc>
        <w:tc>
          <w:tcPr>
            <w:tcW w:type="dxa" w:w="2835"/>
            <w:vAlign w:val="top"/>
          </w:tcPr>
          <w:p>
            <w:r/>
            <w:r>
              <w:rPr>
                <w:rFonts w:ascii="Aptos" w:hAnsi="Aptos"/>
                <w:b w:val="0"/>
                <w:color w:val="2A2A2A"/>
                <w:sz w:val="16"/>
              </w:rPr>
              <w:t>Prüfgrad und Unsicherheit</w:t>
            </w:r>
          </w:p>
        </w:tc>
        <w:tc>
          <w:tcPr>
            <w:tcW w:type="dxa" w:w="2835"/>
            <w:vAlign w:val="top"/>
          </w:tcPr>
          <w:p>
            <w:r/>
            <w:r>
              <w:rPr>
                <w:rFonts w:ascii="Aptos" w:hAnsi="Aptos"/>
                <w:b w:val="0"/>
                <w:color w:val="2A2A2A"/>
                <w:sz w:val="16"/>
              </w:rPr>
              <w:t>B: geprüfte Primärdaten plus Schätzungen</w:t>
            </w:r>
          </w:p>
        </w:tc>
      </w:tr>
      <w:tr>
        <w:tc>
          <w:tcPr>
            <w:tcW w:type="dxa" w:w="1701"/>
            <w:vAlign w:val="top"/>
          </w:tcPr>
          <w:p>
            <w:r/>
            <w:r>
              <w:rPr>
                <w:rFonts w:ascii="Aptos" w:hAnsi="Aptos"/>
                <w:b w:val="0"/>
                <w:color w:val="2A2A2A"/>
                <w:sz w:val="16"/>
              </w:rPr>
              <w:t>Rückfluss</w:t>
            </w:r>
          </w:p>
        </w:tc>
        <w:tc>
          <w:tcPr>
            <w:tcW w:type="dxa" w:w="2835"/>
            <w:vAlign w:val="top"/>
          </w:tcPr>
          <w:p>
            <w:r/>
            <w:r>
              <w:rPr>
                <w:rFonts w:ascii="Aptos" w:hAnsi="Aptos"/>
                <w:b w:val="0"/>
                <w:color w:val="2A2A2A"/>
                <w:sz w:val="16"/>
              </w:rPr>
              <w:t>finanzieller oder gesellschaftlicher Rückfluss</w:t>
            </w:r>
          </w:p>
        </w:tc>
        <w:tc>
          <w:tcPr>
            <w:tcW w:type="dxa" w:w="2835"/>
            <w:vAlign w:val="top"/>
          </w:tcPr>
          <w:p>
            <w:r/>
            <w:r>
              <w:rPr>
                <w:rFonts w:ascii="Aptos" w:hAnsi="Aptos"/>
                <w:b w:val="0"/>
                <w:color w:val="2A2A2A"/>
                <w:sz w:val="16"/>
              </w:rPr>
              <w:t>Energieeinsparung, vermiedene Transferkosten</w:t>
            </w:r>
          </w:p>
        </w:tc>
      </w:tr>
      <w:tr>
        <w:tc>
          <w:tcPr>
            <w:tcW w:type="dxa" w:w="1701"/>
            <w:vAlign w:val="top"/>
          </w:tcPr>
          <w:p>
            <w:r/>
            <w:r>
              <w:rPr>
                <w:rFonts w:ascii="Aptos" w:hAnsi="Aptos"/>
                <w:b w:val="0"/>
                <w:color w:val="2A2A2A"/>
                <w:sz w:val="16"/>
              </w:rPr>
              <w:t>Risikoabschlag</w:t>
            </w:r>
          </w:p>
        </w:tc>
        <w:tc>
          <w:tcPr>
            <w:tcW w:type="dxa" w:w="2835"/>
            <w:vAlign w:val="top"/>
          </w:tcPr>
          <w:p>
            <w:r/>
            <w:r>
              <w:rPr>
                <w:rFonts w:ascii="Aptos" w:hAnsi="Aptos"/>
                <w:b w:val="0"/>
                <w:color w:val="2A2A2A"/>
                <w:sz w:val="16"/>
              </w:rPr>
              <w:t>Unsicherheit, Rebound, Verdrängung, Governance</w:t>
            </w:r>
          </w:p>
        </w:tc>
        <w:tc>
          <w:tcPr>
            <w:tcW w:type="dxa" w:w="2835"/>
            <w:vAlign w:val="top"/>
          </w:tcPr>
          <w:p>
            <w:r/>
            <w:r>
              <w:rPr>
                <w:rFonts w:ascii="Aptos" w:hAnsi="Aptos"/>
                <w:b w:val="0"/>
                <w:color w:val="2A2A2A"/>
                <w:sz w:val="16"/>
              </w:rPr>
              <w:t>-15 % bei mittlerem Umsetzungsrisiko</w:t>
            </w:r>
          </w:p>
        </w:tc>
      </w:tr>
    </w:tbl>
    <w:p>
      <w:pPr>
        <w:pStyle w:val="Heading1"/>
      </w:pPr>
      <w:r>
        <w:t>Einzelfonds im Detail</w:t>
      </w:r>
    </w:p>
    <w:p>
      <w:pPr>
        <w:spacing w:after="120" w:line="264" w:lineRule="auto"/>
      </w:pPr>
      <w:r>
        <w:t>Die Dacharchitektur wird erst verständlich, wenn die Einzelfonds nicht nur genannt, sondern in ihrer Wirkungslogik unterschieden werden. Jeder Fonds braucht eigene Zielgruppen, Datenquellen, Wirkungspfade, Rückflusslogiken und Schutzmechanismen. Ein Bildungsfonds funktioniert anders als ein Wohnfonds; ein Demokratie- und Medienfonds anders als ein Klimafonds.</w:t>
      </w:r>
    </w:p>
    <w:tbl>
      <w:tblPr>
        <w:tblStyle w:val="TableGrid"/>
        <w:tblW w:type="auto" w:w="0"/>
        <w:jc w:val="center"/>
        <w:tblLook w:firstColumn="1" w:firstRow="1" w:lastColumn="0" w:lastRow="0" w:noHBand="0" w:noVBand="1" w:val="04A0"/>
      </w:tblPr>
      <w:tblGrid>
        <w:gridCol w:w="2550"/>
        <w:gridCol w:w="2550"/>
        <w:gridCol w:w="2550"/>
        <w:gridCol w:w="2550"/>
      </w:tblGrid>
      <w:tr>
        <w:trPr>
          <w:tblHeader w:val="true"/>
        </w:trPr>
        <w:tc>
          <w:tcPr>
            <w:tcW w:type="dxa" w:w="1701"/>
            <w:shd w:fill="0B1020"/>
            <w:vAlign w:val="center"/>
          </w:tcPr>
          <w:p>
            <w:r/>
            <w:r>
              <w:rPr>
                <w:rFonts w:ascii="Aptos" w:hAnsi="Aptos"/>
                <w:b/>
                <w:color w:val="FFFFFF"/>
                <w:sz w:val="16"/>
              </w:rPr>
              <w:t>Fonds</w:t>
            </w:r>
          </w:p>
        </w:tc>
        <w:tc>
          <w:tcPr>
            <w:tcW w:type="dxa" w:w="2268"/>
            <w:shd w:fill="0B1020"/>
            <w:vAlign w:val="center"/>
          </w:tcPr>
          <w:p>
            <w:r/>
            <w:r>
              <w:rPr>
                <w:rFonts w:ascii="Aptos" w:hAnsi="Aptos"/>
                <w:b/>
                <w:color w:val="FFFFFF"/>
                <w:sz w:val="16"/>
              </w:rPr>
              <w:t>Zielgruppe</w:t>
            </w:r>
          </w:p>
        </w:tc>
        <w:tc>
          <w:tcPr>
            <w:tcW w:type="dxa" w:w="2268"/>
            <w:shd w:fill="0B1020"/>
            <w:vAlign w:val="center"/>
          </w:tcPr>
          <w:p>
            <w:r/>
            <w:r>
              <w:rPr>
                <w:rFonts w:ascii="Aptos" w:hAnsi="Aptos"/>
                <w:b/>
                <w:color w:val="FFFFFF"/>
                <w:sz w:val="16"/>
              </w:rPr>
              <w:t>Datenbasis</w:t>
            </w:r>
          </w:p>
        </w:tc>
        <w:tc>
          <w:tcPr>
            <w:tcW w:type="dxa" w:w="2835"/>
            <w:shd w:fill="0B1020"/>
            <w:vAlign w:val="center"/>
          </w:tcPr>
          <w:p>
            <w:r/>
            <w:r>
              <w:rPr>
                <w:rFonts w:ascii="Aptos" w:hAnsi="Aptos"/>
                <w:b/>
                <w:color w:val="FFFFFF"/>
                <w:sz w:val="16"/>
              </w:rPr>
              <w:t>typischer Rückfluss</w:t>
            </w:r>
          </w:p>
        </w:tc>
      </w:tr>
      <w:tr>
        <w:tc>
          <w:tcPr>
            <w:tcW w:type="dxa" w:w="1701"/>
            <w:vAlign w:val="top"/>
          </w:tcPr>
          <w:p>
            <w:r/>
            <w:r>
              <w:rPr>
                <w:rFonts w:ascii="Aptos" w:hAnsi="Aptos"/>
                <w:b w:val="0"/>
                <w:color w:val="2A2A2A"/>
                <w:sz w:val="16"/>
              </w:rPr>
              <w:t>Bildungsfonds</w:t>
            </w:r>
          </w:p>
        </w:tc>
        <w:tc>
          <w:tcPr>
            <w:tcW w:type="dxa" w:w="2268"/>
            <w:vAlign w:val="top"/>
          </w:tcPr>
          <w:p>
            <w:r/>
            <w:r>
              <w:rPr>
                <w:rFonts w:ascii="Aptos" w:hAnsi="Aptos"/>
                <w:b w:val="0"/>
                <w:color w:val="2A2A2A"/>
                <w:sz w:val="16"/>
              </w:rPr>
              <w:t>Schulen, Kommunen, Lernnetzwerke, Kinder und Jugendliche</w:t>
            </w:r>
          </w:p>
        </w:tc>
        <w:tc>
          <w:tcPr>
            <w:tcW w:type="dxa" w:w="2268"/>
            <w:vAlign w:val="top"/>
          </w:tcPr>
          <w:p>
            <w:r/>
            <w:r>
              <w:rPr>
                <w:rFonts w:ascii="Aptos" w:hAnsi="Aptos"/>
                <w:b w:val="0"/>
                <w:color w:val="2A2A2A"/>
                <w:sz w:val="16"/>
              </w:rPr>
              <w:t>Bildungsberichte, Schulklima, Teilhabe, Lernentwicklung</w:t>
            </w:r>
          </w:p>
        </w:tc>
        <w:tc>
          <w:tcPr>
            <w:tcW w:type="dxa" w:w="2835"/>
            <w:vAlign w:val="top"/>
          </w:tcPr>
          <w:p>
            <w:r/>
            <w:r>
              <w:rPr>
                <w:rFonts w:ascii="Aptos" w:hAnsi="Aptos"/>
                <w:b w:val="0"/>
                <w:color w:val="2A2A2A"/>
                <w:sz w:val="16"/>
              </w:rPr>
              <w:t>höhere Teilhabe, geringere Folgekosten, Zukunftskompetenz</w:t>
            </w:r>
          </w:p>
        </w:tc>
      </w:tr>
      <w:tr>
        <w:tc>
          <w:tcPr>
            <w:tcW w:type="dxa" w:w="1701"/>
            <w:vAlign w:val="top"/>
          </w:tcPr>
          <w:p>
            <w:r/>
            <w:r>
              <w:rPr>
                <w:rFonts w:ascii="Aptos" w:hAnsi="Aptos"/>
                <w:b w:val="0"/>
                <w:color w:val="2A2A2A"/>
                <w:sz w:val="16"/>
              </w:rPr>
              <w:t>Gesundheitsfonds</w:t>
            </w:r>
          </w:p>
        </w:tc>
        <w:tc>
          <w:tcPr>
            <w:tcW w:type="dxa" w:w="2268"/>
            <w:vAlign w:val="top"/>
          </w:tcPr>
          <w:p>
            <w:r/>
            <w:r>
              <w:rPr>
                <w:rFonts w:ascii="Aptos" w:hAnsi="Aptos"/>
                <w:b w:val="0"/>
                <w:color w:val="2A2A2A"/>
                <w:sz w:val="16"/>
              </w:rPr>
              <w:t>Kommunen, Praxen, Pflege, Präventionsprogramme</w:t>
            </w:r>
          </w:p>
        </w:tc>
        <w:tc>
          <w:tcPr>
            <w:tcW w:type="dxa" w:w="2268"/>
            <w:vAlign w:val="top"/>
          </w:tcPr>
          <w:p>
            <w:r/>
            <w:r>
              <w:rPr>
                <w:rFonts w:ascii="Aptos" w:hAnsi="Aptos"/>
                <w:b w:val="0"/>
                <w:color w:val="2A2A2A"/>
                <w:sz w:val="16"/>
              </w:rPr>
              <w:t>Gesundheitsindikatoren, Versorgungsdaten, Sozialraumprofile</w:t>
            </w:r>
          </w:p>
        </w:tc>
        <w:tc>
          <w:tcPr>
            <w:tcW w:type="dxa" w:w="2835"/>
            <w:vAlign w:val="top"/>
          </w:tcPr>
          <w:p>
            <w:r/>
            <w:r>
              <w:rPr>
                <w:rFonts w:ascii="Aptos" w:hAnsi="Aptos"/>
                <w:b w:val="0"/>
                <w:color w:val="2A2A2A"/>
                <w:sz w:val="16"/>
              </w:rPr>
              <w:t>weniger Krankheit, weniger Ausfall, mehr Lebensqualität</w:t>
            </w:r>
          </w:p>
        </w:tc>
      </w:tr>
      <w:tr>
        <w:tc>
          <w:tcPr>
            <w:tcW w:type="dxa" w:w="1701"/>
            <w:vAlign w:val="top"/>
          </w:tcPr>
          <w:p>
            <w:r/>
            <w:r>
              <w:rPr>
                <w:rFonts w:ascii="Aptos" w:hAnsi="Aptos"/>
                <w:b w:val="0"/>
                <w:color w:val="2A2A2A"/>
                <w:sz w:val="16"/>
              </w:rPr>
              <w:t>Wohnfonds</w:t>
            </w:r>
          </w:p>
        </w:tc>
        <w:tc>
          <w:tcPr>
            <w:tcW w:type="dxa" w:w="2268"/>
            <w:vAlign w:val="top"/>
          </w:tcPr>
          <w:p>
            <w:r/>
            <w:r>
              <w:rPr>
                <w:rFonts w:ascii="Aptos" w:hAnsi="Aptos"/>
                <w:b w:val="0"/>
                <w:color w:val="2A2A2A"/>
                <w:sz w:val="16"/>
              </w:rPr>
              <w:t>Kommunen, Genossenschaften, Bestandshalter, Mieter:innen</w:t>
            </w:r>
          </w:p>
        </w:tc>
        <w:tc>
          <w:tcPr>
            <w:tcW w:type="dxa" w:w="2268"/>
            <w:vAlign w:val="top"/>
          </w:tcPr>
          <w:p>
            <w:r/>
            <w:r>
              <w:rPr>
                <w:rFonts w:ascii="Aptos" w:hAnsi="Aptos"/>
                <w:b w:val="0"/>
                <w:color w:val="2A2A2A"/>
                <w:sz w:val="16"/>
              </w:rPr>
              <w:t>Mietbelastung, Energie, Gebäudezustand, Quartiersdaten</w:t>
            </w:r>
          </w:p>
        </w:tc>
        <w:tc>
          <w:tcPr>
            <w:tcW w:type="dxa" w:w="2835"/>
            <w:vAlign w:val="top"/>
          </w:tcPr>
          <w:p>
            <w:r/>
            <w:r>
              <w:rPr>
                <w:rFonts w:ascii="Aptos" w:hAnsi="Aptos"/>
                <w:b w:val="0"/>
                <w:color w:val="2A2A2A"/>
                <w:sz w:val="16"/>
              </w:rPr>
              <w:t>geringere Warmkosten, weniger Verdrängung, bessere Resilienz</w:t>
            </w:r>
          </w:p>
        </w:tc>
      </w:tr>
      <w:tr>
        <w:tc>
          <w:tcPr>
            <w:tcW w:type="dxa" w:w="1701"/>
            <w:vAlign w:val="top"/>
          </w:tcPr>
          <w:p>
            <w:r/>
            <w:r>
              <w:rPr>
                <w:rFonts w:ascii="Aptos" w:hAnsi="Aptos"/>
                <w:b w:val="0"/>
                <w:color w:val="2A2A2A"/>
                <w:sz w:val="16"/>
              </w:rPr>
              <w:t>Demokratiefonds</w:t>
            </w:r>
          </w:p>
        </w:tc>
        <w:tc>
          <w:tcPr>
            <w:tcW w:type="dxa" w:w="2268"/>
            <w:vAlign w:val="top"/>
          </w:tcPr>
          <w:p>
            <w:r/>
            <w:r>
              <w:rPr>
                <w:rFonts w:ascii="Aptos" w:hAnsi="Aptos"/>
                <w:b w:val="0"/>
                <w:color w:val="2A2A2A"/>
                <w:sz w:val="16"/>
              </w:rPr>
              <w:t>lokale Demokratie, Medien, Zivilgesellschaft, Bildung</w:t>
            </w:r>
          </w:p>
        </w:tc>
        <w:tc>
          <w:tcPr>
            <w:tcW w:type="dxa" w:w="2268"/>
            <w:vAlign w:val="top"/>
          </w:tcPr>
          <w:p>
            <w:r/>
            <w:r>
              <w:rPr>
                <w:rFonts w:ascii="Aptos" w:hAnsi="Aptos"/>
                <w:b w:val="0"/>
                <w:color w:val="2A2A2A"/>
                <w:sz w:val="16"/>
              </w:rPr>
              <w:t>Vertrauen, Diskursqualität, Beteiligung, Quellenklarheit</w:t>
            </w:r>
          </w:p>
        </w:tc>
        <w:tc>
          <w:tcPr>
            <w:tcW w:type="dxa" w:w="2835"/>
            <w:vAlign w:val="top"/>
          </w:tcPr>
          <w:p>
            <w:r/>
            <w:r>
              <w:rPr>
                <w:rFonts w:ascii="Aptos" w:hAnsi="Aptos"/>
                <w:b w:val="0"/>
                <w:color w:val="2A2A2A"/>
                <w:sz w:val="16"/>
              </w:rPr>
              <w:t>stabilere Öffentlichkeit, weniger Polarisierung</w:t>
            </w:r>
          </w:p>
        </w:tc>
      </w:tr>
      <w:tr>
        <w:tc>
          <w:tcPr>
            <w:tcW w:type="dxa" w:w="1701"/>
            <w:vAlign w:val="top"/>
          </w:tcPr>
          <w:p>
            <w:r/>
            <w:r>
              <w:rPr>
                <w:rFonts w:ascii="Aptos" w:hAnsi="Aptos"/>
                <w:b w:val="0"/>
                <w:color w:val="2A2A2A"/>
                <w:sz w:val="16"/>
              </w:rPr>
              <w:t>Regenerationsfonds</w:t>
            </w:r>
          </w:p>
        </w:tc>
        <w:tc>
          <w:tcPr>
            <w:tcW w:type="dxa" w:w="2268"/>
            <w:vAlign w:val="top"/>
          </w:tcPr>
          <w:p>
            <w:r/>
            <w:r>
              <w:rPr>
                <w:rFonts w:ascii="Aptos" w:hAnsi="Aptos"/>
                <w:b w:val="0"/>
                <w:color w:val="2A2A2A"/>
                <w:sz w:val="16"/>
              </w:rPr>
              <w:t>Natur, Wasser, Boden, Biodiversität, Klima</w:t>
            </w:r>
          </w:p>
        </w:tc>
        <w:tc>
          <w:tcPr>
            <w:tcW w:type="dxa" w:w="2268"/>
            <w:vAlign w:val="top"/>
          </w:tcPr>
          <w:p>
            <w:r/>
            <w:r>
              <w:rPr>
                <w:rFonts w:ascii="Aptos" w:hAnsi="Aptos"/>
                <w:b w:val="0"/>
                <w:color w:val="2A2A2A"/>
                <w:sz w:val="16"/>
              </w:rPr>
              <w:t>Ökosystemdaten, Flächen, Wasserstress, Biodiversität</w:t>
            </w:r>
          </w:p>
        </w:tc>
        <w:tc>
          <w:tcPr>
            <w:tcW w:type="dxa" w:w="2835"/>
            <w:vAlign w:val="top"/>
          </w:tcPr>
          <w:p>
            <w:r/>
            <w:r>
              <w:rPr>
                <w:rFonts w:ascii="Aptos" w:hAnsi="Aptos"/>
                <w:b w:val="0"/>
                <w:color w:val="2A2A2A"/>
                <w:sz w:val="16"/>
              </w:rPr>
              <w:t>vermiedene Schäden, Naturkapital, Klimaresilienz</w:t>
            </w:r>
          </w:p>
        </w:tc>
      </w:tr>
      <w:tr>
        <w:tc>
          <w:tcPr>
            <w:tcW w:type="dxa" w:w="1701"/>
            <w:vAlign w:val="top"/>
          </w:tcPr>
          <w:p>
            <w:r/>
            <w:r>
              <w:rPr>
                <w:rFonts w:ascii="Aptos" w:hAnsi="Aptos"/>
                <w:b w:val="0"/>
                <w:color w:val="2A2A2A"/>
                <w:sz w:val="16"/>
              </w:rPr>
              <w:t>Automatisierungsfonds</w:t>
            </w:r>
          </w:p>
        </w:tc>
        <w:tc>
          <w:tcPr>
            <w:tcW w:type="dxa" w:w="2268"/>
            <w:vAlign w:val="top"/>
          </w:tcPr>
          <w:p>
            <w:r/>
            <w:r>
              <w:rPr>
                <w:rFonts w:ascii="Aptos" w:hAnsi="Aptos"/>
                <w:b w:val="0"/>
                <w:color w:val="2A2A2A"/>
                <w:sz w:val="16"/>
              </w:rPr>
              <w:t>Beschäftigte, Kommunen, Weiterbildung, Wirkungseinkommen</w:t>
            </w:r>
          </w:p>
        </w:tc>
        <w:tc>
          <w:tcPr>
            <w:tcW w:type="dxa" w:w="2268"/>
            <w:vAlign w:val="top"/>
          </w:tcPr>
          <w:p>
            <w:r/>
            <w:r>
              <w:rPr>
                <w:rFonts w:ascii="Aptos" w:hAnsi="Aptos"/>
                <w:b w:val="0"/>
                <w:color w:val="2A2A2A"/>
                <w:sz w:val="16"/>
              </w:rPr>
              <w:t>Produktivitätsgewinne, Automatisierungsgrad, Beschäftigungspfad</w:t>
            </w:r>
          </w:p>
        </w:tc>
        <w:tc>
          <w:tcPr>
            <w:tcW w:type="dxa" w:w="2835"/>
            <w:vAlign w:val="top"/>
          </w:tcPr>
          <w:p>
            <w:r/>
            <w:r>
              <w:rPr>
                <w:rFonts w:ascii="Aptos" w:hAnsi="Aptos"/>
                <w:b w:val="0"/>
                <w:color w:val="2A2A2A"/>
                <w:sz w:val="16"/>
              </w:rPr>
              <w:t>soziale Stabilität, Qualifizierung, Wirkungsdividende</w:t>
            </w:r>
          </w:p>
        </w:tc>
      </w:tr>
    </w:tbl>
    <w:p>
      <w:pPr>
        <w:pStyle w:val="Heading1"/>
      </w:pPr>
      <w:r>
        <w:t>Politische Anschlussfähigkeit und Umsetzungsoptionen</w:t>
      </w:r>
    </w:p>
    <w:tbl>
      <w:tblPr>
        <w:tblStyle w:val="TableGrid"/>
        <w:tblW w:type="auto" w:w="0"/>
        <w:jc w:val="center"/>
        <w:tblLook w:firstColumn="1" w:firstRow="1" w:lastColumn="0" w:lastRow="0" w:noHBand="0" w:noVBand="1" w:val="04A0"/>
      </w:tblPr>
      <w:tblGrid>
        <w:gridCol w:w="5100"/>
        <w:gridCol w:w="5100"/>
      </w:tblGrid>
      <w:tr>
        <w:trPr>
          <w:tblHeader w:val="true"/>
        </w:trPr>
        <w:tc>
          <w:tcPr>
            <w:tcW w:type="dxa" w:w="2268"/>
            <w:shd w:fill="0B1020"/>
            <w:vAlign w:val="center"/>
          </w:tcPr>
          <w:p>
            <w:r/>
            <w:r>
              <w:rPr>
                <w:rFonts w:ascii="Aptos" w:hAnsi="Aptos"/>
                <w:b/>
                <w:color w:val="FFFFFF"/>
                <w:sz w:val="16"/>
              </w:rPr>
              <w:t>Ebene</w:t>
            </w:r>
          </w:p>
        </w:tc>
        <w:tc>
          <w:tcPr>
            <w:tcW w:type="dxa" w:w="5669"/>
            <w:shd w:fill="0B1020"/>
            <w:vAlign w:val="center"/>
          </w:tcPr>
          <w:p>
            <w:r/>
            <w:r>
              <w:rPr>
                <w:rFonts w:ascii="Aptos" w:hAnsi="Aptos"/>
                <w:b/>
                <w:color w:val="FFFFFF"/>
                <w:sz w:val="16"/>
              </w:rPr>
              <w:t>Politische Aufgabe</w:t>
            </w:r>
          </w:p>
        </w:tc>
      </w:tr>
      <w:tr>
        <w:tc>
          <w:tcPr>
            <w:tcW w:type="dxa" w:w="2268"/>
            <w:vAlign w:val="top"/>
          </w:tcPr>
          <w:p>
            <w:r/>
            <w:r>
              <w:rPr>
                <w:rFonts w:ascii="Aptos" w:hAnsi="Aptos"/>
                <w:b w:val="0"/>
                <w:color w:val="2A2A2A"/>
                <w:sz w:val="16"/>
              </w:rPr>
              <w:t>Aufgabe der Politik</w:t>
            </w:r>
          </w:p>
        </w:tc>
        <w:tc>
          <w:tcPr>
            <w:tcW w:type="dxa" w:w="5669"/>
            <w:vAlign w:val="top"/>
          </w:tcPr>
          <w:p>
            <w:r/>
            <w:r>
              <w:rPr>
                <w:rFonts w:ascii="Aptos" w:hAnsi="Aptos"/>
                <w:b w:val="0"/>
                <w:color w:val="2A2A2A"/>
                <w:sz w:val="16"/>
              </w:rPr>
              <w:t>Rahmen schaffen, in dem Kapital positive Netto-Wirkung ermöglicht, ohne demokratische Entscheidung durch Kennzahlen zu ersetzen.</w:t>
            </w:r>
          </w:p>
        </w:tc>
      </w:tr>
      <w:tr>
        <w:tc>
          <w:tcPr>
            <w:tcW w:type="dxa" w:w="2268"/>
            <w:vAlign w:val="top"/>
          </w:tcPr>
          <w:p>
            <w:r/>
            <w:r>
              <w:rPr>
                <w:rFonts w:ascii="Aptos" w:hAnsi="Aptos"/>
                <w:b w:val="0"/>
                <w:color w:val="2A2A2A"/>
                <w:sz w:val="16"/>
              </w:rPr>
              <w:t>Ausgestaltungsspielraum</w:t>
            </w:r>
          </w:p>
        </w:tc>
        <w:tc>
          <w:tcPr>
            <w:tcW w:type="dxa" w:w="5669"/>
            <w:vAlign w:val="top"/>
          </w:tcPr>
          <w:p>
            <w:r/>
            <w:r>
              <w:rPr>
                <w:rFonts w:ascii="Aptos" w:hAnsi="Aptos"/>
                <w:b w:val="0"/>
                <w:color w:val="2A2A2A"/>
                <w:sz w:val="16"/>
              </w:rPr>
              <w:t>Parteien können Tempo, Verbindlichkeit, Förderquoten, Steuerlogik, öffentliche Fonds und private Kapitalmobilisierung unterschiedlich gewichten.</w:t>
            </w:r>
          </w:p>
        </w:tc>
      </w:tr>
      <w:tr>
        <w:tc>
          <w:tcPr>
            <w:tcW w:type="dxa" w:w="2268"/>
            <w:vAlign w:val="top"/>
          </w:tcPr>
          <w:p>
            <w:r/>
            <w:r>
              <w:rPr>
                <w:rFonts w:ascii="Aptos" w:hAnsi="Aptos"/>
                <w:b w:val="0"/>
                <w:color w:val="2A2A2A"/>
                <w:sz w:val="16"/>
              </w:rPr>
              <w:t>Zielkonflikte</w:t>
            </w:r>
          </w:p>
        </w:tc>
        <w:tc>
          <w:tcPr>
            <w:tcW w:type="dxa" w:w="5669"/>
            <w:vAlign w:val="top"/>
          </w:tcPr>
          <w:p>
            <w:r/>
            <w:r>
              <w:rPr>
                <w:rFonts w:ascii="Aptos" w:hAnsi="Aptos"/>
                <w:b w:val="0"/>
                <w:color w:val="2A2A2A"/>
                <w:sz w:val="16"/>
              </w:rPr>
              <w:t>Innovation vs. Sicherheit, Kapitalfreiheit vs. Missbrauchsschutz, Datenschutz vs. Transparenz, Bürokratiearmut vs. Prüfbarkeit.</w:t>
            </w:r>
          </w:p>
        </w:tc>
      </w:tr>
      <w:tr>
        <w:tc>
          <w:tcPr>
            <w:tcW w:type="dxa" w:w="2268"/>
            <w:vAlign w:val="top"/>
          </w:tcPr>
          <w:p>
            <w:r/>
            <w:r>
              <w:rPr>
                <w:rFonts w:ascii="Aptos" w:hAnsi="Aptos"/>
                <w:b w:val="0"/>
                <w:color w:val="2A2A2A"/>
                <w:sz w:val="16"/>
              </w:rPr>
              <w:t>Schutz vor Technokratie</w:t>
            </w:r>
          </w:p>
        </w:tc>
        <w:tc>
          <w:tcPr>
            <w:tcW w:type="dxa" w:w="5669"/>
            <w:vAlign w:val="top"/>
          </w:tcPr>
          <w:p>
            <w:r/>
            <w:r>
              <w:rPr>
                <w:rFonts w:ascii="Aptos" w:hAnsi="Aptos"/>
                <w:b w:val="0"/>
                <w:color w:val="2A2A2A"/>
                <w:sz w:val="16"/>
              </w:rPr>
              <w:t>Wirkungsdaten bereiten Entscheidungen vor. Die normative Entscheidung bleibt parlamentarisch, rechtsstaatlich und öffentlich korrigierbar.</w:t>
            </w:r>
          </w:p>
        </w:tc>
      </w:tr>
      <w:tr>
        <w:tc>
          <w:tcPr>
            <w:tcW w:type="dxa" w:w="2268"/>
            <w:vAlign w:val="top"/>
          </w:tcPr>
          <w:p>
            <w:r/>
            <w:r>
              <w:rPr>
                <w:rFonts w:ascii="Aptos" w:hAnsi="Aptos"/>
                <w:b w:val="0"/>
                <w:color w:val="2A2A2A"/>
                <w:sz w:val="16"/>
              </w:rPr>
              <w:t>Evaluation</w:t>
            </w:r>
          </w:p>
        </w:tc>
        <w:tc>
          <w:tcPr>
            <w:tcW w:type="dxa" w:w="5669"/>
            <w:vAlign w:val="top"/>
          </w:tcPr>
          <w:p>
            <w:r/>
            <w:r>
              <w:rPr>
                <w:rFonts w:ascii="Aptos" w:hAnsi="Aptos"/>
                <w:b w:val="0"/>
                <w:color w:val="2A2A2A"/>
                <w:sz w:val="16"/>
              </w:rPr>
              <w:t>Wirkungsrat, öffentliche Konsultation, Revisionszyklen, unabhängige Assurance und Beschwerdewege.</w:t>
            </w:r>
          </w:p>
        </w:tc>
      </w:tr>
    </w:tbl>
    <w:p>
      <w:pPr>
        <w:pStyle w:val="Heading1"/>
      </w:pPr>
      <w:r>
        <w:t>Website- und Portalintegration</w:t>
      </w:r>
    </w:p>
    <w:p>
      <w:pPr>
        <w:spacing w:after="120" w:line="264" w:lineRule="auto"/>
      </w:pPr>
      <w:r>
        <w:t>Dieses Detailkonzept gehört in das Portal Finanzsystem &amp; Kapital unter „Wirkungsfonds als Dacharchitektur“. Es ist zugleich Querschnittsanker für alle Fachportale. Auf jeder Portalseite sollte ein Bereich „Finanzierung / Wirkungsfonds“ auf die jeweilige Fondslogik verweisen.</w:t>
      </w:r>
    </w:p>
    <w:p>
      <w:pPr>
        <w:spacing w:after="120" w:line="264" w:lineRule="auto"/>
      </w:pPr>
      <w:r>
        <w:t>Die bestehende Rang-12-Seite sollte die Kurzfassung als Portaltext behalten. Dieses Konzept wird als Online-Volltext und Download ergänzt. Flache alte Texte werden als Kurzüberblick bezeichnet, nicht als Detailkonzept.</w:t>
      </w:r>
    </w:p>
    <w:p>
      <w:pPr>
        <w:pStyle w:val="Heading1"/>
      </w:pPr>
      <w:r>
        <w:t>Quellen und Anschlussdokumente</w:t>
      </w:r>
    </w:p>
    <w:p>
      <w:pPr>
        <w:spacing w:after="120" w:line="264" w:lineRule="auto"/>
      </w:pPr>
      <w:r>
        <w:t>European Commission: EU taxonomy for sustainable activities, https://finance.ec.europa.eu/sustainable-finance/tools-and-standards/eu-taxonomy-sustainable-activities_en</w:t>
      </w:r>
    </w:p>
    <w:p>
      <w:pPr>
        <w:spacing w:after="120" w:line="264" w:lineRule="auto"/>
      </w:pPr>
      <w:r>
        <w:t>European Commission: Corporate sustainability reporting / CSRD, https://finance.ec.europa.eu/financial-markets/company-reporting-and-auditing/company-reporting/corporate-sustainability-reporting_en</w:t>
      </w:r>
    </w:p>
    <w:p>
      <w:pPr>
        <w:spacing w:after="120" w:line="264" w:lineRule="auto"/>
      </w:pPr>
      <w:r>
        <w:t>European Banking Authority: Guidelines on the management of ESG risks, https://www.eba.europa.eu/activities/single-rulebook/regulatory-activities/sustainable-finance/guidelines-management-esg-risks</w:t>
      </w:r>
    </w:p>
    <w:p>
      <w:pPr>
        <w:spacing w:after="120" w:line="264" w:lineRule="auto"/>
      </w:pPr>
      <w:r>
        <w:t>EIOPA: Sustainable finance, https://www.eiopa.europa.eu/browse/sustainable-finance_en</w:t>
      </w:r>
    </w:p>
    <w:p>
      <w:pPr>
        <w:spacing w:after="120" w:line="264" w:lineRule="auto"/>
      </w:pPr>
      <w:r>
        <w:t>Wirkungsökonomie: Technische Leitlinien zum WUStG, WÖk-ID-Master Items, WStG, Systemmodell und Die neue Ordnung des Wohlstands.</w:t>
      </w:r>
    </w:p>
    <w:p>
      <w:pPr>
        <w:pStyle w:val="Heading1"/>
      </w:pPr>
      <w:r>
        <w:t>Fazit</w:t>
      </w:r>
    </w:p>
    <w:p>
      <w:pPr>
        <w:spacing w:after="120" w:line="264" w:lineRule="auto"/>
      </w:pPr>
      <w:r>
        <w:t>Wirkungsfonds übersetzen die Wirkungsökonomie in Finanzierung. Sie machen sichtbar, dass Zukunftsfähigkeit nicht nur eine politische Absicht ist, sondern eine Kapitalarchitektur braucht. Ihr Zweck ist nicht, alles zu verstaatlichen oder private Investitionen zu ersetzen. Ihr Zweck ist, Kapital dorthin zu lenken, wo es positive Netto-Wirkung erzeugt und langfristige Reparaturkosten vermeidet.</w:t>
      </w:r>
    </w:p>
    <w:sectPr w:rsidR="00FC693F" w:rsidRPr="0006063C" w:rsidSect="00034616">
      <w:headerReference w:type="default" r:id="rId9"/>
      <w:footerReference w:type="default" r:id="rId10"/>
      <w:pgSz w:w="12240" w:h="15840"/>
      <w:pgMar w:top="907" w:right="1020" w:bottom="85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6"/>
      </w:rPr>
      <w:t>© 2026 Natalie Weber · Wirkungsökonomie · öffentliche Arbeitsfassung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2F7D5C"/>
        <w:sz w:val="16"/>
      </w:rPr>
      <w:t>WIRKUNGSÖKONOMIE · FINANZSYSTEM &amp; KAPITAL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A2A2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eorgia" w:hAnsi="Georgia"/>
      <w:b/>
      <w:bCs/>
      <w:color w:val="0B1020"/>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eorgia" w:hAnsi="Georgia"/>
      <w:b/>
      <w:bCs/>
      <w:color w:val="0B102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eorgia" w:hAnsi="Georgia"/>
      <w:b/>
      <w:bCs/>
      <w:color w:val="2F7D5C"/>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Georgia" w:hAnsi="Georgia"/>
      <w:b/>
      <w:color w:val="0B102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