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mall"/>
        <w:jc w:val="right"/>
      </w:pPr>
      <w:r>
        <w:t>Wirkungsökonomie · Bildung &amp; Wirkungsschule · überarbeitete Pro-Fassung</w:t>
      </w:r>
    </w:p>
    <w:p/>
    <w:p/>
    <w:p/>
    <w:p/>
    <w:p/>
    <w:p>
      <w:pPr>
        <w:pStyle w:val="Title"/>
        <w:jc w:val="left"/>
      </w:pPr>
      <w:r>
        <w:t>Wirkungsschule</w:t>
      </w:r>
    </w:p>
    <w:p>
      <w:pPr>
        <w:pStyle w:val="Subtitle"/>
      </w:pPr>
      <w:r>
        <w:t>Wirkungspädagogik, Wirkungskompetenz und Bildung als Infrastruktur der Zukunft</w:t>
      </w:r>
    </w:p>
    <w:p>
      <w:pPr>
        <w:pStyle w:val="Deck"/>
      </w:pPr>
      <w:r>
        <w:t>Ein ausführlicher Artikel über Schule als Lern-, Lebens-, Demokratie-, Gesundheits- und Wirkungsraum - mit präziser Begriffslogik, pädagogischer Architektur, Umsetzungspfad und Schutzlinien gegen Vermessung.</w:t>
      </w:r>
    </w:p>
    <w:p/>
    <w:p/>
    <w:tbl>
      <w:tblPr>
        <w:tblW w:type="auto" w:w="0"/>
        <w:jc w:val="center"/>
        <w:tblLayout w:type="autofit"/>
        <w:tblLook w:firstColumn="1" w:firstRow="1" w:lastColumn="0" w:lastRow="0" w:noHBand="0" w:noVBand="1" w:val="04A0"/>
      </w:tblPr>
      <w:tblGrid>
        <w:gridCol w:w="9412"/>
      </w:tblGrid>
      <w:tr>
        <w:trPr>
          <w:cantSplit/>
        </w:trPr>
        <w:tc>
          <w:tcPr>
            <w:tcW w:type="dxa" w:w="9412"/>
            <w:shd w:fill="FFFFFF"/>
            <w:tcMar>
              <w:top w:w="180" w:type="dxa"/>
              <w:start w:w="220" w:type="dxa"/>
              <w:bottom w:w="180" w:type="dxa"/>
              <w:end w:w="220" w:type="dxa"/>
            </w:tcMar>
            <w:tcBorders>
              <w:top w:val="single" w:sz="8" w:color="D6A642"/>
              <w:left w:val="single" w:sz="8" w:color="D6A642"/>
              <w:bottom w:val="single" w:sz="8" w:color="D6A642"/>
              <w:right w:val="single" w:sz="8" w:color="D6A642"/>
            </w:tcBorders>
            <w:vAlign w:val="top"/>
          </w:tcPr>
          <w:p>
            <w:pPr>
              <w:pStyle w:val="CalloutTitle"/>
            </w:pPr>
            <w:r>
              <w:t>Leitformel</w:t>
            </w:r>
          </w:p>
          <w:p>
            <w:pPr>
              <w:pStyle w:val="CalloutBody"/>
            </w:pPr>
            <w:r>
              <w:t>Wirkung ist neutral und relational: Sie beschreibt die tatsächliche Veränderung von Zuständen. Bewertet wird Wirkung am Referenzrahmen der SDGs, der Agenda 2030 und SDG+. Ziel der Wirkungsökonomie ist positive Netto-Wirkung für Mensch, Planet und Demokratie.</w:t>
            </w:r>
          </w:p>
          <w:p>
            <w:pPr>
              <w:pStyle w:val="CalloutBody"/>
            </w:pPr>
            <w:r>
              <w:t>Die Wirkungsschule übersetzt diese Logik in Bildung: Schule wird nicht als Sortierapparat verstanden, sondern als Infrastruktur, in der Menschen lernen, Welt zu verstehen, Folgen zu erkennen und verantwortlich zu handeln.</w:t>
            </w:r>
          </w:p>
        </w:tc>
      </w:tr>
    </w:tbl>
    <w:p/>
    <w:p/>
    <w:p/>
    <w:p>
      <w:pPr>
        <w:pStyle w:val="CoverSmall"/>
      </w:pPr>
      <w:r>
        <w:t>Autorin: Natalie Weber | Begründerin der Wirkungsökonomie</w:t>
      </w:r>
    </w:p>
    <w:p>
      <w:pPr>
        <w:pStyle w:val="CoverSmall"/>
      </w:pPr>
      <w:r>
        <w:t>Stand: 27. Mai 2026 | Überarbeitete und erweiterte Fassung für Word</w:t>
      </w:r>
    </w:p>
    <w:p>
      <w:r>
        <w:br w:type="page"/>
      </w:r>
    </w:p>
    <w:p>
      <w:pPr>
        <w:pStyle w:val="Heading1"/>
      </w:pPr>
      <w:r>
        <w:t>Inhalt</w:t>
      </w:r>
    </w:p>
    <w:p>
      <w:pPr>
        <w:pStyle w:val="BodyText"/>
      </w:pPr>
      <w:r>
        <w:t>1. Kurzfassung: Die Wirkungsschule in zwölf Sätzen</w:t>
      </w:r>
    </w:p>
    <w:p>
      <w:pPr>
        <w:pStyle w:val="BodyText"/>
      </w:pPr>
      <w:r>
        <w:t>2. Warum Bildung neu gedacht werden muss</w:t>
      </w:r>
    </w:p>
    <w:p>
      <w:pPr>
        <w:pStyle w:val="BodyText"/>
      </w:pPr>
      <w:r>
        <w:t>3. Der wirkungsökonomische Perspektivwechsel</w:t>
      </w:r>
    </w:p>
    <w:p>
      <w:pPr>
        <w:pStyle w:val="BodyText"/>
      </w:pPr>
      <w:r>
        <w:t>4. Begriffe: Wirkung, Wirkungspotenzial und positive Netto-Wirkung</w:t>
      </w:r>
    </w:p>
    <w:p>
      <w:pPr>
        <w:pStyle w:val="BodyText"/>
      </w:pPr>
      <w:r>
        <w:t>5. Die Wirkungsschule: Schule als Wirkungsraum</w:t>
      </w:r>
    </w:p>
    <w:p>
      <w:pPr>
        <w:pStyle w:val="BodyText"/>
      </w:pPr>
      <w:r>
        <w:t>6. Wirkungspädagogik: Lernen als gestaltete Zustandsveränderung</w:t>
      </w:r>
    </w:p>
    <w:p>
      <w:pPr>
        <w:pStyle w:val="BodyText"/>
      </w:pPr>
      <w:r>
        <w:t>7. Wirkungskompetenz: die zentrale Bürger:innenkompetenz</w:t>
      </w:r>
    </w:p>
    <w:p>
      <w:pPr>
        <w:pStyle w:val="BodyText"/>
      </w:pPr>
      <w:r>
        <w:t>8. Basiskompetenzen und Zukunftskompetenzen verbinden</w:t>
      </w:r>
    </w:p>
    <w:p>
      <w:pPr>
        <w:pStyle w:val="BodyText"/>
      </w:pPr>
      <w:r>
        <w:t>9. Das Fach oder Lernfeld Zukunft</w:t>
      </w:r>
    </w:p>
    <w:p>
      <w:pPr>
        <w:pStyle w:val="BodyText"/>
      </w:pPr>
      <w:r>
        <w:t>10. Fächer neu denken, ohne Fachlichkeit zu verlieren</w:t>
      </w:r>
    </w:p>
    <w:p>
      <w:pPr>
        <w:pStyle w:val="BodyText"/>
      </w:pPr>
      <w:r>
        <w:t>11. Bewertung, Noten und Wirkungsportfolio</w:t>
      </w:r>
    </w:p>
    <w:p>
      <w:pPr>
        <w:pStyle w:val="BodyText"/>
      </w:pPr>
      <w:r>
        <w:t>12. Wirkungsförderung: Prävention, Potenzial und Teilhabe</w:t>
      </w:r>
    </w:p>
    <w:p>
      <w:pPr>
        <w:pStyle w:val="BodyText"/>
      </w:pPr>
      <w:r>
        <w:t>13. Digitale Mündigkeit, KI-Kompetenz und Medienwirkung</w:t>
      </w:r>
    </w:p>
    <w:p>
      <w:pPr>
        <w:pStyle w:val="BodyText"/>
      </w:pPr>
      <w:r>
        <w:t>14. Demokratie-, Diskurs- und Resonanzkompetenz</w:t>
      </w:r>
    </w:p>
    <w:p>
      <w:pPr>
        <w:pStyle w:val="BodyText"/>
      </w:pPr>
      <w:r>
        <w:t>15. Schule als Gesundheits-, Schutz- und Beziehungsraum</w:t>
      </w:r>
    </w:p>
    <w:p>
      <w:pPr>
        <w:pStyle w:val="BodyText"/>
      </w:pPr>
      <w:r>
        <w:t>16. Inklusion, Vielfalt, Migration und Begabung</w:t>
      </w:r>
    </w:p>
    <w:p>
      <w:pPr>
        <w:pStyle w:val="BodyText"/>
      </w:pPr>
      <w:r>
        <w:t>17. Lehrkräfte, Teams, Schulleitung und Bildungsnetzwerke</w:t>
      </w:r>
    </w:p>
    <w:p>
      <w:pPr>
        <w:pStyle w:val="BodyText"/>
      </w:pPr>
      <w:r>
        <w:t>18. Messung ohne Vermessung: BWK, Scorecards und WÖk-IDs</w:t>
      </w:r>
    </w:p>
    <w:p>
      <w:pPr>
        <w:pStyle w:val="BodyText"/>
      </w:pPr>
      <w:r>
        <w:t>19. Umsetzungspfad: von der Modellschule zur Bildungswirkungsarchitektur</w:t>
      </w:r>
    </w:p>
    <w:p>
      <w:pPr>
        <w:pStyle w:val="BodyText"/>
      </w:pPr>
      <w:r>
        <w:t>20. Grenzen, Risiken und Schutzmechanismen</w:t>
      </w:r>
    </w:p>
    <w:p>
      <w:pPr>
        <w:pStyle w:val="BodyText"/>
      </w:pPr>
      <w:r>
        <w:t>21. Praxisbeispiel: Das Schulhof-Hitze-Projekt</w:t>
      </w:r>
    </w:p>
    <w:p>
      <w:pPr>
        <w:pStyle w:val="BodyText"/>
      </w:pPr>
      <w:r>
        <w:t>22. Anschlussfähigkeit: BNE, Future Skills, IDGs und Wirkungskompetenz</w:t>
      </w:r>
    </w:p>
    <w:p>
      <w:pPr>
        <w:pStyle w:val="BodyText"/>
      </w:pPr>
      <w:r>
        <w:t>23. Was verschiedene Akteure gewinnen</w:t>
      </w:r>
    </w:p>
    <w:p>
      <w:pPr>
        <w:pStyle w:val="BodyText"/>
      </w:pPr>
      <w:r>
        <w:t>24. Fazit: Bildung als Wirkungsgrad der Zukunft</w:t>
      </w:r>
    </w:p>
    <w:p>
      <w:pPr>
        <w:pStyle w:val="BodyText"/>
      </w:pPr>
      <w:r>
        <w:t>Anhang A: Begriffslandkarte</w:t>
      </w:r>
    </w:p>
    <w:p>
      <w:pPr>
        <w:pStyle w:val="BodyText"/>
      </w:pPr>
      <w:r>
        <w:t>Anhang B: Instrumente und Methoden</w:t>
      </w:r>
    </w:p>
    <w:p>
      <w:pPr>
        <w:pStyle w:val="BodyText"/>
      </w:pPr>
      <w:r>
        <w:t>Anhang C: Quellen und Bezugslinien</w:t>
      </w:r>
    </w:p>
    <w:p>
      <w:r>
        <w:br w:type="page"/>
      </w:r>
    </w:p>
    <w:p>
      <w:pPr>
        <w:pStyle w:val="Heading1"/>
      </w:pPr>
      <w:r>
        <w:t>1. Kurzfassung: Die Wirkungsschule in zwölf Sätzen</w:t>
      </w:r>
    </w:p>
    <w:p>
      <w:pPr>
        <w:pStyle w:val="ListNumber"/>
      </w:pPr>
      <w:r>
        <w:t>Die Wirkungsschule ist die bildungspolitische Übersetzung der Wirkungsökonomie: Sie fragt, welche Zustandsveränderungen Schule für Mensch, Planet und Demokratie erzeugt.</w:t>
      </w:r>
    </w:p>
    <w:p>
      <w:pPr>
        <w:pStyle w:val="ListNumber"/>
      </w:pPr>
      <w:r>
        <w:t>Sie reduziert Bildung nicht auf Noten, Stoffmengen, Abschlüsse oder spätere Arbeitsmarktfähigkeit, sondern versteht Bildung als gesellschaftliche Wirkungsinfrastruktur.</w:t>
      </w:r>
    </w:p>
    <w:p>
      <w:pPr>
        <w:pStyle w:val="ListNumber"/>
      </w:pPr>
      <w:r>
        <w:t>Wirkung ist dabei nicht automatisch positiv; sie wird am Referenzrahmen von SDGs, Agenda 2030 und SDG+ bewertet.</w:t>
      </w:r>
    </w:p>
    <w:p>
      <w:pPr>
        <w:pStyle w:val="ListNumber"/>
      </w:pPr>
      <w:r>
        <w:t>Wirkungspädagogik bedeutet nicht, Kinder zu vermessen, sondern Lernräume so zu gestalten, dass Selbstwirksamkeit, Urteilskraft, Verantwortung und Fachlichkeit zusammenwachsen.</w:t>
      </w:r>
    </w:p>
    <w:p>
      <w:pPr>
        <w:pStyle w:val="ListNumber"/>
      </w:pPr>
      <w:r>
        <w:t>Wirkungskompetenz ist die Fähigkeit, Wirkung, Wirkungspotenziale, Nebenwirkungen, Rückkopplungen, Zielkonflikte und Verantwortung zu erkennen, zu bewerten und handlungsfähig zu gestalten.</w:t>
      </w:r>
    </w:p>
    <w:p>
      <w:pPr>
        <w:pStyle w:val="ListNumber"/>
      </w:pPr>
      <w:r>
        <w:t>Eine Wirkungsschule bleibt fachlich anspruchsvoll: Lesen, Schreiben, Rechnen, Naturwissenschaften, Geschichte, Sprachen, Kunst und digitale Grundbildung sind Grundlage jeder weiteren Wirkungskompetenz.</w:t>
      </w:r>
    </w:p>
    <w:p>
      <w:pPr>
        <w:pStyle w:val="ListNumber"/>
      </w:pPr>
      <w:r>
        <w:t>Das Fach oder Lernfeld Zukunft verbindet diese Fächer über reale Wirkungsfragen: Klima, Gesundheit, Medien, Demokratie, Arbeit, Technik, Wirtschaft, Pflege, Stadt und Alltag.</w:t>
      </w:r>
    </w:p>
    <w:p>
      <w:pPr>
        <w:pStyle w:val="ListNumber"/>
      </w:pPr>
      <w:r>
        <w:t>Bewertung wird ergänzt: Noten können Orientierung geben, aber Portfolios, Feedback, Lernwege und Projektwirkung machen Entwicklung sichtbar, ohne Kinder auf Scores zu reduzieren.</w:t>
      </w:r>
    </w:p>
    <w:p>
      <w:pPr>
        <w:pStyle w:val="ListNumber"/>
      </w:pPr>
      <w:r>
        <w:t>Digitale Mündigkeit bedeutet mehr als Geräteausstattung: Schülerinnen und Schüler lernen Daten, KI, Plattformlogiken, Quellen, Aufmerksamkeit, Datenschutz und Manipulation zu verstehen.</w:t>
      </w:r>
    </w:p>
    <w:p>
      <w:pPr>
        <w:pStyle w:val="ListNumber"/>
      </w:pPr>
      <w:r>
        <w:t>Schule ist auch Gesundheits- und Schutzraum: Licht, Lärm, Hitze, Pausen, Bewegung, Ernährung, Sicherheit, Zugehörigkeit und Beziehung wirken direkt auf Lernen.</w:t>
      </w:r>
    </w:p>
    <w:p>
      <w:pPr>
        <w:pStyle w:val="ListNumber"/>
      </w:pPr>
      <w:r>
        <w:t>Wirkungsmessung darf im Bildungsbereich nur Strukturen, Angebote und Lernbedingungen verbessern; sie darf keine personenbezogene Rangordnung von Kindern, Familien oder Lehrkräften erzeugen.</w:t>
      </w:r>
    </w:p>
    <w:p>
      <w:pPr>
        <w:pStyle w:val="ListNumber"/>
      </w:pPr>
      <w:r>
        <w:t>Die Wirkungsschule ist kein abgeschlossenes Reformprogramm, sondern eine lernende Architektur: Pilotieren, evaluieren, schützen, korrigieren und demokratisch weiterentwickeln.</w:t>
      </w:r>
    </w:p>
    <w:tbl>
      <w:tblPr>
        <w:tblW w:type="auto" w:w="0"/>
        <w:jc w:val="center"/>
        <w:tblLayout w:type="autofit"/>
        <w:tblLook w:firstColumn="1" w:firstRow="1" w:lastColumn="0" w:lastRow="0" w:noHBand="0" w:noVBand="1" w:val="04A0"/>
      </w:tblPr>
      <w:tblGrid>
        <w:gridCol w:w="9412"/>
      </w:tblGrid>
      <w:tr>
        <w:trPr>
          <w:cantSplit/>
        </w:trPr>
        <w:tc>
          <w:tcPr>
            <w:tcW w:type="dxa" w:w="9412"/>
            <w:shd w:fill="DCEBF0"/>
            <w:tcMar>
              <w:top w:w="180" w:type="dxa"/>
              <w:start w:w="220" w:type="dxa"/>
              <w:bottom w:w="180" w:type="dxa"/>
              <w:end w:w="220" w:type="dxa"/>
            </w:tcMar>
            <w:tcBorders>
              <w:top w:val="single" w:sz="8" w:color="1F4E5F"/>
              <w:left w:val="single" w:sz="8" w:color="1F4E5F"/>
              <w:bottom w:val="single" w:sz="8" w:color="1F4E5F"/>
              <w:right w:val="single" w:sz="8" w:color="1F4E5F"/>
            </w:tcBorders>
            <w:vAlign w:val="top"/>
          </w:tcPr>
          <w:p>
            <w:pPr>
              <w:pStyle w:val="CalloutTitle"/>
            </w:pPr>
            <w:r>
              <w:t>Kernthese</w:t>
            </w:r>
          </w:p>
          <w:p>
            <w:pPr>
              <w:pStyle w:val="CalloutBody"/>
            </w:pPr>
            <w:r>
              <w:t>Eine Schule wird nicht dadurch zukunftsfähig, dass sie noch mehr Anforderungen in denselben Stundenplan presst. Sie wird zukunftsfähig, wenn sie ihre gesamte Architektur - Unterricht, Raum, Beziehung, Bewertung, Förderung, digitale Kultur und Demokratiepraxis - auf positive Netto-Wirkung ausrichtet.</w:t>
            </w:r>
          </w:p>
        </w:tc>
      </w:tr>
    </w:tbl>
    <w:p/>
    <w:p>
      <w:pPr>
        <w:pStyle w:val="Heading1"/>
      </w:pPr>
      <w:r>
        <w:t>2. Warum Bildung neu gedacht werden muss</w:t>
      </w:r>
    </w:p>
    <w:p>
      <w:pPr>
        <w:pStyle w:val="BodyText"/>
      </w:pPr>
      <w:r>
        <w:t>Bildung steht heute unter einem Druck, der sich nicht mit einem einzelnen Reforminstrument lösen lässt. Einerseits bleiben Basiskompetenzen, Chancengerechtigkeit, Übergänge und Ausstattung zentrale Baustellen. Andererseits verändern Klimakrise, Digitalisierung, KI, soziale Spaltung, psychische Belastungen, Desinformation und demokratische Polarisierung die Welt, in der Kinder und Jugendliche handlungsfähig werden müssen. Schule kann darauf nicht nur mit mehr Stoff reagieren. Sie braucht einen anderen Kompass.</w:t>
      </w:r>
    </w:p>
    <w:p>
      <w:pPr>
        <w:pStyle w:val="BodyText"/>
      </w:pPr>
      <w:r>
        <w:t>Die alte Logik behandelt Schule häufig als Stoffvermittlungs-, Prüfungs- und Sortiersystem. Was gelernt wurde, erscheint in Klassenarbeiten, Abschlüssen, Quoten oder Vergleichstests. Diese Daten sind nicht wertlos. Ohne Lesen, Schreiben, Rechnen, wissenschaftliche Grundkompetenzen und verlässliche Rückmeldung gibt es keine gute Bildung. Aber sie bleiben unvollständig, wenn sie nicht zeigen, ob Menschen Zusammenhänge verstehen, mit Unsicherheit umgehen, demokratisch streiten, digitale Räume prüfen, Verantwortung übernehmen und Selbstwirksamkeit erleben können.</w:t>
      </w:r>
    </w:p>
    <w:p>
      <w:pPr>
        <w:pStyle w:val="BodyText"/>
      </w:pPr>
      <w:r>
        <w:t>Bildung wirkt lange vor dem Arbeitsmarkt. Sie prägt Sprache, Vertrauen, Gesundheitsverhalten, Konfliktfähigkeit, Zugehörigkeit, Neugier, Mut, Urteilskraft, Medienverhalten und Zukunftserwartung. Sie entscheidet mit darüber, ob Menschen sich als Getriebene eines Systems erleben oder als Mitgestaltende ihres Lebens und ihrer Demokratie. Deshalb ist Bildung in der Wirkungsökonomie kein Kostenblock. Sie ist Prävention, Resilienz und Systemleistung.</w:t>
      </w:r>
    </w:p>
    <w:p>
      <w:pPr>
        <w:pStyle w:val="BodyText"/>
      </w:pPr>
      <w:r>
        <w:t>Gerade deshalb darf eine wirkungsorientierte Bildung nicht in eine neue pädagogische Modeformel abrutschen. Es geht nicht darum, Schule moralisch aufzuladen oder Kinder zu Zukunftsprojekten zu instrumentalisieren. Es geht darum, die tatsächlichen Wirkungen von Bildungsräumen ernst zu nehmen: Was macht ein Schultag mit Aufmerksamkeit, Gesundheit, Selbstvertrauen, Wissen, Zugehörigkeit und demokratischer Handlungsfähigkeit? Welche Strukturen stärken Kinder? Welche beschämen, überfordern oder schließen aus? Welche Daten helfen, und welche gefährden Freiheit?</w:t>
      </w:r>
    </w:p>
    <w:p>
      <w:pPr>
        <w:pStyle w:val="Heading1"/>
      </w:pPr>
      <w:r>
        <w:t>3. Der wirkungsökonomische Perspektivwechsel</w:t>
      </w:r>
    </w:p>
    <w:p>
      <w:pPr>
        <w:pStyle w:val="BodyText"/>
      </w:pPr>
      <w:r>
        <w:t>Der Perspektivwechsel beginnt mit einer einfachen Verschiebung: Schule wird nicht zuerst nach Input, Output oder Ranking betrachtet, sondern nach Wirkung. Input ist wichtig: Räume, Personal, Zeit, Materialien, Geld und digitale Infrastruktur müssen vorhanden sein. Output ist wichtig: Aufgaben, Prüfungen, Abschlüsse und Kompetenzen zeigen etwas an. Aber Wirkung fragt weiter: Welche Zustände verändern sich? Wer profitiert? Wer wird übersehen? Welche Nebenwirkungen entstehen? Was stabilisiert sich langfristig?</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3137"/>
            <w:shd w:fill="1F4E5F"/>
            <w:vAlign w:val="top"/>
            <w:tcMar>
              <w:top w:w="120" w:type="dxa"/>
              <w:start w:w="120" w:type="dxa"/>
              <w:bottom w:w="120" w:type="dxa"/>
              <w:end w:w="120" w:type="dxa"/>
            </w:tcMar>
          </w:tcPr>
          <w:p>
            <w:pPr>
              <w:pStyle w:val="TableHeaderText"/>
            </w:pPr>
            <w:r>
              <w:t>Alte Logik</w:t>
            </w:r>
          </w:p>
        </w:tc>
        <w:tc>
          <w:tcPr>
            <w:tcW w:type="dxa" w:w="3137"/>
            <w:shd w:fill="1F4E5F"/>
            <w:vAlign w:val="top"/>
            <w:tcMar>
              <w:top w:w="120" w:type="dxa"/>
              <w:start w:w="120" w:type="dxa"/>
              <w:bottom w:w="120" w:type="dxa"/>
              <w:end w:w="120" w:type="dxa"/>
            </w:tcMar>
          </w:tcPr>
          <w:p>
            <w:pPr>
              <w:pStyle w:val="TableHeaderText"/>
            </w:pPr>
            <w:r>
              <w:t>Wirkungsökonomische Logik</w:t>
            </w:r>
          </w:p>
        </w:tc>
        <w:tc>
          <w:tcPr>
            <w:tcW w:type="dxa" w:w="3137"/>
            <w:shd w:fill="1F4E5F"/>
            <w:vAlign w:val="top"/>
            <w:tcMar>
              <w:top w:w="120" w:type="dxa"/>
              <w:start w:w="120" w:type="dxa"/>
              <w:bottom w:w="120" w:type="dxa"/>
              <w:end w:w="120" w:type="dxa"/>
            </w:tcMar>
          </w:tcPr>
          <w:p>
            <w:pPr>
              <w:pStyle w:val="TableHeaderText"/>
            </w:pPr>
            <w:r>
              <w:t>Konsequenz</w:t>
            </w:r>
          </w:p>
        </w:tc>
      </w:tr>
      <w:tr>
        <w:trPr>
          <w:cantSplit/>
        </w:trPr>
        <w:tc>
          <w:tcPr>
            <w:tcW w:type="dxa" w:w="3137"/>
            <w:shd w:fill="F2F7F9"/>
            <w:tcMar>
              <w:top w:w="120" w:type="dxa"/>
              <w:start w:w="120" w:type="dxa"/>
              <w:bottom w:w="120" w:type="dxa"/>
              <w:end w:w="120" w:type="dxa"/>
            </w:tcMar>
            <w:vAlign w:val="top"/>
          </w:tcPr>
          <w:p>
            <w:pPr>
              <w:pStyle w:val="TableBodyText"/>
            </w:pPr>
            <w:r>
              <w:t>Schule vermittelt Stoff.</w:t>
            </w:r>
          </w:p>
        </w:tc>
        <w:tc>
          <w:tcPr>
            <w:tcW w:type="dxa" w:w="3137"/>
            <w:tcMar>
              <w:top w:w="120" w:type="dxa"/>
              <w:start w:w="120" w:type="dxa"/>
              <w:bottom w:w="120" w:type="dxa"/>
              <w:end w:w="120" w:type="dxa"/>
            </w:tcMar>
            <w:vAlign w:val="top"/>
          </w:tcPr>
          <w:p>
            <w:pPr>
              <w:pStyle w:val="TableBodyText"/>
            </w:pPr>
            <w:r>
              <w:t>Schule gestaltet Lern-, Lebens- und Wirkungsräume.</w:t>
            </w:r>
          </w:p>
        </w:tc>
        <w:tc>
          <w:tcPr>
            <w:tcW w:type="dxa" w:w="3137"/>
            <w:tcMar>
              <w:top w:w="120" w:type="dxa"/>
              <w:start w:w="120" w:type="dxa"/>
              <w:bottom w:w="120" w:type="dxa"/>
              <w:end w:w="120" w:type="dxa"/>
            </w:tcMar>
            <w:vAlign w:val="top"/>
          </w:tcPr>
          <w:p>
            <w:pPr>
              <w:pStyle w:val="TableBodyText"/>
            </w:pPr>
            <w:r>
              <w:t>Unterricht, Raum, Beziehung und Organisation werden gemeinsam betrachtet.</w:t>
            </w:r>
          </w:p>
        </w:tc>
      </w:tr>
      <w:tr>
        <w:trPr>
          <w:cantSplit/>
        </w:trPr>
        <w:tc>
          <w:tcPr>
            <w:tcW w:type="dxa" w:w="3137"/>
            <w:shd w:fill="F2F7F9"/>
            <w:tcMar>
              <w:top w:w="120" w:type="dxa"/>
              <w:start w:w="120" w:type="dxa"/>
              <w:bottom w:w="120" w:type="dxa"/>
              <w:end w:w="120" w:type="dxa"/>
            </w:tcMar>
            <w:vAlign w:val="top"/>
          </w:tcPr>
          <w:p>
            <w:pPr>
              <w:pStyle w:val="TableBodyText"/>
            </w:pPr>
            <w:r>
              <w:t>Noten sind Hauptmaßstab.</w:t>
            </w:r>
          </w:p>
        </w:tc>
        <w:tc>
          <w:tcPr>
            <w:tcW w:type="dxa" w:w="3137"/>
            <w:tcMar>
              <w:top w:w="120" w:type="dxa"/>
              <w:start w:w="120" w:type="dxa"/>
              <w:bottom w:w="120" w:type="dxa"/>
              <w:end w:w="120" w:type="dxa"/>
            </w:tcMar>
            <w:vAlign w:val="top"/>
          </w:tcPr>
          <w:p>
            <w:pPr>
              <w:pStyle w:val="TableBodyText"/>
            </w:pPr>
            <w:r>
              <w:t>Leistung wird breiter sichtbar: Wissen, Anwendung, Reflexion, Kooperation, Korrektur.</w:t>
            </w:r>
          </w:p>
        </w:tc>
        <w:tc>
          <w:tcPr>
            <w:tcW w:type="dxa" w:w="3137"/>
            <w:tcMar>
              <w:top w:w="120" w:type="dxa"/>
              <w:start w:w="120" w:type="dxa"/>
              <w:bottom w:w="120" w:type="dxa"/>
              <w:end w:w="120" w:type="dxa"/>
            </w:tcMar>
            <w:vAlign w:val="top"/>
          </w:tcPr>
          <w:p>
            <w:pPr>
              <w:pStyle w:val="TableBodyText"/>
            </w:pPr>
            <w:r>
              <w:t>Noten können bleiben, aber sie verlieren ihren Alleinanspruch.</w:t>
            </w:r>
          </w:p>
        </w:tc>
      </w:tr>
      <w:tr>
        <w:trPr>
          <w:cantSplit/>
        </w:trPr>
        <w:tc>
          <w:tcPr>
            <w:tcW w:type="dxa" w:w="3137"/>
            <w:shd w:fill="F2F7F9"/>
            <w:tcMar>
              <w:top w:w="120" w:type="dxa"/>
              <w:start w:w="120" w:type="dxa"/>
              <w:bottom w:w="120" w:type="dxa"/>
              <w:end w:w="120" w:type="dxa"/>
            </w:tcMar>
            <w:vAlign w:val="top"/>
          </w:tcPr>
          <w:p>
            <w:pPr>
              <w:pStyle w:val="TableBodyText"/>
            </w:pPr>
            <w:r>
              <w:t>Förderung beginnt beim Defizit.</w:t>
            </w:r>
          </w:p>
        </w:tc>
        <w:tc>
          <w:tcPr>
            <w:tcW w:type="dxa" w:w="3137"/>
            <w:tcMar>
              <w:top w:w="120" w:type="dxa"/>
              <w:start w:w="120" w:type="dxa"/>
              <w:bottom w:w="120" w:type="dxa"/>
              <w:end w:w="120" w:type="dxa"/>
            </w:tcMar>
            <w:vAlign w:val="top"/>
          </w:tcPr>
          <w:p>
            <w:pPr>
              <w:pStyle w:val="TableBodyText"/>
            </w:pPr>
            <w:r>
              <w:t>Förderung beginnt bei Potenzialen, Risiken und Teilhabehindernissen.</w:t>
            </w:r>
          </w:p>
        </w:tc>
        <w:tc>
          <w:tcPr>
            <w:tcW w:type="dxa" w:w="3137"/>
            <w:tcMar>
              <w:top w:w="120" w:type="dxa"/>
              <w:start w:w="120" w:type="dxa"/>
              <w:bottom w:w="120" w:type="dxa"/>
              <w:end w:w="120" w:type="dxa"/>
            </w:tcMar>
            <w:vAlign w:val="top"/>
          </w:tcPr>
          <w:p>
            <w:pPr>
              <w:pStyle w:val="TableBodyText"/>
            </w:pPr>
            <w:r>
              <w:t>Prävention wird wichtiger als Reparatur.</w:t>
            </w:r>
          </w:p>
        </w:tc>
      </w:tr>
      <w:tr>
        <w:trPr>
          <w:cantSplit/>
        </w:trPr>
        <w:tc>
          <w:tcPr>
            <w:tcW w:type="dxa" w:w="3137"/>
            <w:shd w:fill="F2F7F9"/>
            <w:tcMar>
              <w:top w:w="120" w:type="dxa"/>
              <w:start w:w="120" w:type="dxa"/>
              <w:bottom w:w="120" w:type="dxa"/>
              <w:end w:w="120" w:type="dxa"/>
            </w:tcMar>
            <w:vAlign w:val="top"/>
          </w:tcPr>
          <w:p>
            <w:pPr>
              <w:pStyle w:val="TableBodyText"/>
            </w:pPr>
            <w:r>
              <w:t>Digitalisierung ist Geräteausstattung.</w:t>
            </w:r>
          </w:p>
        </w:tc>
        <w:tc>
          <w:tcPr>
            <w:tcW w:type="dxa" w:w="3137"/>
            <w:tcMar>
              <w:top w:w="120" w:type="dxa"/>
              <w:start w:w="120" w:type="dxa"/>
              <w:bottom w:w="120" w:type="dxa"/>
              <w:end w:w="120" w:type="dxa"/>
            </w:tcMar>
            <w:vAlign w:val="top"/>
          </w:tcPr>
          <w:p>
            <w:pPr>
              <w:pStyle w:val="TableBodyText"/>
            </w:pPr>
            <w:r>
              <w:t>Digitale Mündigkeit ist Urteilskraft über Daten, KI, Plattformen und Aufmerksamkeit.</w:t>
            </w:r>
          </w:p>
        </w:tc>
        <w:tc>
          <w:tcPr>
            <w:tcW w:type="dxa" w:w="3137"/>
            <w:tcMar>
              <w:top w:w="120" w:type="dxa"/>
              <w:start w:w="120" w:type="dxa"/>
              <w:bottom w:w="120" w:type="dxa"/>
              <w:end w:w="120" w:type="dxa"/>
            </w:tcMar>
            <w:vAlign w:val="top"/>
          </w:tcPr>
          <w:p>
            <w:pPr>
              <w:pStyle w:val="TableBodyText"/>
            </w:pPr>
            <w:r>
              <w:t>Technik wird pädagogisch, ethisch und demokratisch eingeordnet.</w:t>
            </w:r>
          </w:p>
        </w:tc>
      </w:tr>
      <w:tr>
        <w:trPr>
          <w:cantSplit/>
        </w:trPr>
        <w:tc>
          <w:tcPr>
            <w:tcW w:type="dxa" w:w="3137"/>
            <w:shd w:fill="F2F7F9"/>
            <w:tcMar>
              <w:top w:w="120" w:type="dxa"/>
              <w:start w:w="120" w:type="dxa"/>
              <w:bottom w:w="120" w:type="dxa"/>
              <w:end w:w="120" w:type="dxa"/>
            </w:tcMar>
            <w:vAlign w:val="top"/>
          </w:tcPr>
          <w:p>
            <w:pPr>
              <w:pStyle w:val="TableBodyText"/>
            </w:pPr>
            <w:r>
              <w:t>Bildung ist Kostenstelle.</w:t>
            </w:r>
          </w:p>
        </w:tc>
        <w:tc>
          <w:tcPr>
            <w:tcW w:type="dxa" w:w="3137"/>
            <w:tcMar>
              <w:top w:w="120" w:type="dxa"/>
              <w:start w:w="120" w:type="dxa"/>
              <w:bottom w:w="120" w:type="dxa"/>
              <w:end w:w="120" w:type="dxa"/>
            </w:tcMar>
            <w:vAlign w:val="top"/>
          </w:tcPr>
          <w:p>
            <w:pPr>
              <w:pStyle w:val="TableBodyText"/>
            </w:pPr>
            <w:r>
              <w:t>Bildung ist gesellschaftliche Wirkungsinfrastruktur.</w:t>
            </w:r>
          </w:p>
        </w:tc>
        <w:tc>
          <w:tcPr>
            <w:tcW w:type="dxa" w:w="3137"/>
            <w:tcMar>
              <w:top w:w="120" w:type="dxa"/>
              <w:start w:w="120" w:type="dxa"/>
              <w:bottom w:w="120" w:type="dxa"/>
              <w:end w:w="120" w:type="dxa"/>
            </w:tcMar>
            <w:vAlign w:val="top"/>
          </w:tcPr>
          <w:p>
            <w:pPr>
              <w:pStyle w:val="TableBodyText"/>
            </w:pPr>
            <w:r>
              <w:t>Investitionen werden an langfristiger Resilienz und Teilhabe bewertet.</w:t>
            </w:r>
          </w:p>
        </w:tc>
      </w:tr>
    </w:tbl>
    <w:p>
      <w:pPr>
        <w:pStyle w:val="BodyText"/>
      </w:pPr>
      <w:r>
        <w:t>Dieser Perspektivwechsel macht Bildung nicht weicher. Er macht sie präziser. Er zwingt dazu, zwischen Tätigkeit und Wirkung zu unterscheiden. Eine Schule kann viele Projekte durchführen und dennoch wenig verändern. Eine Reform kann gut gemeint sein und trotzdem Belastung erhöhen. Eine digitale Plattform kann modern wirken und gleichzeitig Aufmerksamkeit, Datenschutz oder soziale Teilhabe schwächen. Wirkungsschule heißt deshalb: nicht mehr nur Aktivität zählen, sondern Rückwirkungen verstehen.</w:t>
      </w:r>
    </w:p>
    <w:p>
      <w:pPr>
        <w:pStyle w:val="BodyText"/>
      </w:pPr>
      <w:r>
        <w:t>Der Maßstab bleibt demokratisch offen. Die Wirkungsökonomie sagt nicht, welche Partei welche Schulform bevorzugen muss. Sie legt aber einen Prüfrahmen nahe: Stärkt eine Entscheidung Würde, Teilhabe, Bildungsgerechtigkeit, Gesundheit, Zukunftsfähigkeit, Medienqualität, digitale Selbstbestimmung und demokratische Korrekturfähigkeit? Oder erzeugt sie Ausschluss, Beschämung, Überwachung, Überforderung oder neue Abhängigkeiten?</w:t>
      </w:r>
    </w:p>
    <w:p>
      <w:pPr>
        <w:pStyle w:val="Heading1"/>
      </w:pPr>
      <w:r>
        <w:t>4. Begriffe: Wirkung, Wirkungspotenzial und positive Netto-Wirkung</w:t>
      </w:r>
    </w:p>
    <w:p>
      <w:pPr>
        <w:pStyle w:val="BodyText"/>
      </w:pPr>
      <w:r>
        <w:t>Eine präzise Sprache ist entscheidend, damit Wirkungsschule nicht missverstanden wird. Wirkung ist in der Wirkungsökonomie zunächst neutral. Sie bedeutet: tatsächliche Veränderung von Zuständen. Diese Veränderung kann positiv, negativ oder neutral sein. Ein Unterrichtsgespräch kann Verständnis vertiefen, aber auch beschämen. Ein Portfolio kann Selbstwirksamkeit stärken, aber auch zur Überwachung werden. Eine Schulregel kann Sicherheit erhöhen, aber auch Beteiligung schwächen. Erst die Bewertung am Referenzrahmen entscheidet, ob eine Wirkung positiv oder negativ eingeordnet wird.</w:t>
      </w:r>
    </w:p>
    <w:tbl>
      <w:tblPr>
        <w:tblStyle w:val="TableGrid"/>
        <w:tblW w:type="auto" w:w="0"/>
        <w:jc w:val="center"/>
        <w:tblLook w:firstColumn="1" w:firstRow="1" w:lastColumn="0" w:lastRow="0" w:noHBand="0" w:noVBand="1" w:val="04A0"/>
      </w:tblPr>
      <w:tblGrid>
        <w:gridCol w:w="4706"/>
        <w:gridCol w:w="4706"/>
      </w:tblGrid>
      <w:tr>
        <w:trPr>
          <w:tblHeader w:val="true"/>
          <w:cantSplit/>
        </w:trPr>
        <w:tc>
          <w:tcPr>
            <w:tcW w:type="dxa" w:w="4706"/>
            <w:shd w:fill="1F4E5F"/>
            <w:vAlign w:val="top"/>
            <w:tcMar>
              <w:top w:w="120" w:type="dxa"/>
              <w:start w:w="120" w:type="dxa"/>
              <w:bottom w:w="120" w:type="dxa"/>
              <w:end w:w="120" w:type="dxa"/>
            </w:tcMar>
          </w:tcPr>
          <w:p>
            <w:pPr>
              <w:pStyle w:val="TableHeaderText"/>
            </w:pPr>
            <w:r>
              <w:t>Begriff</w:t>
            </w:r>
          </w:p>
        </w:tc>
        <w:tc>
          <w:tcPr>
            <w:tcW w:type="dxa" w:w="4706"/>
            <w:shd w:fill="1F4E5F"/>
            <w:vAlign w:val="top"/>
            <w:tcMar>
              <w:top w:w="120" w:type="dxa"/>
              <w:start w:w="120" w:type="dxa"/>
              <w:bottom w:w="120" w:type="dxa"/>
              <w:end w:w="120" w:type="dxa"/>
            </w:tcMar>
          </w:tcPr>
          <w:p>
            <w:pPr>
              <w:pStyle w:val="TableHeaderText"/>
            </w:pPr>
            <w:r>
              <w:t>Präzise Verwendung im Bildungsbereich</w:t>
            </w:r>
          </w:p>
        </w:tc>
      </w:tr>
      <w:tr>
        <w:trPr>
          <w:cantSplit/>
        </w:trPr>
        <w:tc>
          <w:tcPr>
            <w:tcW w:type="dxa" w:w="4706"/>
            <w:shd w:fill="F2F7F9"/>
            <w:tcMar>
              <w:top w:w="120" w:type="dxa"/>
              <w:start w:w="120" w:type="dxa"/>
              <w:bottom w:w="120" w:type="dxa"/>
              <w:end w:w="120" w:type="dxa"/>
            </w:tcMar>
            <w:vAlign w:val="top"/>
          </w:tcPr>
          <w:p>
            <w:pPr>
              <w:pStyle w:val="TableBodyText"/>
            </w:pPr>
            <w:r>
              <w:t>Wirkung</w:t>
            </w:r>
          </w:p>
        </w:tc>
        <w:tc>
          <w:tcPr>
            <w:tcW w:type="dxa" w:w="4706"/>
            <w:tcMar>
              <w:top w:w="120" w:type="dxa"/>
              <w:start w:w="120" w:type="dxa"/>
              <w:bottom w:w="120" w:type="dxa"/>
              <w:end w:w="120" w:type="dxa"/>
            </w:tcMar>
            <w:vAlign w:val="top"/>
          </w:tcPr>
          <w:p>
            <w:pPr>
              <w:pStyle w:val="TableBodyText"/>
            </w:pPr>
            <w:r>
              <w:t>Tatsächliche Zustandsveränderung, zum Beispiel mehr Verständnis, mehr Angst, bessere Teilhabe oder stärkere Ausgrenzung.</w:t>
            </w:r>
          </w:p>
        </w:tc>
      </w:tr>
      <w:tr>
        <w:trPr>
          <w:cantSplit/>
        </w:trPr>
        <w:tc>
          <w:tcPr>
            <w:tcW w:type="dxa" w:w="4706"/>
            <w:shd w:fill="F2F7F9"/>
            <w:tcMar>
              <w:top w:w="120" w:type="dxa"/>
              <w:start w:w="120" w:type="dxa"/>
              <w:bottom w:w="120" w:type="dxa"/>
              <w:end w:w="120" w:type="dxa"/>
            </w:tcMar>
            <w:vAlign w:val="top"/>
          </w:tcPr>
          <w:p>
            <w:pPr>
              <w:pStyle w:val="TableBodyText"/>
            </w:pPr>
            <w:r>
              <w:t>Wirkungspotenzial</w:t>
            </w:r>
          </w:p>
        </w:tc>
        <w:tc>
          <w:tcPr>
            <w:tcW w:type="dxa" w:w="4706"/>
            <w:tcMar>
              <w:top w:w="120" w:type="dxa"/>
              <w:start w:w="120" w:type="dxa"/>
              <w:bottom w:w="120" w:type="dxa"/>
              <w:end w:w="120" w:type="dxa"/>
            </w:tcMar>
            <w:vAlign w:val="top"/>
          </w:tcPr>
          <w:p>
            <w:pPr>
              <w:pStyle w:val="TableBodyText"/>
            </w:pPr>
            <w:r>
              <w:t>Möglichkeit, dass eine Wirkung eintreten kann. Ein Narrativ, ein Projekt oder eine Methode kann Wirkungspotenzial haben, bevor Wirkung nachweisbar ist.</w:t>
            </w:r>
          </w:p>
        </w:tc>
      </w:tr>
      <w:tr>
        <w:trPr>
          <w:cantSplit/>
        </w:trPr>
        <w:tc>
          <w:tcPr>
            <w:tcW w:type="dxa" w:w="4706"/>
            <w:shd w:fill="F2F7F9"/>
            <w:tcMar>
              <w:top w:w="120" w:type="dxa"/>
              <w:start w:w="120" w:type="dxa"/>
              <w:bottom w:w="120" w:type="dxa"/>
              <w:end w:w="120" w:type="dxa"/>
            </w:tcMar>
            <w:vAlign w:val="top"/>
          </w:tcPr>
          <w:p>
            <w:pPr>
              <w:pStyle w:val="TableBodyText"/>
            </w:pPr>
            <w:r>
              <w:t>Wirkungsrisiko</w:t>
            </w:r>
          </w:p>
        </w:tc>
        <w:tc>
          <w:tcPr>
            <w:tcW w:type="dxa" w:w="4706"/>
            <w:tcMar>
              <w:top w:w="120" w:type="dxa"/>
              <w:start w:w="120" w:type="dxa"/>
              <w:bottom w:w="120" w:type="dxa"/>
              <w:end w:w="120" w:type="dxa"/>
            </w:tcMar>
            <w:vAlign w:val="top"/>
          </w:tcPr>
          <w:p>
            <w:pPr>
              <w:pStyle w:val="TableBodyText"/>
            </w:pPr>
            <w:r>
              <w:t>Möglichkeit negativer oder destabilisierender Wirkung, etwa Stigmatisierung, Datenmissbrauch, Moralisierung oder neue Ungleichheit.</w:t>
            </w:r>
          </w:p>
        </w:tc>
      </w:tr>
      <w:tr>
        <w:trPr>
          <w:cantSplit/>
        </w:trPr>
        <w:tc>
          <w:tcPr>
            <w:tcW w:type="dxa" w:w="4706"/>
            <w:shd w:fill="F2F7F9"/>
            <w:tcMar>
              <w:top w:w="120" w:type="dxa"/>
              <w:start w:w="120" w:type="dxa"/>
              <w:bottom w:w="120" w:type="dxa"/>
              <w:end w:w="120" w:type="dxa"/>
            </w:tcMar>
            <w:vAlign w:val="top"/>
          </w:tcPr>
          <w:p>
            <w:pPr>
              <w:pStyle w:val="TableBodyText"/>
            </w:pPr>
            <w:r>
              <w:t>Wirkungsbewertung</w:t>
            </w:r>
          </w:p>
        </w:tc>
        <w:tc>
          <w:tcPr>
            <w:tcW w:type="dxa" w:w="4706"/>
            <w:tcMar>
              <w:top w:w="120" w:type="dxa"/>
              <w:start w:w="120" w:type="dxa"/>
              <w:bottom w:w="120" w:type="dxa"/>
              <w:end w:w="120" w:type="dxa"/>
            </w:tcMar>
            <w:vAlign w:val="top"/>
          </w:tcPr>
          <w:p>
            <w:pPr>
              <w:pStyle w:val="TableBodyText"/>
            </w:pPr>
            <w:r>
              <w:t>Einordnung am Referenzrahmen SDGs, Agenda 2030 und SDG+. Im Bildungsbereich besonders: Bildung, Gesundheit, Teilhabe, Demokratie, Medienqualität, digitale Selbstbestimmung.</w:t>
            </w:r>
          </w:p>
        </w:tc>
      </w:tr>
      <w:tr>
        <w:trPr>
          <w:cantSplit/>
        </w:trPr>
        <w:tc>
          <w:tcPr>
            <w:tcW w:type="dxa" w:w="4706"/>
            <w:shd w:fill="F2F7F9"/>
            <w:tcMar>
              <w:top w:w="120" w:type="dxa"/>
              <w:start w:w="120" w:type="dxa"/>
              <w:bottom w:w="120" w:type="dxa"/>
              <w:end w:w="120" w:type="dxa"/>
            </w:tcMar>
            <w:vAlign w:val="top"/>
          </w:tcPr>
          <w:p>
            <w:pPr>
              <w:pStyle w:val="TableBodyText"/>
            </w:pPr>
            <w:r>
              <w:t>Positive Netto-Wirkung</w:t>
            </w:r>
          </w:p>
        </w:tc>
        <w:tc>
          <w:tcPr>
            <w:tcW w:type="dxa" w:w="4706"/>
            <w:tcMar>
              <w:top w:w="120" w:type="dxa"/>
              <w:start w:w="120" w:type="dxa"/>
              <w:bottom w:w="120" w:type="dxa"/>
              <w:end w:w="120" w:type="dxa"/>
            </w:tcMar>
            <w:vAlign w:val="top"/>
          </w:tcPr>
          <w:p>
            <w:pPr>
              <w:pStyle w:val="TableBodyText"/>
            </w:pPr>
            <w:r>
              <w:t>Zielgröße: positive Wirkungen werden nicht einfach addiert, sondern mit Risiken, Nebenwirkungen und roten Linien zusammengeführt.</w:t>
            </w:r>
          </w:p>
        </w:tc>
      </w:tr>
      <w:tr>
        <w:trPr>
          <w:cantSplit/>
        </w:trPr>
        <w:tc>
          <w:tcPr>
            <w:tcW w:type="dxa" w:w="4706"/>
            <w:shd w:fill="F2F7F9"/>
            <w:tcMar>
              <w:top w:w="120" w:type="dxa"/>
              <w:start w:w="120" w:type="dxa"/>
              <w:bottom w:w="120" w:type="dxa"/>
              <w:end w:w="120" w:type="dxa"/>
            </w:tcMar>
            <w:vAlign w:val="top"/>
          </w:tcPr>
          <w:p>
            <w:pPr>
              <w:pStyle w:val="TableBodyText"/>
            </w:pPr>
            <w:r>
              <w:t>Wirkungsgrenze</w:t>
            </w:r>
          </w:p>
        </w:tc>
        <w:tc>
          <w:tcPr>
            <w:tcW w:type="dxa" w:w="4706"/>
            <w:tcMar>
              <w:top w:w="120" w:type="dxa"/>
              <w:start w:w="120" w:type="dxa"/>
              <w:bottom w:w="120" w:type="dxa"/>
              <w:end w:w="120" w:type="dxa"/>
            </w:tcMar>
            <w:vAlign w:val="top"/>
          </w:tcPr>
          <w:p>
            <w:pPr>
              <w:pStyle w:val="TableBodyText"/>
            </w:pPr>
            <w:r>
              <w:t>Rote Linie, ab der negative Wirkung nicht kompensiert werden darf. Im Bildungsbereich: Kinderrechte, Menschenwürde, Datenschutz, Schutz vor Diskriminierung und Schutz vor Personen-Scoring.</w:t>
            </w:r>
          </w:p>
        </w:tc>
      </w:tr>
    </w:tbl>
    <w:p>
      <w:pPr>
        <w:pStyle w:val="BodyText"/>
      </w:pPr>
      <w:r>
        <w:t>Diese Begriffslogik schützt die Wirkungsschule vor zwei falschen Lesarten. Erstens: Wirkung ist kein gutes Gefühl und keine Absicht. Zweitens: Wirkungsschule ist kein technokratisches Messregime. Sie verbindet Beobachtung, pädagogische Verantwortung, Datenethik und demokratische Urteilskraft. Je sensibler der Bereich, desto wichtiger ist diese Präzision. Bildung arbeitet mit Kindern, Biografien, Familien und Zukunftschancen. Deshalb muss sie stärker geschützt werden als ein Produktvergleich im Supermarkt.</w:t>
      </w:r>
    </w:p>
    <w:p>
      <w:pPr>
        <w:pStyle w:val="Heading1"/>
      </w:pPr>
      <w:r>
        <w:t>5. Die Wirkungsschule: Schule als Wirkungsraum</w:t>
      </w:r>
    </w:p>
    <w:p>
      <w:pPr>
        <w:pStyle w:val="BodyText"/>
      </w:pPr>
      <w:r>
        <w:t>Die Wirkungsschule bezeichnet eine Schule, die sich selbst als Wirkungsraum versteht. Sie betrachtet Unterricht, Bewertung, Raum, Zeit, Beziehung, Förderung, Demokratiepraxis, Gesundheit, digitale Kultur und kommunale Vernetzung nicht als getrennte Reformbausteine, sondern als miteinander gekoppelte Wirkungsarchitektur.</w:t>
      </w:r>
    </w:p>
    <w:p>
      <w:pPr>
        <w:pStyle w:val="BodyText"/>
      </w:pPr>
      <w:r>
        <w:t>Eine solche Schule fragt nicht nur: Was steht im Lehrplan? Sie fragt auch: Welche Atmosphäre entsteht? Welche Kinder werden gesehen? Welche Konflikte werden gelernt statt verdrängt? Welche Räume machen konzentriertes Lernen möglich? Welche Routinen stärken Selbstwirksamkeit? Welche Daten helfen Lehrkräften, ohne Kinder zu markieren? Welche Kooperationen entlasten Schule, statt sie mit immer neuen Aufgaben allein zu lassen?</w:t>
      </w:r>
    </w:p>
    <w:p>
      <w:pPr>
        <w:pStyle w:val="BodyText"/>
      </w:pPr>
      <w:r>
        <w:t>Damit wird Schule als Lebensraum ernst genommen. Kinder verbringen dort nicht nur Unterrichtszeit, sondern prägende Jahre. Sie erleben Anerkennung oder Beschämung, Sicherheit oder Ausgrenzung, Beteiligung oder Ohnmacht, Bewegung oder Erstarrung, Neugier oder Angst. Diese Erfahrungen sind nicht Nebeneffekte der eigentlichen Bildung. Sie sind Teil der Bildungswirkung.</w:t>
      </w:r>
    </w:p>
    <w:p>
      <w:pPr>
        <w:pStyle w:val="BodyText"/>
      </w:pPr>
      <w:r>
        <w:t>Die Wirkungsschule ist daher weder eine "neue Schule" als Architekturtyp noch eine Schulform neben bestehenden Schulformen. Sie ist ein Qualitäts- und Steuerungsprinzip, das in Grundschulen, weiterführenden Schulen, beruflicher Bildung, Ganztag, Fördersystemen, freien Schulen, kommunalen Bildungslandschaften und Weiterbildung unterschiedlich umgesetzt werden kann.</w:t>
      </w:r>
    </w:p>
    <w:tbl>
      <w:tblPr>
        <w:tblW w:type="auto" w:w="0"/>
        <w:jc w:val="center"/>
        <w:tblLayout w:type="autofit"/>
        <w:tblLook w:firstColumn="1" w:firstRow="1" w:lastColumn="0" w:lastRow="0" w:noHBand="0" w:noVBand="1" w:val="04A0"/>
      </w:tblPr>
      <w:tblGrid>
        <w:gridCol w:w="9412"/>
      </w:tblGrid>
      <w:tr>
        <w:trPr>
          <w:cantSplit/>
        </w:trPr>
        <w:tc>
          <w:tcPr>
            <w:tcW w:type="dxa" w:w="9412"/>
            <w:shd w:fill="F2F7F9"/>
            <w:tcMar>
              <w:top w:w="180" w:type="dxa"/>
              <w:start w:w="220" w:type="dxa"/>
              <w:bottom w:w="180" w:type="dxa"/>
              <w:end w:w="220" w:type="dxa"/>
            </w:tcMar>
            <w:tcBorders>
              <w:top w:val="single" w:sz="8" w:color="1F4E5F"/>
              <w:left w:val="single" w:sz="8" w:color="1F4E5F"/>
              <w:bottom w:val="single" w:sz="8" w:color="1F4E5F"/>
              <w:right w:val="single" w:sz="8" w:color="1F4E5F"/>
            </w:tcBorders>
            <w:vAlign w:val="top"/>
          </w:tcPr>
          <w:p>
            <w:pPr>
              <w:pStyle w:val="CalloutTitle"/>
            </w:pPr>
            <w:r>
              <w:t>Definition</w:t>
            </w:r>
          </w:p>
          <w:p>
            <w:pPr>
              <w:pStyle w:val="CalloutBody"/>
            </w:pPr>
            <w:r>
              <w:t>Wirkungsschule ist die institutionelle Form wirkungsorientierter Bildung: eine Schule, die Unterricht, Raum, Beziehung, Bewertung, Förderung, Gesundheit, Demokratiepraxis, digitale Mündigkeit und Bildungsnetzwerke so gestaltet, dass positive Netto-Wirkung für Mensch, Planet und Demokratie wahrscheinlicher wird.</w:t>
            </w:r>
          </w:p>
        </w:tc>
      </w:tr>
    </w:tbl>
    <w:p/>
    <w:p>
      <w:pPr>
        <w:pStyle w:val="Heading1"/>
      </w:pPr>
      <w:r>
        <w:t>6. Wirkungspädagogik: Lernen als gestaltete Zustandsveränderung</w:t>
      </w:r>
    </w:p>
    <w:p>
      <w:pPr>
        <w:pStyle w:val="BodyText"/>
      </w:pPr>
      <w:r>
        <w:t>Wirkungspädagogik ist die pädagogische Haltung und Methodik hinter der Wirkungsschule. Sie betrachtet Lernen nicht als bloßen Stofftransport, sondern als Veränderung von Wahrnehmung, Verständnis, Beziehung und Handlungsmöglichkeit. Ein Kind hat nicht gelernt, weil eine Information präsentiert wurde. Es hat gelernt, wenn sich etwas an seiner Fähigkeit verändert hat, Welt zu deuten, Fragen zu stellen, Zusammenhänge zu erkennen, sich auszudrücken, andere Perspektiven zu verstehen und verantwortlich zu handeln.</w:t>
      </w:r>
    </w:p>
    <w:p>
      <w:pPr>
        <w:pStyle w:val="BodyText"/>
      </w:pPr>
      <w:r>
        <w:t>Das bedeutet nicht, dass Wissen zweitrangig wird. Im Gegenteil: Wirkungspädagogik braucht fachliche Substanz. Ohne Fachwissen werden Wirkungsfragen beliebig. Wer über Klimawirkung spricht, braucht Physik, Chemie, Geografie und Mathematik. Wer über Demokratie spricht, braucht Geschichte, Recht, Sprache, Medienkunde und politische Bildung. Wer über Gesundheit spricht, braucht Biologie, Psychologie, Statistik, Alltagserfahrung und soziale Einordnung.</w:t>
      </w:r>
    </w:p>
    <w:p>
      <w:pPr>
        <w:pStyle w:val="BodyText"/>
      </w:pPr>
      <w:r>
        <w:t>Wirkungspädagogik stellt jedoch andere Unterrichtsfragen. Nicht nur: Was ist die richtige Antwort? Sondern auch: Was verändert diese Erkenntnis? Für wen ist sie relevant? Welche Nebenwirkungen kann eine Lösung haben? Welche Daten fehlen? Welche Unsicherheit bleibt? Welche Interessen wirken mit? Wie kann man handeln, ohne Komplexität zu leugnen?</w:t>
      </w:r>
    </w:p>
    <w:p>
      <w:pPr>
        <w:pStyle w:val="BodyText"/>
      </w:pPr>
      <w:r>
        <w:t>Sie arbeitet deshalb mit realen Fragen, Projekten, Reflexion, Feedback, Fehlerkultur und Verantwortung. Eine Lernaufgabe kann zum Beispiel von einer lokalen Hitzeinsel, einem Schulhof, einem Konflikt im digitalen Klassenchat, einem Mobilitätsproblem, einer Ernährungssituation oder einer kommunalen Entscheidung ausgehen. Daraus entstehen fachliche Zugänge, Datenarbeit, Diskussion, Gestaltung und Evaluation.</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3137"/>
            <w:shd w:fill="1F4E5F"/>
            <w:vAlign w:val="top"/>
            <w:tcMar>
              <w:top w:w="120" w:type="dxa"/>
              <w:start w:w="120" w:type="dxa"/>
              <w:bottom w:w="120" w:type="dxa"/>
              <w:end w:w="120" w:type="dxa"/>
            </w:tcMar>
          </w:tcPr>
          <w:p>
            <w:pPr>
              <w:pStyle w:val="TableHeaderText"/>
            </w:pPr>
            <w:r>
              <w:t>Prinzip</w:t>
            </w:r>
          </w:p>
        </w:tc>
        <w:tc>
          <w:tcPr>
            <w:tcW w:type="dxa" w:w="3137"/>
            <w:shd w:fill="1F4E5F"/>
            <w:vAlign w:val="top"/>
            <w:tcMar>
              <w:top w:w="120" w:type="dxa"/>
              <w:start w:w="120" w:type="dxa"/>
              <w:bottom w:w="120" w:type="dxa"/>
              <w:end w:w="120" w:type="dxa"/>
            </w:tcMar>
          </w:tcPr>
          <w:p>
            <w:pPr>
              <w:pStyle w:val="TableHeaderText"/>
            </w:pPr>
            <w:r>
              <w:t>Was es bedeutet</w:t>
            </w:r>
          </w:p>
        </w:tc>
        <w:tc>
          <w:tcPr>
            <w:tcW w:type="dxa" w:w="3137"/>
            <w:shd w:fill="1F4E5F"/>
            <w:vAlign w:val="top"/>
            <w:tcMar>
              <w:top w:w="120" w:type="dxa"/>
              <w:start w:w="120" w:type="dxa"/>
              <w:bottom w:w="120" w:type="dxa"/>
              <w:end w:w="120" w:type="dxa"/>
            </w:tcMar>
          </w:tcPr>
          <w:p>
            <w:pPr>
              <w:pStyle w:val="TableHeaderText"/>
            </w:pPr>
            <w:r>
              <w:t>Was es verhindert</w:t>
            </w:r>
          </w:p>
        </w:tc>
      </w:tr>
      <w:tr>
        <w:trPr>
          <w:cantSplit/>
        </w:trPr>
        <w:tc>
          <w:tcPr>
            <w:tcW w:type="dxa" w:w="3137"/>
            <w:shd w:fill="F2F7F9"/>
            <w:tcMar>
              <w:top w:w="120" w:type="dxa"/>
              <w:start w:w="120" w:type="dxa"/>
              <w:bottom w:w="120" w:type="dxa"/>
              <w:end w:w="120" w:type="dxa"/>
            </w:tcMar>
            <w:vAlign w:val="top"/>
          </w:tcPr>
          <w:p>
            <w:pPr>
              <w:pStyle w:val="TableBodyText"/>
            </w:pPr>
            <w:r>
              <w:t>Fragen vor Lösungen</w:t>
            </w:r>
          </w:p>
        </w:tc>
        <w:tc>
          <w:tcPr>
            <w:tcW w:type="dxa" w:w="3137"/>
            <w:tcMar>
              <w:top w:w="120" w:type="dxa"/>
              <w:start w:w="120" w:type="dxa"/>
              <w:bottom w:w="120" w:type="dxa"/>
              <w:end w:w="120" w:type="dxa"/>
            </w:tcMar>
            <w:vAlign w:val="top"/>
          </w:tcPr>
          <w:p>
            <w:pPr>
              <w:pStyle w:val="TableBodyText"/>
            </w:pPr>
            <w:r>
              <w:t>Schüler:innen lernen, Probleme sauber zu verstehen, bevor sie Antworten produzieren.</w:t>
            </w:r>
          </w:p>
        </w:tc>
        <w:tc>
          <w:tcPr>
            <w:tcW w:type="dxa" w:w="3137"/>
            <w:tcMar>
              <w:top w:w="120" w:type="dxa"/>
              <w:start w:w="120" w:type="dxa"/>
              <w:bottom w:w="120" w:type="dxa"/>
              <w:end w:w="120" w:type="dxa"/>
            </w:tcMar>
            <w:vAlign w:val="top"/>
          </w:tcPr>
          <w:p>
            <w:pPr>
              <w:pStyle w:val="TableBodyText"/>
            </w:pPr>
            <w:r>
              <w:t>Scheinlösungen und moralische Kurzschlüsse.</w:t>
            </w:r>
          </w:p>
        </w:tc>
      </w:tr>
      <w:tr>
        <w:trPr>
          <w:cantSplit/>
        </w:trPr>
        <w:tc>
          <w:tcPr>
            <w:tcW w:type="dxa" w:w="3137"/>
            <w:shd w:fill="F2F7F9"/>
            <w:tcMar>
              <w:top w:w="120" w:type="dxa"/>
              <w:start w:w="120" w:type="dxa"/>
              <w:bottom w:w="120" w:type="dxa"/>
              <w:end w:w="120" w:type="dxa"/>
            </w:tcMar>
            <w:vAlign w:val="top"/>
          </w:tcPr>
          <w:p>
            <w:pPr>
              <w:pStyle w:val="TableBodyText"/>
            </w:pPr>
            <w:r>
              <w:t>Fachlichkeit mit Kontext</w:t>
            </w:r>
          </w:p>
        </w:tc>
        <w:tc>
          <w:tcPr>
            <w:tcW w:type="dxa" w:w="3137"/>
            <w:tcMar>
              <w:top w:w="120" w:type="dxa"/>
              <w:start w:w="120" w:type="dxa"/>
              <w:bottom w:w="120" w:type="dxa"/>
              <w:end w:w="120" w:type="dxa"/>
            </w:tcMar>
            <w:vAlign w:val="top"/>
          </w:tcPr>
          <w:p>
            <w:pPr>
              <w:pStyle w:val="TableBodyText"/>
            </w:pPr>
            <w:r>
              <w:t>Fachwissen wird auf reale Wirkungsfragen bezogen.</w:t>
            </w:r>
          </w:p>
        </w:tc>
        <w:tc>
          <w:tcPr>
            <w:tcW w:type="dxa" w:w="3137"/>
            <w:tcMar>
              <w:top w:w="120" w:type="dxa"/>
              <w:start w:w="120" w:type="dxa"/>
              <w:bottom w:w="120" w:type="dxa"/>
              <w:end w:w="120" w:type="dxa"/>
            </w:tcMar>
            <w:vAlign w:val="top"/>
          </w:tcPr>
          <w:p>
            <w:pPr>
              <w:pStyle w:val="TableBodyText"/>
            </w:pPr>
            <w:r>
              <w:t>Beliebige Projektpädagogik ohne Tiefe.</w:t>
            </w:r>
          </w:p>
        </w:tc>
      </w:tr>
      <w:tr>
        <w:trPr>
          <w:cantSplit/>
        </w:trPr>
        <w:tc>
          <w:tcPr>
            <w:tcW w:type="dxa" w:w="3137"/>
            <w:shd w:fill="F2F7F9"/>
            <w:tcMar>
              <w:top w:w="120" w:type="dxa"/>
              <w:start w:w="120" w:type="dxa"/>
              <w:bottom w:w="120" w:type="dxa"/>
              <w:end w:w="120" w:type="dxa"/>
            </w:tcMar>
            <w:vAlign w:val="top"/>
          </w:tcPr>
          <w:p>
            <w:pPr>
              <w:pStyle w:val="TableBodyText"/>
            </w:pPr>
            <w:r>
              <w:t>Fehler als Lernsignal</w:t>
            </w:r>
          </w:p>
        </w:tc>
        <w:tc>
          <w:tcPr>
            <w:tcW w:type="dxa" w:w="3137"/>
            <w:tcMar>
              <w:top w:w="120" w:type="dxa"/>
              <w:start w:w="120" w:type="dxa"/>
              <w:bottom w:w="120" w:type="dxa"/>
              <w:end w:w="120" w:type="dxa"/>
            </w:tcMar>
            <w:vAlign w:val="top"/>
          </w:tcPr>
          <w:p>
            <w:pPr>
              <w:pStyle w:val="TableBodyText"/>
            </w:pPr>
            <w:r>
              <w:t>Fehler werden ausgewertet, nicht beschämt.</w:t>
            </w:r>
          </w:p>
        </w:tc>
        <w:tc>
          <w:tcPr>
            <w:tcW w:type="dxa" w:w="3137"/>
            <w:tcMar>
              <w:top w:w="120" w:type="dxa"/>
              <w:start w:w="120" w:type="dxa"/>
              <w:bottom w:w="120" w:type="dxa"/>
              <w:end w:w="120" w:type="dxa"/>
            </w:tcMar>
            <w:vAlign w:val="top"/>
          </w:tcPr>
          <w:p>
            <w:pPr>
              <w:pStyle w:val="TableBodyText"/>
            </w:pPr>
            <w:r>
              <w:t>Angstlernen und Vermeidungsstrategien.</w:t>
            </w:r>
          </w:p>
        </w:tc>
      </w:tr>
      <w:tr>
        <w:trPr>
          <w:cantSplit/>
        </w:trPr>
        <w:tc>
          <w:tcPr>
            <w:tcW w:type="dxa" w:w="3137"/>
            <w:shd w:fill="F2F7F9"/>
            <w:tcMar>
              <w:top w:w="120" w:type="dxa"/>
              <w:start w:w="120" w:type="dxa"/>
              <w:bottom w:w="120" w:type="dxa"/>
              <w:end w:w="120" w:type="dxa"/>
            </w:tcMar>
            <w:vAlign w:val="top"/>
          </w:tcPr>
          <w:p>
            <w:pPr>
              <w:pStyle w:val="TableBodyText"/>
            </w:pPr>
            <w:r>
              <w:t>Verantwortung ohne Überforderung</w:t>
            </w:r>
          </w:p>
        </w:tc>
        <w:tc>
          <w:tcPr>
            <w:tcW w:type="dxa" w:w="3137"/>
            <w:tcMar>
              <w:top w:w="120" w:type="dxa"/>
              <w:start w:w="120" w:type="dxa"/>
              <w:bottom w:w="120" w:type="dxa"/>
              <w:end w:w="120" w:type="dxa"/>
            </w:tcMar>
            <w:vAlign w:val="top"/>
          </w:tcPr>
          <w:p>
            <w:pPr>
              <w:pStyle w:val="TableBodyText"/>
            </w:pPr>
            <w:r>
              <w:t>Kinder erleben Selbstwirksamkeit in altersgerechten Räumen.</w:t>
            </w:r>
          </w:p>
        </w:tc>
        <w:tc>
          <w:tcPr>
            <w:tcW w:type="dxa" w:w="3137"/>
            <w:tcMar>
              <w:top w:w="120" w:type="dxa"/>
              <w:start w:w="120" w:type="dxa"/>
              <w:bottom w:w="120" w:type="dxa"/>
              <w:end w:w="120" w:type="dxa"/>
            </w:tcMar>
            <w:vAlign w:val="top"/>
          </w:tcPr>
          <w:p>
            <w:pPr>
              <w:pStyle w:val="TableBodyText"/>
            </w:pPr>
            <w:r>
              <w:t>Instrumentalisierung für gesellschaftliche Großkrisen.</w:t>
            </w:r>
          </w:p>
        </w:tc>
      </w:tr>
      <w:tr>
        <w:trPr>
          <w:cantSplit/>
        </w:trPr>
        <w:tc>
          <w:tcPr>
            <w:tcW w:type="dxa" w:w="3137"/>
            <w:shd w:fill="F2F7F9"/>
            <w:tcMar>
              <w:top w:w="120" w:type="dxa"/>
              <w:start w:w="120" w:type="dxa"/>
              <w:bottom w:w="120" w:type="dxa"/>
              <w:end w:w="120" w:type="dxa"/>
            </w:tcMar>
            <w:vAlign w:val="top"/>
          </w:tcPr>
          <w:p>
            <w:pPr>
              <w:pStyle w:val="TableBodyText"/>
            </w:pPr>
            <w:r>
              <w:t>Reflexion und Rückkopplung</w:t>
            </w:r>
          </w:p>
        </w:tc>
        <w:tc>
          <w:tcPr>
            <w:tcW w:type="dxa" w:w="3137"/>
            <w:tcMar>
              <w:top w:w="120" w:type="dxa"/>
              <w:start w:w="120" w:type="dxa"/>
              <w:bottom w:w="120" w:type="dxa"/>
              <w:end w:w="120" w:type="dxa"/>
            </w:tcMar>
            <w:vAlign w:val="top"/>
          </w:tcPr>
          <w:p>
            <w:pPr>
              <w:pStyle w:val="TableBodyText"/>
            </w:pPr>
            <w:r>
              <w:t>Lernen prüft, was sich tatsächlich verändert hat.</w:t>
            </w:r>
          </w:p>
        </w:tc>
        <w:tc>
          <w:tcPr>
            <w:tcW w:type="dxa" w:w="3137"/>
            <w:tcMar>
              <w:top w:w="120" w:type="dxa"/>
              <w:start w:w="120" w:type="dxa"/>
              <w:bottom w:w="120" w:type="dxa"/>
              <w:end w:w="120" w:type="dxa"/>
            </w:tcMar>
            <w:vAlign w:val="top"/>
          </w:tcPr>
          <w:p>
            <w:pPr>
              <w:pStyle w:val="TableBodyText"/>
            </w:pPr>
            <w:r>
              <w:t>Aktivität ohne Lernwirkung.</w:t>
            </w:r>
          </w:p>
        </w:tc>
      </w:tr>
    </w:tbl>
    <w:p>
      <w:pPr>
        <w:pStyle w:val="Heading1"/>
      </w:pPr>
      <w:r>
        <w:t>7. Wirkungskompetenz: die zentrale Bürger:innenkompetenz</w:t>
      </w:r>
    </w:p>
    <w:p>
      <w:pPr>
        <w:pStyle w:val="BodyText"/>
      </w:pPr>
      <w:r>
        <w:t>Wirkungskompetenz ist die Fähigkeit, Wirkung, Wirkungspotenziale, Nebenwirkungen, Gegenwirkungen, Rückkopplungen und Verantwortungsdimensionen zu erkennen, zu bewerten und handlungsfähig zu gestalten. Im Bildungsbereich wird sie zur Grundbedingung demokratischer Mündigkeit. Menschen müssen nicht alle Wirkungsdaten selbst berechnen können. Aber sie müssen lernen, dass Handlungen, Worte, Produkte, Preise, Plattformen, Regeln, Technologien und Unterlassungen Zustände verändern.</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3137"/>
            <w:shd w:fill="1F4E5F"/>
            <w:vAlign w:val="top"/>
            <w:tcMar>
              <w:top w:w="120" w:type="dxa"/>
              <w:start w:w="120" w:type="dxa"/>
              <w:bottom w:w="120" w:type="dxa"/>
              <w:end w:w="120" w:type="dxa"/>
            </w:tcMar>
          </w:tcPr>
          <w:p>
            <w:pPr>
              <w:pStyle w:val="TableHeaderText"/>
            </w:pPr>
            <w:r>
              <w:t>Teilkompetenz</w:t>
            </w:r>
          </w:p>
        </w:tc>
        <w:tc>
          <w:tcPr>
            <w:tcW w:type="dxa" w:w="3137"/>
            <w:shd w:fill="1F4E5F"/>
            <w:vAlign w:val="top"/>
            <w:tcMar>
              <w:top w:w="120" w:type="dxa"/>
              <w:start w:w="120" w:type="dxa"/>
              <w:bottom w:w="120" w:type="dxa"/>
              <w:end w:w="120" w:type="dxa"/>
            </w:tcMar>
          </w:tcPr>
          <w:p>
            <w:pPr>
              <w:pStyle w:val="TableHeaderText"/>
            </w:pPr>
            <w:r>
              <w:t>Leitfrage</w:t>
            </w:r>
          </w:p>
        </w:tc>
        <w:tc>
          <w:tcPr>
            <w:tcW w:type="dxa" w:w="3137"/>
            <w:shd w:fill="1F4E5F"/>
            <w:vAlign w:val="top"/>
            <w:tcMar>
              <w:top w:w="120" w:type="dxa"/>
              <w:start w:w="120" w:type="dxa"/>
              <w:bottom w:w="120" w:type="dxa"/>
              <w:end w:w="120" w:type="dxa"/>
            </w:tcMar>
          </w:tcPr>
          <w:p>
            <w:pPr>
              <w:pStyle w:val="TableHeaderText"/>
            </w:pPr>
            <w:r>
              <w:t>Bildungsbeispiel</w:t>
            </w:r>
          </w:p>
        </w:tc>
      </w:tr>
      <w:tr>
        <w:trPr>
          <w:cantSplit/>
        </w:trPr>
        <w:tc>
          <w:tcPr>
            <w:tcW w:type="dxa" w:w="3137"/>
            <w:shd w:fill="F2F7F9"/>
            <w:tcMar>
              <w:top w:w="120" w:type="dxa"/>
              <w:start w:w="120" w:type="dxa"/>
              <w:bottom w:w="120" w:type="dxa"/>
              <w:end w:w="120" w:type="dxa"/>
            </w:tcMar>
            <w:vAlign w:val="top"/>
          </w:tcPr>
          <w:p>
            <w:pPr>
              <w:pStyle w:val="TableBodyText"/>
            </w:pPr>
            <w:r>
              <w:t>Wahrnehmungskompetenz</w:t>
            </w:r>
          </w:p>
        </w:tc>
        <w:tc>
          <w:tcPr>
            <w:tcW w:type="dxa" w:w="3137"/>
            <w:tcMar>
              <w:top w:w="120" w:type="dxa"/>
              <w:start w:w="120" w:type="dxa"/>
              <w:bottom w:w="120" w:type="dxa"/>
              <w:end w:w="120" w:type="dxa"/>
            </w:tcMar>
            <w:vAlign w:val="top"/>
          </w:tcPr>
          <w:p>
            <w:pPr>
              <w:pStyle w:val="TableBodyText"/>
            </w:pPr>
            <w:r>
              <w:t>Was verändert sich tatsächlich?</w:t>
            </w:r>
          </w:p>
        </w:tc>
        <w:tc>
          <w:tcPr>
            <w:tcW w:type="dxa" w:w="3137"/>
            <w:tcMar>
              <w:top w:w="120" w:type="dxa"/>
              <w:start w:w="120" w:type="dxa"/>
              <w:bottom w:w="120" w:type="dxa"/>
              <w:end w:w="120" w:type="dxa"/>
            </w:tcMar>
            <w:vAlign w:val="top"/>
          </w:tcPr>
          <w:p>
            <w:pPr>
              <w:pStyle w:val="TableBodyText"/>
            </w:pPr>
            <w:r>
              <w:t>Zwischen Absicht, Image, Meinung und realer Wirkung unterscheiden.</w:t>
            </w:r>
          </w:p>
        </w:tc>
      </w:tr>
      <w:tr>
        <w:trPr>
          <w:cantSplit/>
        </w:trPr>
        <w:tc>
          <w:tcPr>
            <w:tcW w:type="dxa" w:w="3137"/>
            <w:shd w:fill="F2F7F9"/>
            <w:tcMar>
              <w:top w:w="120" w:type="dxa"/>
              <w:start w:w="120" w:type="dxa"/>
              <w:bottom w:w="120" w:type="dxa"/>
              <w:end w:w="120" w:type="dxa"/>
            </w:tcMar>
            <w:vAlign w:val="top"/>
          </w:tcPr>
          <w:p>
            <w:pPr>
              <w:pStyle w:val="TableBodyText"/>
            </w:pPr>
            <w:r>
              <w:t>Systemkompetenz</w:t>
            </w:r>
          </w:p>
        </w:tc>
        <w:tc>
          <w:tcPr>
            <w:tcW w:type="dxa" w:w="3137"/>
            <w:tcMar>
              <w:top w:w="120" w:type="dxa"/>
              <w:start w:w="120" w:type="dxa"/>
              <w:bottom w:w="120" w:type="dxa"/>
              <w:end w:w="120" w:type="dxa"/>
            </w:tcMar>
            <w:vAlign w:val="top"/>
          </w:tcPr>
          <w:p>
            <w:pPr>
              <w:pStyle w:val="TableBodyText"/>
            </w:pPr>
            <w:r>
              <w:t>Wie hängen Dinge zusammen?</w:t>
            </w:r>
          </w:p>
        </w:tc>
        <w:tc>
          <w:tcPr>
            <w:tcW w:type="dxa" w:w="3137"/>
            <w:tcMar>
              <w:top w:w="120" w:type="dxa"/>
              <w:start w:w="120" w:type="dxa"/>
              <w:bottom w:w="120" w:type="dxa"/>
              <w:end w:w="120" w:type="dxa"/>
            </w:tcMar>
            <w:vAlign w:val="top"/>
          </w:tcPr>
          <w:p>
            <w:pPr>
              <w:pStyle w:val="TableBodyText"/>
            </w:pPr>
            <w:r>
              <w:t>Klima, Gesundheit, Wohnen, Medien, Demokratie, Kapital und Bildung als Wechselwirkungen lesen.</w:t>
            </w:r>
          </w:p>
        </w:tc>
      </w:tr>
      <w:tr>
        <w:trPr>
          <w:cantSplit/>
        </w:trPr>
        <w:tc>
          <w:tcPr>
            <w:tcW w:type="dxa" w:w="3137"/>
            <w:shd w:fill="F2F7F9"/>
            <w:tcMar>
              <w:top w:w="120" w:type="dxa"/>
              <w:start w:w="120" w:type="dxa"/>
              <w:bottom w:w="120" w:type="dxa"/>
              <w:end w:w="120" w:type="dxa"/>
            </w:tcMar>
            <w:vAlign w:val="top"/>
          </w:tcPr>
          <w:p>
            <w:pPr>
              <w:pStyle w:val="TableBodyText"/>
            </w:pPr>
            <w:r>
              <w:t>Analysekompetenz</w:t>
            </w:r>
          </w:p>
        </w:tc>
        <w:tc>
          <w:tcPr>
            <w:tcW w:type="dxa" w:w="3137"/>
            <w:tcMar>
              <w:top w:w="120" w:type="dxa"/>
              <w:start w:w="120" w:type="dxa"/>
              <w:bottom w:w="120" w:type="dxa"/>
              <w:end w:w="120" w:type="dxa"/>
            </w:tcMar>
            <w:vAlign w:val="top"/>
          </w:tcPr>
          <w:p>
            <w:pPr>
              <w:pStyle w:val="TableBodyText"/>
            </w:pPr>
            <w:r>
              <w:t>Welche Daten, Quellen und Unsicherheiten liegen vor?</w:t>
            </w:r>
          </w:p>
        </w:tc>
        <w:tc>
          <w:tcPr>
            <w:tcW w:type="dxa" w:w="3137"/>
            <w:tcMar>
              <w:top w:w="120" w:type="dxa"/>
              <w:start w:w="120" w:type="dxa"/>
              <w:bottom w:w="120" w:type="dxa"/>
              <w:end w:w="120" w:type="dxa"/>
            </w:tcMar>
            <w:vAlign w:val="top"/>
          </w:tcPr>
          <w:p>
            <w:pPr>
              <w:pStyle w:val="TableBodyText"/>
            </w:pPr>
            <w:r>
              <w:t>Studien, Diagramme, KI-Ausgaben, Statistiken und Quellen kritisch einordnen.</w:t>
            </w:r>
          </w:p>
        </w:tc>
      </w:tr>
      <w:tr>
        <w:trPr>
          <w:cantSplit/>
        </w:trPr>
        <w:tc>
          <w:tcPr>
            <w:tcW w:type="dxa" w:w="3137"/>
            <w:shd w:fill="F2F7F9"/>
            <w:tcMar>
              <w:top w:w="120" w:type="dxa"/>
              <w:start w:w="120" w:type="dxa"/>
              <w:bottom w:w="120" w:type="dxa"/>
              <w:end w:w="120" w:type="dxa"/>
            </w:tcMar>
            <w:vAlign w:val="top"/>
          </w:tcPr>
          <w:p>
            <w:pPr>
              <w:pStyle w:val="TableBodyText"/>
            </w:pPr>
            <w:r>
              <w:t>Kommunikationskompetenz</w:t>
            </w:r>
          </w:p>
        </w:tc>
        <w:tc>
          <w:tcPr>
            <w:tcW w:type="dxa" w:w="3137"/>
            <w:tcMar>
              <w:top w:w="120" w:type="dxa"/>
              <w:start w:w="120" w:type="dxa"/>
              <w:bottom w:w="120" w:type="dxa"/>
              <w:end w:w="120" w:type="dxa"/>
            </w:tcMar>
            <w:vAlign w:val="top"/>
          </w:tcPr>
          <w:p>
            <w:pPr>
              <w:pStyle w:val="TableBodyText"/>
            </w:pPr>
            <w:r>
              <w:t>Wie sprechen wir so, dass Klärung möglich bleibt?</w:t>
            </w:r>
          </w:p>
        </w:tc>
        <w:tc>
          <w:tcPr>
            <w:tcW w:type="dxa" w:w="3137"/>
            <w:tcMar>
              <w:top w:w="120" w:type="dxa"/>
              <w:start w:w="120" w:type="dxa"/>
              <w:bottom w:w="120" w:type="dxa"/>
              <w:end w:w="120" w:type="dxa"/>
            </w:tcMar>
            <w:vAlign w:val="top"/>
          </w:tcPr>
          <w:p>
            <w:pPr>
              <w:pStyle w:val="TableBodyText"/>
            </w:pPr>
            <w:r>
              <w:t>Streitfähigkeit, Perspektivwechsel, Tonalität, Frames und digitale Konflikte reflektieren.</w:t>
            </w:r>
          </w:p>
        </w:tc>
      </w:tr>
      <w:tr>
        <w:trPr>
          <w:cantSplit/>
        </w:trPr>
        <w:tc>
          <w:tcPr>
            <w:tcW w:type="dxa" w:w="3137"/>
            <w:shd w:fill="F2F7F9"/>
            <w:tcMar>
              <w:top w:w="120" w:type="dxa"/>
              <w:start w:w="120" w:type="dxa"/>
              <w:bottom w:w="120" w:type="dxa"/>
              <w:end w:w="120" w:type="dxa"/>
            </w:tcMar>
            <w:vAlign w:val="top"/>
          </w:tcPr>
          <w:p>
            <w:pPr>
              <w:pStyle w:val="TableBodyText"/>
            </w:pPr>
            <w:r>
              <w:t>Entscheidungskompetenz</w:t>
            </w:r>
          </w:p>
        </w:tc>
        <w:tc>
          <w:tcPr>
            <w:tcW w:type="dxa" w:w="3137"/>
            <w:tcMar>
              <w:top w:w="120" w:type="dxa"/>
              <w:start w:w="120" w:type="dxa"/>
              <w:bottom w:w="120" w:type="dxa"/>
              <w:end w:w="120" w:type="dxa"/>
            </w:tcMar>
            <w:vAlign w:val="top"/>
          </w:tcPr>
          <w:p>
            <w:pPr>
              <w:pStyle w:val="TableBodyText"/>
            </w:pPr>
            <w:r>
              <w:t>Was folgt daraus praktisch?</w:t>
            </w:r>
          </w:p>
        </w:tc>
        <w:tc>
          <w:tcPr>
            <w:tcW w:type="dxa" w:w="3137"/>
            <w:tcMar>
              <w:top w:w="120" w:type="dxa"/>
              <w:start w:w="120" w:type="dxa"/>
              <w:bottom w:w="120" w:type="dxa"/>
              <w:end w:w="120" w:type="dxa"/>
            </w:tcMar>
            <w:vAlign w:val="top"/>
          </w:tcPr>
          <w:p>
            <w:pPr>
              <w:pStyle w:val="TableBodyText"/>
            </w:pPr>
            <w:r>
              <w:t>Aus Erkenntnis eine Handlung, ein Projekt, eine Regeländerung oder eine begründete Position entwickeln.</w:t>
            </w:r>
          </w:p>
        </w:tc>
      </w:tr>
    </w:tbl>
    <w:p>
      <w:pPr>
        <w:pStyle w:val="BodyText"/>
      </w:pPr>
      <w:r>
        <w:t>Wirkungskompetenz ist mehr als Nachhaltigkeitswissen. Sie umfasst auch Medienwirkung, demokratische Wirkung, Datenwirkung, Gesundheitswirkung, Sozialraumwirkung und technologische Wirkung. Sie fragt nicht nur: Wie schützen wir Umwelt? Sie fragt auch: Wie schützen wir Wahrheit? Wie erkennen wir Manipulation? Wie bauen wir Vertrauen? Wie vermeiden wir Beschämung? Wie gehen wir mit Unsicherheit um?</w:t>
      </w:r>
    </w:p>
    <w:p>
      <w:pPr>
        <w:pStyle w:val="BodyText"/>
      </w:pPr>
      <w:r>
        <w:t>Die Inner Development Goals sind dafür ein wichtiger Anschlussrahmen, weil sie innere und kollektive Fähigkeiten für Transformation beschreiben. Wirkungskompetenz geht jedoch weiter: Sie verbindet innere Entwicklung mit Systemverständnis, Daten, Rückkopplung, Demokratie, Technologie, Institutionen und konkreter Wirkungslenkung. Kurz gesagt: Innere Entwicklung hilft, transformativ handeln zu können. Wirkungskompetenz hilft, Wirkung zu erkennen, zu bewerten, zu gestalten und zu korrigieren.</w:t>
      </w:r>
    </w:p>
    <w:p>
      <w:pPr>
        <w:pStyle w:val="Heading1"/>
      </w:pPr>
      <w:r>
        <w:t>8. Basiskompetenzen und Zukunftskompetenzen verbinden</w:t>
      </w:r>
    </w:p>
    <w:p>
      <w:pPr>
        <w:pStyle w:val="BodyText"/>
      </w:pPr>
      <w:r>
        <w:t>Eine häufige Fehlinterpretation zukunftsorientierter Bildung lautet: Wenn Schule mehr Zukunft, Demokratie, Medien, Klima, KI und Wirkung aufnimmt, verliert sie die Basiskompetenzen. Die Wirkungsschule vertritt das Gegenteil. Lesen, Schreiben, Rechnen, naturwissenschaftliches Grundverständnis, Sprachfähigkeit, Konzentration, Ausdauer und fachliche Genauigkeit sind die Grundlage jeder Wirkungskompetenz.</w:t>
      </w:r>
    </w:p>
    <w:p>
      <w:pPr>
        <w:pStyle w:val="BodyText"/>
      </w:pPr>
      <w:r>
        <w:t>Wer nicht lesen kann, kann Quellen nicht prüfen. Wer nicht rechnen kann, kann Risiken, Wahrscheinlichkeiten, CO2-Werte, Budgets oder Statistiken nicht einordnen. Wer nicht schreiben und sprechen kann, kann demokratisch schwerer teilnehmen. Wer keine naturwissenschaftlichen Grundlagen versteht, bleibt anfällig für Scheinargumente. Basiskompetenzen sind keine alte Schule. Sie sind die Infrastruktur mündiger Wirkung.</w:t>
      </w:r>
    </w:p>
    <w:p>
      <w:pPr>
        <w:pStyle w:val="BodyText"/>
      </w:pPr>
      <w:r>
        <w:t>Der Unterschied liegt darin, dass Basiskompetenzen nicht isoliert bleiben. Sie werden in Zusammenhänge gestellt. Rechnen wird nicht nur Rechenweg, sondern Wirklichkeitsprüfung. Schreiben wird nicht nur Aufsatz, sondern Klärung und Ausdruck. Geschichte wird nicht nur Chronologie, sondern Wirkungsgeschichte. Naturwissenschaften werden nicht nur Formelwissen, sondern Verständnis für Energie, Materie, Leben, Gesundheit und Grenzen.</w:t>
      </w:r>
    </w:p>
    <w:tbl>
      <w:tblPr>
        <w:tblW w:type="auto" w:w="0"/>
        <w:jc w:val="center"/>
        <w:tblLayout w:type="autofit"/>
        <w:tblLook w:firstColumn="1" w:firstRow="1" w:lastColumn="0" w:lastRow="0" w:noHBand="0" w:noVBand="1" w:val="04A0"/>
      </w:tblPr>
      <w:tblGrid>
        <w:gridCol w:w="9412"/>
      </w:tblGrid>
      <w:tr>
        <w:trPr>
          <w:cantSplit/>
        </w:trPr>
        <w:tc>
          <w:tcPr>
            <w:tcW w:type="dxa" w:w="9412"/>
            <w:shd w:fill="FFFFFF"/>
            <w:tcMar>
              <w:top w:w="180" w:type="dxa"/>
              <w:start w:w="220" w:type="dxa"/>
              <w:bottom w:w="180" w:type="dxa"/>
              <w:end w:w="220" w:type="dxa"/>
            </w:tcMar>
            <w:tcBorders>
              <w:top w:val="single" w:sz="8" w:color="1F4E5F"/>
              <w:left w:val="single" w:sz="8" w:color="1F4E5F"/>
              <w:bottom w:val="single" w:sz="8" w:color="1F4E5F"/>
              <w:right w:val="single" w:sz="8" w:color="1F4E5F"/>
            </w:tcBorders>
            <w:vAlign w:val="top"/>
          </w:tcPr>
          <w:p>
            <w:pPr>
              <w:pStyle w:val="CalloutTitle"/>
            </w:pPr>
            <w:r>
              <w:t>Leitunterscheidung</w:t>
            </w:r>
          </w:p>
          <w:p>
            <w:pPr>
              <w:pStyle w:val="CalloutBody"/>
            </w:pPr>
            <w:r>
              <w:t>Die Wirkungsschule ersetzt Basiskompetenzen nicht durch Zukunftskompetenzen. Sie verbindet beides: Basiskompetenzen machen Wirkungskompetenz belastbar; Wirkungskompetenz macht Basiskompetenzen relevant.</w:t>
            </w:r>
          </w:p>
        </w:tc>
      </w:tr>
    </w:tbl>
    <w:p/>
    <w:p>
      <w:pPr>
        <w:pStyle w:val="Heading1"/>
      </w:pPr>
      <w:r>
        <w:t>9. Das Fach oder Lernfeld Zukunft</w:t>
      </w:r>
    </w:p>
    <w:p>
      <w:pPr>
        <w:pStyle w:val="BodyText"/>
      </w:pPr>
      <w:r>
        <w:t>Die Wirkungsschule braucht einen sichtbaren Knotenpunkt im Curriculum: das Fach oder Lernfeld Zukunft. Dieses Lernfeld ist kein weiteres Stofffach, das den Stundenplan überlastet. Es kann als Projektband, Querschnittsfach, fächerverbindender Lernbereich, kommunales Lernlabor, Modulwoche oder wiederkehrende Werkstatt umgesetzt werden.</w:t>
      </w:r>
    </w:p>
    <w:p>
      <w:pPr>
        <w:pStyle w:val="BodyText"/>
      </w:pPr>
      <w:r>
        <w:t>Sein Zweck ist nicht, Zukunft vorherzusagen. Sein Zweck ist, Wirkungen zu verstehen, bevor Zukunft zur Krise wird. Es verbindet Fächer über reale Fragen: Wie hängt Hitze mit Stadtplanung und Gesundheit zusammen? Warum kann ein billiges Produkt für andere teuer werden? Wie verändern Algorithmen Öffentlichkeit? Was passiert, wenn Pflege fehlt? Welche Wirkung hat politische Sprache? Wie erkennt man Desinformation? Wie verändert KI Arbeit, Lernen und Verantwortung?</w:t>
      </w:r>
    </w:p>
    <w:p>
      <w:pPr>
        <w:pStyle w:val="BodyText"/>
      </w:pPr>
      <w:r>
        <w:t>Das Lernfeld Zukunft macht die Wirkungsökonomie schulisch erfahrbar, ohne sie als Ideologie zu lehren. Es eröffnet einen Raum, in dem Schüler:innen Fragen stellen, Daten prüfen, Zielkonflikte erkennen, Projekte entwickeln, Quellen bewerten, demokratisch streiten und Verantwortung altersgerecht übernehmen.</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3137"/>
            <w:shd w:fill="1F4E5F"/>
            <w:vAlign w:val="top"/>
            <w:tcMar>
              <w:top w:w="120" w:type="dxa"/>
              <w:start w:w="120" w:type="dxa"/>
              <w:bottom w:w="120" w:type="dxa"/>
              <w:end w:w="120" w:type="dxa"/>
            </w:tcMar>
          </w:tcPr>
          <w:p>
            <w:pPr>
              <w:pStyle w:val="TableHeaderText"/>
            </w:pPr>
            <w:r>
              <w:t>Modul</w:t>
            </w:r>
          </w:p>
        </w:tc>
        <w:tc>
          <w:tcPr>
            <w:tcW w:type="dxa" w:w="3137"/>
            <w:shd w:fill="1F4E5F"/>
            <w:vAlign w:val="top"/>
            <w:tcMar>
              <w:top w:w="120" w:type="dxa"/>
              <w:start w:w="120" w:type="dxa"/>
              <w:bottom w:w="120" w:type="dxa"/>
              <w:end w:w="120" w:type="dxa"/>
            </w:tcMar>
          </w:tcPr>
          <w:p>
            <w:pPr>
              <w:pStyle w:val="TableHeaderText"/>
            </w:pPr>
            <w:r>
              <w:t>Leitfrage</w:t>
            </w:r>
          </w:p>
        </w:tc>
        <w:tc>
          <w:tcPr>
            <w:tcW w:type="dxa" w:w="3137"/>
            <w:shd w:fill="1F4E5F"/>
            <w:vAlign w:val="top"/>
            <w:tcMar>
              <w:top w:w="120" w:type="dxa"/>
              <w:start w:w="120" w:type="dxa"/>
              <w:bottom w:w="120" w:type="dxa"/>
              <w:end w:w="120" w:type="dxa"/>
            </w:tcMar>
          </w:tcPr>
          <w:p>
            <w:pPr>
              <w:pStyle w:val="TableHeaderText"/>
            </w:pPr>
            <w:r>
              <w:t>Beispielhafte Inhalte</w:t>
            </w:r>
          </w:p>
        </w:tc>
      </w:tr>
      <w:tr>
        <w:trPr>
          <w:cantSplit/>
        </w:trPr>
        <w:tc>
          <w:tcPr>
            <w:tcW w:type="dxa" w:w="3137"/>
            <w:shd w:fill="F2F7F9"/>
            <w:tcMar>
              <w:top w:w="120" w:type="dxa"/>
              <w:start w:w="120" w:type="dxa"/>
              <w:bottom w:w="120" w:type="dxa"/>
              <w:end w:w="120" w:type="dxa"/>
            </w:tcMar>
            <w:vAlign w:val="top"/>
          </w:tcPr>
          <w:p>
            <w:pPr>
              <w:pStyle w:val="TableBodyText"/>
            </w:pPr>
            <w:r>
              <w:t>Systemdenken</w:t>
            </w:r>
          </w:p>
        </w:tc>
        <w:tc>
          <w:tcPr>
            <w:tcW w:type="dxa" w:w="3137"/>
            <w:tcMar>
              <w:top w:w="120" w:type="dxa"/>
              <w:start w:w="120" w:type="dxa"/>
              <w:bottom w:w="120" w:type="dxa"/>
              <w:end w:w="120" w:type="dxa"/>
            </w:tcMar>
            <w:vAlign w:val="top"/>
          </w:tcPr>
          <w:p>
            <w:pPr>
              <w:pStyle w:val="TableBodyText"/>
            </w:pPr>
            <w:r>
              <w:t>Wie hängen Dinge zusammen?</w:t>
            </w:r>
          </w:p>
        </w:tc>
        <w:tc>
          <w:tcPr>
            <w:tcW w:type="dxa" w:w="3137"/>
            <w:tcMar>
              <w:top w:w="120" w:type="dxa"/>
              <w:start w:w="120" w:type="dxa"/>
              <w:bottom w:w="120" w:type="dxa"/>
              <w:end w:w="120" w:type="dxa"/>
            </w:tcMar>
            <w:vAlign w:val="top"/>
          </w:tcPr>
          <w:p>
            <w:pPr>
              <w:pStyle w:val="TableBodyText"/>
            </w:pPr>
            <w:r>
              <w:t>Rückkopplungen, Nebenwirkungen, Kipppunkte, Rebound, Vernetzung.</w:t>
            </w:r>
          </w:p>
        </w:tc>
      </w:tr>
      <w:tr>
        <w:trPr>
          <w:cantSplit/>
        </w:trPr>
        <w:tc>
          <w:tcPr>
            <w:tcW w:type="dxa" w:w="3137"/>
            <w:shd w:fill="F2F7F9"/>
            <w:tcMar>
              <w:top w:w="120" w:type="dxa"/>
              <w:start w:w="120" w:type="dxa"/>
              <w:bottom w:w="120" w:type="dxa"/>
              <w:end w:w="120" w:type="dxa"/>
            </w:tcMar>
            <w:vAlign w:val="top"/>
          </w:tcPr>
          <w:p>
            <w:pPr>
              <w:pStyle w:val="TableBodyText"/>
            </w:pPr>
            <w:r>
              <w:t>Mensch, Planet und Demokratie</w:t>
            </w:r>
          </w:p>
        </w:tc>
        <w:tc>
          <w:tcPr>
            <w:tcW w:type="dxa" w:w="3137"/>
            <w:tcMar>
              <w:top w:w="120" w:type="dxa"/>
              <w:start w:w="120" w:type="dxa"/>
              <w:bottom w:w="120" w:type="dxa"/>
              <w:end w:w="120" w:type="dxa"/>
            </w:tcMar>
            <w:vAlign w:val="top"/>
          </w:tcPr>
          <w:p>
            <w:pPr>
              <w:pStyle w:val="TableBodyText"/>
            </w:pPr>
            <w:r>
              <w:t>Woran bewerten wir Wirkung?</w:t>
            </w:r>
          </w:p>
        </w:tc>
        <w:tc>
          <w:tcPr>
            <w:tcW w:type="dxa" w:w="3137"/>
            <w:tcMar>
              <w:top w:w="120" w:type="dxa"/>
              <w:start w:w="120" w:type="dxa"/>
              <w:bottom w:w="120" w:type="dxa"/>
              <w:end w:w="120" w:type="dxa"/>
            </w:tcMar>
            <w:vAlign w:val="top"/>
          </w:tcPr>
          <w:p>
            <w:pPr>
              <w:pStyle w:val="TableBodyText"/>
            </w:pPr>
            <w:r>
              <w:t>SDGs, Agenda 2030, SDG+, Würde, Teilhabe, Klima, Institutionen, Rechte.</w:t>
            </w:r>
          </w:p>
        </w:tc>
      </w:tr>
      <w:tr>
        <w:trPr>
          <w:cantSplit/>
        </w:trPr>
        <w:tc>
          <w:tcPr>
            <w:tcW w:type="dxa" w:w="3137"/>
            <w:shd w:fill="F2F7F9"/>
            <w:tcMar>
              <w:top w:w="120" w:type="dxa"/>
              <w:start w:w="120" w:type="dxa"/>
              <w:bottom w:w="120" w:type="dxa"/>
              <w:end w:w="120" w:type="dxa"/>
            </w:tcMar>
            <w:vAlign w:val="top"/>
          </w:tcPr>
          <w:p>
            <w:pPr>
              <w:pStyle w:val="TableBodyText"/>
            </w:pPr>
            <w:r>
              <w:t>Zukunft und Risiko</w:t>
            </w:r>
          </w:p>
        </w:tc>
        <w:tc>
          <w:tcPr>
            <w:tcW w:type="dxa" w:w="3137"/>
            <w:tcMar>
              <w:top w:w="120" w:type="dxa"/>
              <w:start w:w="120" w:type="dxa"/>
              <w:bottom w:w="120" w:type="dxa"/>
              <w:end w:w="120" w:type="dxa"/>
            </w:tcMar>
            <w:vAlign w:val="top"/>
          </w:tcPr>
          <w:p>
            <w:pPr>
              <w:pStyle w:val="TableBodyText"/>
            </w:pPr>
            <w:r>
              <w:t>Wie gehen wir mit Unsicherheit um?</w:t>
            </w:r>
          </w:p>
        </w:tc>
        <w:tc>
          <w:tcPr>
            <w:tcW w:type="dxa" w:w="3137"/>
            <w:tcMar>
              <w:top w:w="120" w:type="dxa"/>
              <w:start w:w="120" w:type="dxa"/>
              <w:bottom w:w="120" w:type="dxa"/>
              <w:end w:w="120" w:type="dxa"/>
            </w:tcMar>
            <w:vAlign w:val="top"/>
          </w:tcPr>
          <w:p>
            <w:pPr>
              <w:pStyle w:val="TableBodyText"/>
            </w:pPr>
            <w:r>
              <w:t>Vorsorge, Resilienz, Szenarien, Datenqualität, Wahrscheinlichkeiten, Zielkonflikte.</w:t>
            </w:r>
          </w:p>
        </w:tc>
      </w:tr>
      <w:tr>
        <w:trPr>
          <w:cantSplit/>
        </w:trPr>
        <w:tc>
          <w:tcPr>
            <w:tcW w:type="dxa" w:w="3137"/>
            <w:shd w:fill="F2F7F9"/>
            <w:tcMar>
              <w:top w:w="120" w:type="dxa"/>
              <w:start w:w="120" w:type="dxa"/>
              <w:bottom w:w="120" w:type="dxa"/>
              <w:end w:w="120" w:type="dxa"/>
            </w:tcMar>
            <w:vAlign w:val="top"/>
          </w:tcPr>
          <w:p>
            <w:pPr>
              <w:pStyle w:val="TableBodyText"/>
            </w:pPr>
            <w:r>
              <w:t>Wirtschaft und Wirkung</w:t>
            </w:r>
          </w:p>
        </w:tc>
        <w:tc>
          <w:tcPr>
            <w:tcW w:type="dxa" w:w="3137"/>
            <w:tcMar>
              <w:top w:w="120" w:type="dxa"/>
              <w:start w:w="120" w:type="dxa"/>
              <w:bottom w:w="120" w:type="dxa"/>
              <w:end w:w="120" w:type="dxa"/>
            </w:tcMar>
            <w:vAlign w:val="top"/>
          </w:tcPr>
          <w:p>
            <w:pPr>
              <w:pStyle w:val="TableBodyText"/>
            </w:pPr>
            <w:r>
              <w:t>Warum sagen Preise nicht die ganze Wahrheit?</w:t>
            </w:r>
          </w:p>
        </w:tc>
        <w:tc>
          <w:tcPr>
            <w:tcW w:type="dxa" w:w="3137"/>
            <w:tcMar>
              <w:top w:w="120" w:type="dxa"/>
              <w:start w:w="120" w:type="dxa"/>
              <w:bottom w:w="120" w:type="dxa"/>
              <w:end w:w="120" w:type="dxa"/>
            </w:tcMar>
            <w:vAlign w:val="top"/>
          </w:tcPr>
          <w:p>
            <w:pPr>
              <w:pStyle w:val="TableBodyText"/>
            </w:pPr>
            <w:r>
              <w:t>Externalitäten, ehrliche Preise, Lieferketten, Arbeit, Kapital, Wirkung statt Kapital.</w:t>
            </w:r>
          </w:p>
        </w:tc>
      </w:tr>
      <w:tr>
        <w:trPr>
          <w:cantSplit/>
        </w:trPr>
        <w:tc>
          <w:tcPr>
            <w:tcW w:type="dxa" w:w="3137"/>
            <w:shd w:fill="F2F7F9"/>
            <w:tcMar>
              <w:top w:w="120" w:type="dxa"/>
              <w:start w:w="120" w:type="dxa"/>
              <w:bottom w:w="120" w:type="dxa"/>
              <w:end w:w="120" w:type="dxa"/>
            </w:tcMar>
            <w:vAlign w:val="top"/>
          </w:tcPr>
          <w:p>
            <w:pPr>
              <w:pStyle w:val="TableBodyText"/>
            </w:pPr>
            <w:r>
              <w:t>Kommunikation und Resonanz</w:t>
            </w:r>
          </w:p>
        </w:tc>
        <w:tc>
          <w:tcPr>
            <w:tcW w:type="dxa" w:w="3137"/>
            <w:tcMar>
              <w:top w:w="120" w:type="dxa"/>
              <w:start w:w="120" w:type="dxa"/>
              <w:bottom w:w="120" w:type="dxa"/>
              <w:end w:w="120" w:type="dxa"/>
            </w:tcMar>
            <w:vAlign w:val="top"/>
          </w:tcPr>
          <w:p>
            <w:pPr>
              <w:pStyle w:val="TableBodyText"/>
            </w:pPr>
            <w:r>
              <w:t>Wie wirken Sprache, Bilder und Plattformen?</w:t>
            </w:r>
          </w:p>
        </w:tc>
        <w:tc>
          <w:tcPr>
            <w:tcW w:type="dxa" w:w="3137"/>
            <w:tcMar>
              <w:top w:w="120" w:type="dxa"/>
              <w:start w:w="120" w:type="dxa"/>
              <w:bottom w:w="120" w:type="dxa"/>
              <w:end w:w="120" w:type="dxa"/>
            </w:tcMar>
            <w:vAlign w:val="top"/>
          </w:tcPr>
          <w:p>
            <w:pPr>
              <w:pStyle w:val="TableBodyText"/>
            </w:pPr>
            <w:r>
              <w:t>Frames, Desinformation, Quellenklarheit, Streitfähigkeit, KI, Medienqualität.</w:t>
            </w:r>
          </w:p>
        </w:tc>
      </w:tr>
      <w:tr>
        <w:trPr>
          <w:cantSplit/>
        </w:trPr>
        <w:tc>
          <w:tcPr>
            <w:tcW w:type="dxa" w:w="3137"/>
            <w:shd w:fill="F2F7F9"/>
            <w:tcMar>
              <w:top w:w="120" w:type="dxa"/>
              <w:start w:w="120" w:type="dxa"/>
              <w:bottom w:w="120" w:type="dxa"/>
              <w:end w:w="120" w:type="dxa"/>
            </w:tcMar>
            <w:vAlign w:val="top"/>
          </w:tcPr>
          <w:p>
            <w:pPr>
              <w:pStyle w:val="TableBodyText"/>
            </w:pPr>
            <w:r>
              <w:t>Projekt und Teilgabe</w:t>
            </w:r>
          </w:p>
        </w:tc>
        <w:tc>
          <w:tcPr>
            <w:tcW w:type="dxa" w:w="3137"/>
            <w:tcMar>
              <w:top w:w="120" w:type="dxa"/>
              <w:start w:w="120" w:type="dxa"/>
              <w:bottom w:w="120" w:type="dxa"/>
              <w:end w:w="120" w:type="dxa"/>
            </w:tcMar>
            <w:vAlign w:val="top"/>
          </w:tcPr>
          <w:p>
            <w:pPr>
              <w:pStyle w:val="TableBodyText"/>
            </w:pPr>
            <w:r>
              <w:t>Was können wir verändern?</w:t>
            </w:r>
          </w:p>
        </w:tc>
        <w:tc>
          <w:tcPr>
            <w:tcW w:type="dxa" w:w="3137"/>
            <w:tcMar>
              <w:top w:w="120" w:type="dxa"/>
              <w:start w:w="120" w:type="dxa"/>
              <w:bottom w:w="120" w:type="dxa"/>
              <w:end w:w="120" w:type="dxa"/>
            </w:tcMar>
            <w:vAlign w:val="top"/>
          </w:tcPr>
          <w:p>
            <w:pPr>
              <w:pStyle w:val="TableBodyText"/>
            </w:pPr>
            <w:r>
              <w:t>Schulhof, Energie, Ernährung, Mobilität, Mentoring, Kultur, Beteiligung, Evaluation.</w:t>
            </w:r>
          </w:p>
        </w:tc>
      </w:tr>
    </w:tbl>
    <w:p>
      <w:pPr>
        <w:pStyle w:val="Heading1"/>
      </w:pPr>
      <w:r>
        <w:t>10. Fächer neu denken, ohne Fachlichkeit zu verlieren</w:t>
      </w:r>
    </w:p>
    <w:p>
      <w:pPr>
        <w:pStyle w:val="BodyText"/>
      </w:pPr>
      <w:r>
        <w:t>Fächer verschwinden in der Wirkungsschule nicht. Sie werden zu Perspektiven auf gemeinsame Wirkungsfragen. Gerade komplexe Probleme brauchen disziplinäre Tiefe. Die Kunst besteht darin, Fachlichkeit nicht gegen Vernetzung auszuspielen, sondern Fachlichkeit als Werkzeug für Wirkungsverständnis zu nutzen.</w:t>
      </w:r>
    </w:p>
    <w:p>
      <w:pPr>
        <w:pStyle w:val="BodyText"/>
      </w:pPr>
      <w:r>
        <w:t>Mathematik hilft, Daten, Wahrscheinlichkeiten, Skalierungen, Risiken, Budgets, Verzerrungen und Modellgrenzen zu verstehen. Physik erklärt Energie, Wärme, Mobilität, Material und technische Grenzen. Biologie erschließt Gesundheit, Ökosysteme, Boden, Wasser, Ernährung und Biodiversität. Geschichte wird zur Wirkungsgeschichte: Erfindungen, soziale Bewegungen, Gewalt, Kolonialismus, Industrialisierung, Frauenbewegung, Gewerkschaften, Demokratiekämpfe und Umweltbewegungen werden als Folgenketten lesbar.</w:t>
      </w:r>
    </w:p>
    <w:p>
      <w:pPr>
        <w:pStyle w:val="BodyText"/>
      </w:pPr>
      <w:r>
        <w:t>Deutsch und Sprachen werden zu Fächern der Wirkungsreflexion, weil Begriffe, Frames, Erzählungen, Tonalität, Übersetzung und Argumentation Wirkungsräume öffnen oder schließen. Kunst, Musik und Kultur zeigen, wie Wahrnehmung, Identität, Resonanz und Gemeinschaft entstehen. Sport und Gesundheit zeigen Körper, Selbstregulation, Team, Stress, Bewegung und Beziehung. Informatik erschließt Daten, Algorithmen, KI, Plattformen, Sicherheit und digitale Selbstbestimmung.</w:t>
      </w:r>
    </w:p>
    <w:p>
      <w:pPr>
        <w:pStyle w:val="BodyText"/>
      </w:pPr>
      <w:r>
        <w:t>So entsteht keine beliebige Fächervermischung, sondern eine stärkere Fachlichkeit: Jede Disziplin behält ihre Methoden, aber sie wird nicht mehr aus der Wirklichkeit herausgelöst. Schüler:innen lernen, dass Fächer nicht Kästchen im Stundenplan sind, sondern Werkzeuge, um Welt genauer zu verstehen.</w:t>
      </w:r>
    </w:p>
    <w:p>
      <w:pPr>
        <w:pStyle w:val="Heading1"/>
      </w:pPr>
      <w:r>
        <w:t>11. Bewertung, Noten und Wirkungsportfolio</w:t>
      </w:r>
    </w:p>
    <w:p>
      <w:pPr>
        <w:pStyle w:val="BodyText"/>
      </w:pPr>
      <w:r>
        <w:t>Die Wirkungsschule schafft Noten nicht automatisch ab. Sie relativiert aber ihren Absolutheitsanspruch. Noten können Orientierung geben, Leistungsanforderungen sichtbar machen und Übergänge strukturieren. Gleichzeitig können sie Entwicklung verengen, Angst erzeugen, Momentaufnahmen überbewerten, soziale Herkunft verstärken und Lernwege unsichtbar machen.</w:t>
      </w:r>
    </w:p>
    <w:p>
      <w:pPr>
        <w:pStyle w:val="BodyText"/>
      </w:pPr>
      <w:r>
        <w:t>Ein Wirkungsportfolio ergänzt diese Logik. Es dokumentiert Lernwege, Projekte, Reflexionen, Feedback, Fehler, Korrekturen, Kooperation, Quellenarbeit, Wirkungspfade und Kompetenzentwicklung. Es fragt nicht nur: Welche Note steht am Ende? Sondern: Wie hat sich Verständnis verändert? Welche Fragen wurden besser? Welche Daten wurden geprüft? Welche Verantwortung wurde übernommen? Welche Rückmeldung wurde genutzt? Welche Wirkung wurde angestrebt, welche trat ein, welche blieb unklar?</w:t>
      </w:r>
    </w:p>
    <w:p>
      <w:pPr>
        <w:pStyle w:val="BodyText"/>
      </w:pPr>
      <w:r>
        <w:t>Ein Portfolio ist kein Persönlichkeitsprofil und kein Ranking. Es bewertet nicht den Wert eines Kindes. Es darf nicht zur algorithmischen Sortierung, zur dauerhaften Stigmatisierung oder zur sozialen Kontrolle werden. Sein Zweck ist Lernen, nicht Überwachung. Es gehört den Lernenden, wird pädagogisch begleitet und nur in klaren Grenzen genutzt.</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2353"/>
            <w:shd w:fill="1F4E5F"/>
            <w:vAlign w:val="top"/>
            <w:tcMar>
              <w:top w:w="120" w:type="dxa"/>
              <w:start w:w="120" w:type="dxa"/>
              <w:bottom w:w="120" w:type="dxa"/>
              <w:end w:w="120" w:type="dxa"/>
            </w:tcMar>
          </w:tcPr>
          <w:p>
            <w:pPr>
              <w:pStyle w:val="TableHeaderText"/>
            </w:pPr>
            <w:r>
              <w:t>Bewertungsform</w:t>
            </w:r>
          </w:p>
        </w:tc>
        <w:tc>
          <w:tcPr>
            <w:tcW w:type="dxa" w:w="2353"/>
            <w:shd w:fill="1F4E5F"/>
            <w:vAlign w:val="top"/>
            <w:tcMar>
              <w:top w:w="120" w:type="dxa"/>
              <w:start w:w="120" w:type="dxa"/>
              <w:bottom w:w="120" w:type="dxa"/>
              <w:end w:w="120" w:type="dxa"/>
            </w:tcMar>
          </w:tcPr>
          <w:p>
            <w:pPr>
              <w:pStyle w:val="TableHeaderText"/>
            </w:pPr>
            <w:r>
              <w:t>Stärke</w:t>
            </w:r>
          </w:p>
        </w:tc>
        <w:tc>
          <w:tcPr>
            <w:tcW w:type="dxa" w:w="2353"/>
            <w:shd w:fill="1F4E5F"/>
            <w:vAlign w:val="top"/>
            <w:tcMar>
              <w:top w:w="120" w:type="dxa"/>
              <w:start w:w="120" w:type="dxa"/>
              <w:bottom w:w="120" w:type="dxa"/>
              <w:end w:w="120" w:type="dxa"/>
            </w:tcMar>
          </w:tcPr>
          <w:p>
            <w:pPr>
              <w:pStyle w:val="TableHeaderText"/>
            </w:pPr>
            <w:r>
              <w:t>Grenze</w:t>
            </w:r>
          </w:p>
        </w:tc>
        <w:tc>
          <w:tcPr>
            <w:tcW w:type="dxa" w:w="2353"/>
            <w:shd w:fill="1F4E5F"/>
            <w:vAlign w:val="top"/>
            <w:tcMar>
              <w:top w:w="120" w:type="dxa"/>
              <w:start w:w="120" w:type="dxa"/>
              <w:bottom w:w="120" w:type="dxa"/>
              <w:end w:w="120" w:type="dxa"/>
            </w:tcMar>
          </w:tcPr>
          <w:p>
            <w:pPr>
              <w:pStyle w:val="TableHeaderText"/>
            </w:pPr>
            <w:r>
              <w:t>Wirkungsorientierte Ergänzung</w:t>
            </w:r>
          </w:p>
        </w:tc>
      </w:tr>
      <w:tr>
        <w:trPr>
          <w:cantSplit/>
        </w:trPr>
        <w:tc>
          <w:tcPr>
            <w:tcW w:type="dxa" w:w="2353"/>
            <w:shd w:fill="F2F7F9"/>
            <w:tcMar>
              <w:top w:w="120" w:type="dxa"/>
              <w:start w:w="120" w:type="dxa"/>
              <w:bottom w:w="120" w:type="dxa"/>
              <w:end w:w="120" w:type="dxa"/>
            </w:tcMar>
            <w:vAlign w:val="top"/>
          </w:tcPr>
          <w:p>
            <w:pPr>
              <w:pStyle w:val="TableBodyText"/>
            </w:pPr>
            <w:r>
              <w:t>Note</w:t>
            </w:r>
          </w:p>
        </w:tc>
        <w:tc>
          <w:tcPr>
            <w:tcW w:type="dxa" w:w="2353"/>
            <w:tcMar>
              <w:top w:w="120" w:type="dxa"/>
              <w:start w:w="120" w:type="dxa"/>
              <w:bottom w:w="120" w:type="dxa"/>
              <w:end w:w="120" w:type="dxa"/>
            </w:tcMar>
            <w:vAlign w:val="top"/>
          </w:tcPr>
          <w:p>
            <w:pPr>
              <w:pStyle w:val="TableBodyText"/>
            </w:pPr>
            <w:r>
              <w:t>Kurz, vergleichbar, anschlussfähig.</w:t>
            </w:r>
          </w:p>
        </w:tc>
        <w:tc>
          <w:tcPr>
            <w:tcW w:type="dxa" w:w="2353"/>
            <w:tcMar>
              <w:top w:w="120" w:type="dxa"/>
              <w:start w:w="120" w:type="dxa"/>
              <w:bottom w:w="120" w:type="dxa"/>
              <w:end w:w="120" w:type="dxa"/>
            </w:tcMar>
            <w:vAlign w:val="top"/>
          </w:tcPr>
          <w:p>
            <w:pPr>
              <w:pStyle w:val="TableBodyText"/>
            </w:pPr>
            <w:r>
              <w:t>Momentaufnahme, Reduktion, Druck.</w:t>
            </w:r>
          </w:p>
        </w:tc>
        <w:tc>
          <w:tcPr>
            <w:tcW w:type="dxa" w:w="2353"/>
            <w:tcMar>
              <w:top w:w="120" w:type="dxa"/>
              <w:start w:w="120" w:type="dxa"/>
              <w:bottom w:w="120" w:type="dxa"/>
              <w:end w:w="120" w:type="dxa"/>
            </w:tcMar>
            <w:vAlign w:val="top"/>
          </w:tcPr>
          <w:p>
            <w:pPr>
              <w:pStyle w:val="TableBodyText"/>
            </w:pPr>
            <w:r>
              <w:t>Feedback und Lernweg ergänzen.</w:t>
            </w:r>
          </w:p>
        </w:tc>
      </w:tr>
      <w:tr>
        <w:trPr>
          <w:cantSplit/>
        </w:trPr>
        <w:tc>
          <w:tcPr>
            <w:tcW w:type="dxa" w:w="2353"/>
            <w:shd w:fill="F2F7F9"/>
            <w:tcMar>
              <w:top w:w="120" w:type="dxa"/>
              <w:start w:w="120" w:type="dxa"/>
              <w:bottom w:w="120" w:type="dxa"/>
              <w:end w:w="120" w:type="dxa"/>
            </w:tcMar>
            <w:vAlign w:val="top"/>
          </w:tcPr>
          <w:p>
            <w:pPr>
              <w:pStyle w:val="TableBodyText"/>
            </w:pPr>
            <w:r>
              <w:t>Kompetenzraster</w:t>
            </w:r>
          </w:p>
        </w:tc>
        <w:tc>
          <w:tcPr>
            <w:tcW w:type="dxa" w:w="2353"/>
            <w:tcMar>
              <w:top w:w="120" w:type="dxa"/>
              <w:start w:w="120" w:type="dxa"/>
              <w:bottom w:w="120" w:type="dxa"/>
              <w:end w:w="120" w:type="dxa"/>
            </w:tcMar>
            <w:vAlign w:val="top"/>
          </w:tcPr>
          <w:p>
            <w:pPr>
              <w:pStyle w:val="TableBodyText"/>
            </w:pPr>
            <w:r>
              <w:t>Macht Entwicklungsstände sichtbar.</w:t>
            </w:r>
          </w:p>
        </w:tc>
        <w:tc>
          <w:tcPr>
            <w:tcW w:type="dxa" w:w="2353"/>
            <w:tcMar>
              <w:top w:w="120" w:type="dxa"/>
              <w:start w:w="120" w:type="dxa"/>
              <w:bottom w:w="120" w:type="dxa"/>
              <w:end w:w="120" w:type="dxa"/>
            </w:tcMar>
            <w:vAlign w:val="top"/>
          </w:tcPr>
          <w:p>
            <w:pPr>
              <w:pStyle w:val="TableBodyText"/>
            </w:pPr>
            <w:r>
              <w:t>Kann schematisch werden.</w:t>
            </w:r>
          </w:p>
        </w:tc>
        <w:tc>
          <w:tcPr>
            <w:tcW w:type="dxa" w:w="2353"/>
            <w:tcMar>
              <w:top w:w="120" w:type="dxa"/>
              <w:start w:w="120" w:type="dxa"/>
              <w:bottom w:w="120" w:type="dxa"/>
              <w:end w:w="120" w:type="dxa"/>
            </w:tcMar>
            <w:vAlign w:val="top"/>
          </w:tcPr>
          <w:p>
            <w:pPr>
              <w:pStyle w:val="TableBodyText"/>
            </w:pPr>
            <w:r>
              <w:t>Kontext und Reflexion hinzufügen.</w:t>
            </w:r>
          </w:p>
        </w:tc>
      </w:tr>
      <w:tr>
        <w:trPr>
          <w:cantSplit/>
        </w:trPr>
        <w:tc>
          <w:tcPr>
            <w:tcW w:type="dxa" w:w="2353"/>
            <w:shd w:fill="F2F7F9"/>
            <w:tcMar>
              <w:top w:w="120" w:type="dxa"/>
              <w:start w:w="120" w:type="dxa"/>
              <w:bottom w:w="120" w:type="dxa"/>
              <w:end w:w="120" w:type="dxa"/>
            </w:tcMar>
            <w:vAlign w:val="top"/>
          </w:tcPr>
          <w:p>
            <w:pPr>
              <w:pStyle w:val="TableBodyText"/>
            </w:pPr>
            <w:r>
              <w:t>Portfolio</w:t>
            </w:r>
          </w:p>
        </w:tc>
        <w:tc>
          <w:tcPr>
            <w:tcW w:type="dxa" w:w="2353"/>
            <w:tcMar>
              <w:top w:w="120" w:type="dxa"/>
              <w:start w:w="120" w:type="dxa"/>
              <w:bottom w:w="120" w:type="dxa"/>
              <w:end w:w="120" w:type="dxa"/>
            </w:tcMar>
            <w:vAlign w:val="top"/>
          </w:tcPr>
          <w:p>
            <w:pPr>
              <w:pStyle w:val="TableBodyText"/>
            </w:pPr>
            <w:r>
              <w:t>Zeigt Prozess, Korrektur, Projekt, Quellenarbeit.</w:t>
            </w:r>
          </w:p>
        </w:tc>
        <w:tc>
          <w:tcPr>
            <w:tcW w:type="dxa" w:w="2353"/>
            <w:tcMar>
              <w:top w:w="120" w:type="dxa"/>
              <w:start w:w="120" w:type="dxa"/>
              <w:bottom w:w="120" w:type="dxa"/>
              <w:end w:w="120" w:type="dxa"/>
            </w:tcMar>
            <w:vAlign w:val="top"/>
          </w:tcPr>
          <w:p>
            <w:pPr>
              <w:pStyle w:val="TableBodyText"/>
            </w:pPr>
            <w:r>
              <w:t>Kann aufwendig oder übergriffig werden.</w:t>
            </w:r>
          </w:p>
        </w:tc>
        <w:tc>
          <w:tcPr>
            <w:tcW w:type="dxa" w:w="2353"/>
            <w:tcMar>
              <w:top w:w="120" w:type="dxa"/>
              <w:start w:w="120" w:type="dxa"/>
              <w:bottom w:w="120" w:type="dxa"/>
              <w:end w:w="120" w:type="dxa"/>
            </w:tcMar>
            <w:vAlign w:val="top"/>
          </w:tcPr>
          <w:p>
            <w:pPr>
              <w:pStyle w:val="TableBodyText"/>
            </w:pPr>
            <w:r>
              <w:t>Klare Schutzregeln und pädagogische Nutzung.</w:t>
            </w:r>
          </w:p>
        </w:tc>
      </w:tr>
      <w:tr>
        <w:trPr>
          <w:cantSplit/>
        </w:trPr>
        <w:tc>
          <w:tcPr>
            <w:tcW w:type="dxa" w:w="2353"/>
            <w:shd w:fill="F2F7F9"/>
            <w:tcMar>
              <w:top w:w="120" w:type="dxa"/>
              <w:start w:w="120" w:type="dxa"/>
              <w:bottom w:w="120" w:type="dxa"/>
              <w:end w:w="120" w:type="dxa"/>
            </w:tcMar>
            <w:vAlign w:val="top"/>
          </w:tcPr>
          <w:p>
            <w:pPr>
              <w:pStyle w:val="TableBodyText"/>
            </w:pPr>
            <w:r>
              <w:t>Projektpräsentation</w:t>
            </w:r>
          </w:p>
        </w:tc>
        <w:tc>
          <w:tcPr>
            <w:tcW w:type="dxa" w:w="2353"/>
            <w:tcMar>
              <w:top w:w="120" w:type="dxa"/>
              <w:start w:w="120" w:type="dxa"/>
              <w:bottom w:w="120" w:type="dxa"/>
              <w:end w:w="120" w:type="dxa"/>
            </w:tcMar>
            <w:vAlign w:val="top"/>
          </w:tcPr>
          <w:p>
            <w:pPr>
              <w:pStyle w:val="TableBodyText"/>
            </w:pPr>
            <w:r>
              <w:t>Macht Anwendung und Kommunikation sichtbar.</w:t>
            </w:r>
          </w:p>
        </w:tc>
        <w:tc>
          <w:tcPr>
            <w:tcW w:type="dxa" w:w="2353"/>
            <w:tcMar>
              <w:top w:w="120" w:type="dxa"/>
              <w:start w:w="120" w:type="dxa"/>
              <w:bottom w:w="120" w:type="dxa"/>
              <w:end w:w="120" w:type="dxa"/>
            </w:tcMar>
            <w:vAlign w:val="top"/>
          </w:tcPr>
          <w:p>
            <w:pPr>
              <w:pStyle w:val="TableBodyText"/>
            </w:pPr>
            <w:r>
              <w:t>Kann Rhetorik über Substanz stellen.</w:t>
            </w:r>
          </w:p>
        </w:tc>
        <w:tc>
          <w:tcPr>
            <w:tcW w:type="dxa" w:w="2353"/>
            <w:tcMar>
              <w:top w:w="120" w:type="dxa"/>
              <w:start w:w="120" w:type="dxa"/>
              <w:bottom w:w="120" w:type="dxa"/>
              <w:end w:w="120" w:type="dxa"/>
            </w:tcMar>
            <w:vAlign w:val="top"/>
          </w:tcPr>
          <w:p>
            <w:pPr>
              <w:pStyle w:val="TableBodyText"/>
            </w:pPr>
            <w:r>
              <w:t>Daten, Quellen und Zielkonflikte prüfen.</w:t>
            </w:r>
          </w:p>
        </w:tc>
      </w:tr>
      <w:tr>
        <w:trPr>
          <w:cantSplit/>
        </w:trPr>
        <w:tc>
          <w:tcPr>
            <w:tcW w:type="dxa" w:w="2353"/>
            <w:shd w:fill="F2F7F9"/>
            <w:tcMar>
              <w:top w:w="120" w:type="dxa"/>
              <w:start w:w="120" w:type="dxa"/>
              <w:bottom w:w="120" w:type="dxa"/>
              <w:end w:w="120" w:type="dxa"/>
            </w:tcMar>
            <w:vAlign w:val="top"/>
          </w:tcPr>
          <w:p>
            <w:pPr>
              <w:pStyle w:val="TableBodyText"/>
            </w:pPr>
            <w:r>
              <w:t>Peer-Feedback</w:t>
            </w:r>
          </w:p>
        </w:tc>
        <w:tc>
          <w:tcPr>
            <w:tcW w:type="dxa" w:w="2353"/>
            <w:tcMar>
              <w:top w:w="120" w:type="dxa"/>
              <w:start w:w="120" w:type="dxa"/>
              <w:bottom w:w="120" w:type="dxa"/>
              <w:end w:w="120" w:type="dxa"/>
            </w:tcMar>
            <w:vAlign w:val="top"/>
          </w:tcPr>
          <w:p>
            <w:pPr>
              <w:pStyle w:val="TableBodyText"/>
            </w:pPr>
            <w:r>
              <w:t>Stärkt Perspektivwechsel und Diskurs.</w:t>
            </w:r>
          </w:p>
        </w:tc>
        <w:tc>
          <w:tcPr>
            <w:tcW w:type="dxa" w:w="2353"/>
            <w:tcMar>
              <w:top w:w="120" w:type="dxa"/>
              <w:start w:w="120" w:type="dxa"/>
              <w:bottom w:w="120" w:type="dxa"/>
              <w:end w:w="120" w:type="dxa"/>
            </w:tcMar>
            <w:vAlign w:val="top"/>
          </w:tcPr>
          <w:p>
            <w:pPr>
              <w:pStyle w:val="TableBodyText"/>
            </w:pPr>
            <w:r>
              <w:t>Kann verletzend oder gruppendynamisch verzerrt sein.</w:t>
            </w:r>
          </w:p>
        </w:tc>
        <w:tc>
          <w:tcPr>
            <w:tcW w:type="dxa" w:w="2353"/>
            <w:tcMar>
              <w:top w:w="120" w:type="dxa"/>
              <w:start w:w="120" w:type="dxa"/>
              <w:bottom w:w="120" w:type="dxa"/>
              <w:end w:w="120" w:type="dxa"/>
            </w:tcMar>
            <w:vAlign w:val="top"/>
          </w:tcPr>
          <w:p>
            <w:pPr>
              <w:pStyle w:val="TableBodyText"/>
            </w:pPr>
            <w:r>
              <w:t>Moderierte Kriterien und Schutzräume.</w:t>
            </w:r>
          </w:p>
        </w:tc>
      </w:tr>
    </w:tbl>
    <w:p>
      <w:pPr>
        <w:pStyle w:val="Heading1"/>
      </w:pPr>
      <w:r>
        <w:t>12. Wirkungsförderung: Prävention, Potenzial und Teilhabe</w:t>
      </w:r>
    </w:p>
    <w:p>
      <w:pPr>
        <w:pStyle w:val="BodyText"/>
      </w:pPr>
      <w:r>
        <w:t>Wirkungsförderung beginnt nicht erst beim Scheitern. Sie fragt früh nach Potenzialen, Teilhaberisiken, Belastungen, Mentoring, Sprachförderung, psychischer Unterstützung, Familiennetzwerken, außerschulischen Lernorten und Begabung. Förderung wird damit entstigmatisiert: Sie ist nicht das Reparaturprogramm für Kinder, die bereits versagt haben, sondern Teil einer Lernarchitektur, die unterschiedliche Wege ernst nimmt.</w:t>
      </w:r>
    </w:p>
    <w:p>
      <w:pPr>
        <w:pStyle w:val="BodyText"/>
      </w:pPr>
      <w:r>
        <w:t>Das ist ein zentraler Unterschied zur Defizitlogik. In vielen Systemen wird Hilfe erst ausgelöst, wenn ein Problem sichtbar, messbar und oft bereits verfestigt ist. Die Wirkungsschule fragt früher: Welche Bedingungen verhindern, dass dieses Kind sein Potenzial entfalten kann? Was fehlt im Umfeld? Wer könnte unterstützen? Welche Barrieren sind strukturell? Welche Ressourcen liegen außerhalb der Schule? Welche kleinen Interventionen haben große Wirkung?</w:t>
      </w:r>
    </w:p>
    <w:p>
      <w:pPr>
        <w:pStyle w:val="BodyText"/>
      </w:pPr>
      <w:r>
        <w:t>Wirkungsförderung verbindet Lernförderung, Sprachförderung, Begabungsförderung, Mentoring, Schulsozialarbeit, psychische Unterstützung, Gesundheitsprävention, kulturelle Angebote, Sport, Familienarbeit und kommunale Netzwerke. Sie ist kein Gnadenakt, sondern eine Frage von Bildungsgerechtigkeit und Systemintelligenz.</w:t>
      </w:r>
    </w:p>
    <w:tbl>
      <w:tblPr>
        <w:tblW w:type="auto" w:w="0"/>
        <w:jc w:val="center"/>
        <w:tblLayout w:type="autofit"/>
        <w:tblLook w:firstColumn="1" w:firstRow="1" w:lastColumn="0" w:lastRow="0" w:noHBand="0" w:noVBand="1" w:val="04A0"/>
      </w:tblPr>
      <w:tblGrid>
        <w:gridCol w:w="9412"/>
      </w:tblGrid>
      <w:tr>
        <w:trPr>
          <w:cantSplit/>
        </w:trPr>
        <w:tc>
          <w:tcPr>
            <w:tcW w:type="dxa" w:w="9412"/>
            <w:shd w:fill="DCEBF0"/>
            <w:tcMar>
              <w:top w:w="180" w:type="dxa"/>
              <w:start w:w="220" w:type="dxa"/>
              <w:bottom w:w="180" w:type="dxa"/>
              <w:end w:w="220" w:type="dxa"/>
            </w:tcMar>
            <w:tcBorders>
              <w:top w:val="single" w:sz="8" w:color="1F4E5F"/>
              <w:left w:val="single" w:sz="8" w:color="1F4E5F"/>
              <w:bottom w:val="single" w:sz="8" w:color="1F4E5F"/>
              <w:right w:val="single" w:sz="8" w:color="1F4E5F"/>
            </w:tcBorders>
            <w:vAlign w:val="top"/>
          </w:tcPr>
          <w:p>
            <w:pPr>
              <w:pStyle w:val="CalloutTitle"/>
            </w:pPr>
            <w:r>
              <w:t>Merksatz</w:t>
            </w:r>
          </w:p>
          <w:p>
            <w:pPr>
              <w:pStyle w:val="CalloutBody"/>
            </w:pPr>
            <w:r>
              <w:t>Prävention ist in der Wirkungsschule keine Zusatzleistung. Sie ist der höhere Wirkungsgrad von Bildung: weniger Reparatur, weniger Beschämung, mehr Teilhabe, mehr Potenzialentfaltung.</w:t>
            </w:r>
          </w:p>
        </w:tc>
      </w:tr>
    </w:tbl>
    <w:p/>
    <w:p>
      <w:pPr>
        <w:pStyle w:val="Heading1"/>
      </w:pPr>
      <w:r>
        <w:t>13. Digitale Mündigkeit, KI-Kompetenz und Medienwirkung</w:t>
      </w:r>
    </w:p>
    <w:p>
      <w:pPr>
        <w:pStyle w:val="BodyText"/>
      </w:pPr>
      <w:r>
        <w:t>Digitale Bildung ist nicht Geräteausstattung. Geräte können helfen, aber sie erzeugen keine Mündigkeit. Digitale Mündigkeit bedeutet, Daten, Quellen, Plattformlogiken, Algorithmen, KI, Datenschutz, Manipulation, Urheberfragen, Aufmerksamkeit und digitale Selbstbestimmung zu verstehen.</w:t>
      </w:r>
    </w:p>
    <w:p>
      <w:pPr>
        <w:pStyle w:val="BodyText"/>
      </w:pPr>
      <w:r>
        <w:t>Schüler:innen müssen lernen, dass digitale Räume Wirkungsräume sind. Ein Algorithmus sortiert nicht neutral. Er priorisiert, verstärkt, versteckt, emotionalisiert und verschiebt Aufmerksamkeit. Plattformen belohnen oft Erregung, Geschwindigkeit und Reaktion stärker als Sorgfalt, Wahrheit und Korrekturfähigkeit. KI kann Denken unterstützen, aber auch Fehler plausibel formulieren, Bias reproduzieren, Quellen verschleiern oder Abhängigkeit erzeugen.</w:t>
      </w:r>
    </w:p>
    <w:p>
      <w:pPr>
        <w:pStyle w:val="BodyText"/>
      </w:pPr>
      <w:r>
        <w:t>Zur digitalen Mündigkeit gehört daher die Unterscheidung zwischen Faktencheck und Wirkungsanalyse. Ein Faktencheck prüft, ob eine Aussage stimmt. Eine Wirkungsanalyse fragt zusätzlich: Welche Resonanzräume werden geöffnet? Welche Gefühle werden angesprochen? Wer wird beschämt oder entmenschlicht? Welche Rückkopplungen entstehen in Gruppen, Medien oder Politik? Welche Rolle spielen Bots, Deepfakes, KI-generierte Texte oder algorithmische Verstärkung?</w:t>
      </w:r>
    </w:p>
    <w:p>
      <w:pPr>
        <w:pStyle w:val="BodyText"/>
      </w:pPr>
      <w:r>
        <w:t>Eine Wirkungsschule übt digitale Souveränität praktisch: Quellen prüfen, KI-Ausgaben bewerten, eigene Daten schützen, Desinformation erkennen, konstruktiv diskutieren, digitale Konflikte deeskalieren, Aufmerksamkeit steuern und algorithmische Macht sichtbar machen. Ziel ist nicht Technikangst. Ziel ist Freiheit in digitalen Räumen.</w:t>
      </w:r>
    </w:p>
    <w:p>
      <w:pPr>
        <w:pStyle w:val="Heading1"/>
      </w:pPr>
      <w:r>
        <w:t>14. Demokratie-, Diskurs- und Resonanzkompetenz</w:t>
      </w:r>
    </w:p>
    <w:p>
      <w:pPr>
        <w:pStyle w:val="BodyText"/>
      </w:pPr>
      <w:r>
        <w:t>Demokratie wird in der Wirkungsschule nicht nur erklärt. Sie wird geübt. Demokratiekompetenz entsteht durch Beteiligung, faire Konfliktlösung, Klassenräte, transparente Regeln, Minderheitenschutz, Quellenarbeit, Perspektivwechsel, Entscheidungsverfahren und die Erfahrung, dass Widerspruch nicht Feindschaft bedeuten muss.</w:t>
      </w:r>
    </w:p>
    <w:p>
      <w:pPr>
        <w:pStyle w:val="BodyText"/>
      </w:pPr>
      <w:r>
        <w:t>Das ist besonders wichtig, weil öffentliche Räume selbst Wirkungsräume sind. Sprache wirkt. Bilder wirken. Tonalität wirkt. Wiederholungen wirken. Frames wirken. Auch Schweigen und Unterlassen wirken. Politische Bildung darf deshalb nicht nur Institutionenkunde sein. Sie muss zeigen, wie Vertrauen entsteht, wie Misstrauen instrumentalisiert wird, wie Desinformation funktioniert, wie Gruppen gegeneinander gestellt werden und wie demokratische Korrektur möglich bleibt.</w:t>
      </w:r>
    </w:p>
    <w:p>
      <w:pPr>
        <w:pStyle w:val="BodyText"/>
      </w:pPr>
      <w:r>
        <w:t>Diskurskompetenz bedeutet, Konflikte auszuhalten, ohne Menschen zu entwerten. Sie bedeutet nicht, jede Position gleich gut zu finden. Sie bedeutet, zwischen Person und Argument zu unterscheiden, Quellen zu prüfen, Unsicherheit auszuhalten, Grenzen zu benennen und gemeinsame Wirklichkeit zu schützen. Eine Wirkungsschule übt diese Fähigkeit nicht abstrakt, sondern in realen Situationen: im Klassenraum, im Schulparlament, im digitalen Chat, im Projekt, in der Elternkommunikation und im Umgang mit lokalen Konflikten.</w:t>
      </w:r>
    </w:p>
    <w:tbl>
      <w:tblPr>
        <w:tblW w:type="auto" w:w="0"/>
        <w:jc w:val="center"/>
        <w:tblLayout w:type="autofit"/>
        <w:tblLook w:firstColumn="1" w:firstRow="1" w:lastColumn="0" w:lastRow="0" w:noHBand="0" w:noVBand="1" w:val="04A0"/>
      </w:tblPr>
      <w:tblGrid>
        <w:gridCol w:w="9412"/>
      </w:tblGrid>
      <w:tr>
        <w:trPr>
          <w:cantSplit/>
        </w:trPr>
        <w:tc>
          <w:tcPr>
            <w:tcW w:type="dxa" w:w="9412"/>
            <w:shd w:fill="FFFFFF"/>
            <w:tcMar>
              <w:top w:w="180" w:type="dxa"/>
              <w:start w:w="220" w:type="dxa"/>
              <w:bottom w:w="180" w:type="dxa"/>
              <w:end w:w="220" w:type="dxa"/>
            </w:tcMar>
            <w:tcBorders>
              <w:top w:val="single" w:sz="8" w:color="D6A642"/>
              <w:left w:val="single" w:sz="8" w:color="D6A642"/>
              <w:bottom w:val="single" w:sz="8" w:color="D6A642"/>
              <w:right w:val="single" w:sz="8" w:color="D6A642"/>
            </w:tcBorders>
            <w:vAlign w:val="top"/>
          </w:tcPr>
          <w:p>
            <w:pPr>
              <w:pStyle w:val="CalloutTitle"/>
            </w:pPr>
            <w:r>
              <w:t>Demokratischer Maßstab</w:t>
            </w:r>
          </w:p>
          <w:p>
            <w:pPr>
              <w:pStyle w:val="CalloutBody"/>
            </w:pPr>
            <w:r>
              <w:t>Eine Schule wirkt demokratisch nicht erst dann, wenn sie politische Themen behandelt. Sie wirkt demokratisch, wenn ihr Alltag Beteiligung, Fairness, Schutz, Korrektur, Quellenklarheit und Respekt erfahrbar macht.</w:t>
            </w:r>
          </w:p>
        </w:tc>
      </w:tr>
    </w:tbl>
    <w:p/>
    <w:p>
      <w:pPr>
        <w:pStyle w:val="Heading1"/>
      </w:pPr>
      <w:r>
        <w:t>15. Schule als Gesundheits-, Schutz- und Beziehungsraum</w:t>
      </w:r>
    </w:p>
    <w:p>
      <w:pPr>
        <w:pStyle w:val="BodyText"/>
      </w:pPr>
      <w:r>
        <w:t>Bildung und Gesundheit sind nicht trennbar. Wer übermüdet, hungrig, ängstlich, beschämt, bedroht, überhitzt oder ausgeschlossen ist, lernt anders. Schule wirkt auf körperliche, psychische und soziale Gesundheit - durch Pausen, Bewegung, Ernährung, Schlafwissen, Lärm, Licht, Temperatur, Sicherheit, Zugehörigkeit, Mobbingschutz, Beziehungsqualität und digitale Belastung.</w:t>
      </w:r>
    </w:p>
    <w:p>
      <w:pPr>
        <w:pStyle w:val="BodyText"/>
      </w:pPr>
      <w:r>
        <w:t>Der Schulraum-Wirkungscheck macht diese Dimension sichtbar. Er fragt nicht: Ist das Gebäude schön? Er fragt: Welche Wirkung erzeugen Räume auf Lernen, Gesundheit, Sicherheit und Zugehörigkeit? Gibt es Rückzugsorte? Ist der Schulhof hitzeresilient? Gibt es saubere Sanitärbereiche? Sind Wege barrierefrei? Fördert der Stundenrhythmus Aufmerksamkeit? Unterstützt der Raum Bewegung? Werden Lärm und Stress reduziert?</w:t>
      </w:r>
    </w:p>
    <w:p>
      <w:pPr>
        <w:pStyle w:val="BodyText"/>
      </w:pPr>
      <w:r>
        <w:t>Auch Beziehung ist Infrastruktur. Lehrkräfte, die gesehen, entlastet und unterstützt werden, können anders wirken. Kinder, die Vertrauen erleben, wagen Fragen. Jugendliche, die Zugehörigkeit erfahren, bleiben eher erreichbar. Schutzräume sind keine pädagogische Weichheit, sondern Voraussetzung für anspruchsvolles Lernen.</w:t>
      </w:r>
    </w:p>
    <w:p>
      <w:pPr>
        <w:pStyle w:val="Heading1"/>
      </w:pPr>
      <w:r>
        <w:t>16. Inklusion, Vielfalt, Migration und Begabung</w:t>
      </w:r>
    </w:p>
    <w:p>
      <w:pPr>
        <w:pStyle w:val="BodyText"/>
      </w:pPr>
      <w:r>
        <w:t>Eine Wirkungsschule reduziert Kinder nicht auf Durchschnitt. Sie erkennt, dass Lernwege, Sprachen, Begabungen, Belastungen, Behinderungen, Familienlagen, Migrationserfahrungen, Geschlecht, soziale Herkunft, Neurodiversität und psychische Gesundheit Bildungswirkung prägen. Vielfalt ist kein Störfaktor, sondern Realität des Lernens.</w:t>
      </w:r>
    </w:p>
    <w:p>
      <w:pPr>
        <w:pStyle w:val="BodyText"/>
      </w:pPr>
      <w:r>
        <w:t>Inklusion bedeutet in diesem Rahmen nicht nur, dass alle im selben Raum sitzen. Inklusion bedeutet, Barrieren zu erkennen und abzubauen, ohne Menschen zu beschämen. Es bedeutet hohe Erwartungen und angemessene Unterstützung zugleich. Es bedeutet, Begabung nicht nur dort zu sehen, wo sie sich bereits in Noten zeigt. Es bedeutet, Sprache, Kultur, Körper, Sorgearbeit, Armut, Diskriminierung und digitale Zugänge als Wirkungsbedingungen ernst zu nehmen.</w:t>
      </w:r>
    </w:p>
    <w:p>
      <w:pPr>
        <w:pStyle w:val="BodyText"/>
      </w:pPr>
      <w:r>
        <w:t>Migration wird in der Wirkungsschule nicht als Sonderproblem behandelt, sondern als Teil gesellschaftlicher Bildungswirklichkeit. Sprachförderung, Zugehörigkeit, Elternkommunikation, Schutz vor Rassismus, Anerkennung von Erfahrungen und Übergänge in Ausbildung und Arbeit gehören zusammen. Ebenso gilt: Begabte Kinder brauchen Förderung, nicht nur leistungsstarke Kinder aus ohnehin unterstützenden Milieus.</w:t>
      </w:r>
    </w:p>
    <w:tbl>
      <w:tblPr>
        <w:tblW w:type="auto" w:w="0"/>
        <w:jc w:val="center"/>
        <w:tblLayout w:type="autofit"/>
        <w:tblLook w:firstColumn="1" w:firstRow="1" w:lastColumn="0" w:lastRow="0" w:noHBand="0" w:noVBand="1" w:val="04A0"/>
      </w:tblPr>
      <w:tblGrid>
        <w:gridCol w:w="9412"/>
      </w:tblGrid>
      <w:tr>
        <w:trPr>
          <w:cantSplit/>
        </w:trPr>
        <w:tc>
          <w:tcPr>
            <w:tcW w:type="dxa" w:w="9412"/>
            <w:shd w:fill="F2F7F9"/>
            <w:tcMar>
              <w:top w:w="180" w:type="dxa"/>
              <w:start w:w="220" w:type="dxa"/>
              <w:bottom w:w="180" w:type="dxa"/>
              <w:end w:w="220" w:type="dxa"/>
            </w:tcMar>
            <w:tcBorders>
              <w:top w:val="single" w:sz="8" w:color="1F4E5F"/>
              <w:left w:val="single" w:sz="8" w:color="1F4E5F"/>
              <w:bottom w:val="single" w:sz="8" w:color="1F4E5F"/>
              <w:right w:val="single" w:sz="8" w:color="1F4E5F"/>
            </w:tcBorders>
            <w:vAlign w:val="top"/>
          </w:tcPr>
          <w:p>
            <w:pPr>
              <w:pStyle w:val="CalloutTitle"/>
            </w:pPr>
            <w:r>
              <w:t>Schutz vor falscher Gleichheit</w:t>
            </w:r>
          </w:p>
          <w:p>
            <w:pPr>
              <w:pStyle w:val="CalloutBody"/>
            </w:pPr>
            <w:r>
              <w:t>Gerechtigkeit heißt nicht, alle gleich zu behandeln, wenn ihre Ausgangsbedingungen verschieden sind. Wirkungsorientierte Bildung fragt, welche Unterstützung notwendig ist, damit Teilhabe real möglich wird.</w:t>
            </w:r>
          </w:p>
        </w:tc>
      </w:tr>
    </w:tbl>
    <w:p/>
    <w:p>
      <w:pPr>
        <w:pStyle w:val="Heading1"/>
      </w:pPr>
      <w:r>
        <w:t>17. Lehrkräfte, Teams, Schulleitung und Bildungsnetzwerke</w:t>
      </w:r>
    </w:p>
    <w:p>
      <w:pPr>
        <w:pStyle w:val="BodyText"/>
      </w:pPr>
      <w:r>
        <w:t>Wirkung entsteht nicht durch Einzelheld:innen. Eine Schule kann nicht auf Dauer von überlasteten Lehrkräften getragen werden, die neben Unterricht auch Sozialarbeit, Krisenintervention, Digitalisierung, Elternarbeit, Inklusion, Sprachförderung, Gesundheitsprävention und Verwaltung bewältigen sollen. Wirkungsschule bedeutet daher auch Entlastung.</w:t>
      </w:r>
    </w:p>
    <w:p>
      <w:pPr>
        <w:pStyle w:val="BodyText"/>
      </w:pPr>
      <w:r>
        <w:t>Multiprofessionelle Teams verbinden Lehrkräfte, Schulsozialarbeit, Psychologie, Sonderpädagogik, Sprachförderung, Ganztag, Gesundheitskompetenz, Medienpädagogik, Berufsorientierung, Kultur, Sport, Elternarbeit und kommunale Dienste. Schulleitung wird nicht nur Verwaltung, sondern Wirkungskoordination: Prioritäten setzen, Schutzräume sichern, Datenethik wahren, Kooperation ermöglichen und Belastung begrenzen.</w:t>
      </w:r>
    </w:p>
    <w:p>
      <w:pPr>
        <w:pStyle w:val="BodyText"/>
      </w:pPr>
      <w:r>
        <w:t>Bildungsnetzwerke erweitern Schule in den Sozialraum. Bibliotheken, Vereine, Betriebe, Hochschulen, Kulturzentren, Jugendhilfe, Gesundheitsdienste, Kommunen und digitale Lernplattformen bilden mit. Eine Gesellschaft lernt nicht nur in Klassenzimmern. Sie lernt überall dort, wo Menschen Welt deuten, handeln, streiten, arbeiten, pflegen, gestalten und Verantwortung übernehmen.</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3137"/>
            <w:shd w:fill="1F4E5F"/>
            <w:vAlign w:val="top"/>
            <w:tcMar>
              <w:top w:w="120" w:type="dxa"/>
              <w:start w:w="120" w:type="dxa"/>
              <w:bottom w:w="120" w:type="dxa"/>
              <w:end w:w="120" w:type="dxa"/>
            </w:tcMar>
          </w:tcPr>
          <w:p>
            <w:pPr>
              <w:pStyle w:val="TableHeaderText"/>
            </w:pPr>
            <w:r>
              <w:t>Akteur</w:t>
            </w:r>
          </w:p>
        </w:tc>
        <w:tc>
          <w:tcPr>
            <w:tcW w:type="dxa" w:w="3137"/>
            <w:shd w:fill="1F4E5F"/>
            <w:vAlign w:val="top"/>
            <w:tcMar>
              <w:top w:w="120" w:type="dxa"/>
              <w:start w:w="120" w:type="dxa"/>
              <w:bottom w:w="120" w:type="dxa"/>
              <w:end w:w="120" w:type="dxa"/>
            </w:tcMar>
          </w:tcPr>
          <w:p>
            <w:pPr>
              <w:pStyle w:val="TableHeaderText"/>
            </w:pPr>
            <w:r>
              <w:t>Wirkungsbeitrag</w:t>
            </w:r>
          </w:p>
        </w:tc>
        <w:tc>
          <w:tcPr>
            <w:tcW w:type="dxa" w:w="3137"/>
            <w:shd w:fill="1F4E5F"/>
            <w:vAlign w:val="top"/>
            <w:tcMar>
              <w:top w:w="120" w:type="dxa"/>
              <w:start w:w="120" w:type="dxa"/>
              <w:bottom w:w="120" w:type="dxa"/>
              <w:end w:w="120" w:type="dxa"/>
            </w:tcMar>
          </w:tcPr>
          <w:p>
            <w:pPr>
              <w:pStyle w:val="TableHeaderText"/>
            </w:pPr>
            <w:r>
              <w:t>Benötigte Bedingung</w:t>
            </w:r>
          </w:p>
        </w:tc>
      </w:tr>
      <w:tr>
        <w:trPr>
          <w:cantSplit/>
        </w:trPr>
        <w:tc>
          <w:tcPr>
            <w:tcW w:type="dxa" w:w="3137"/>
            <w:shd w:fill="F2F7F9"/>
            <w:tcMar>
              <w:top w:w="120" w:type="dxa"/>
              <w:start w:w="120" w:type="dxa"/>
              <w:bottom w:w="120" w:type="dxa"/>
              <w:end w:w="120" w:type="dxa"/>
            </w:tcMar>
            <w:vAlign w:val="top"/>
          </w:tcPr>
          <w:p>
            <w:pPr>
              <w:pStyle w:val="TableBodyText"/>
            </w:pPr>
            <w:r>
              <w:t>Lehrkräfte</w:t>
            </w:r>
          </w:p>
        </w:tc>
        <w:tc>
          <w:tcPr>
            <w:tcW w:type="dxa" w:w="3137"/>
            <w:tcMar>
              <w:top w:w="120" w:type="dxa"/>
              <w:start w:w="120" w:type="dxa"/>
              <w:bottom w:w="120" w:type="dxa"/>
              <w:end w:w="120" w:type="dxa"/>
            </w:tcMar>
            <w:vAlign w:val="top"/>
          </w:tcPr>
          <w:p>
            <w:pPr>
              <w:pStyle w:val="TableBodyText"/>
            </w:pPr>
            <w:r>
              <w:t>Fachliches Lernen, Beziehung, Feedback, Orientierung.</w:t>
            </w:r>
          </w:p>
        </w:tc>
        <w:tc>
          <w:tcPr>
            <w:tcW w:type="dxa" w:w="3137"/>
            <w:tcMar>
              <w:top w:w="120" w:type="dxa"/>
              <w:start w:w="120" w:type="dxa"/>
              <w:bottom w:w="120" w:type="dxa"/>
              <w:end w:w="120" w:type="dxa"/>
            </w:tcMar>
            <w:vAlign w:val="top"/>
          </w:tcPr>
          <w:p>
            <w:pPr>
              <w:pStyle w:val="TableBodyText"/>
            </w:pPr>
            <w:r>
              <w:t>Zeit, Fortbildung, Teamstrukturen, Schutz vor Überlastung.</w:t>
            </w:r>
          </w:p>
        </w:tc>
      </w:tr>
      <w:tr>
        <w:trPr>
          <w:cantSplit/>
        </w:trPr>
        <w:tc>
          <w:tcPr>
            <w:tcW w:type="dxa" w:w="3137"/>
            <w:shd w:fill="F2F7F9"/>
            <w:tcMar>
              <w:top w:w="120" w:type="dxa"/>
              <w:start w:w="120" w:type="dxa"/>
              <w:bottom w:w="120" w:type="dxa"/>
              <w:end w:w="120" w:type="dxa"/>
            </w:tcMar>
            <w:vAlign w:val="top"/>
          </w:tcPr>
          <w:p>
            <w:pPr>
              <w:pStyle w:val="TableBodyText"/>
            </w:pPr>
            <w:r>
              <w:t>Schulleitung</w:t>
            </w:r>
          </w:p>
        </w:tc>
        <w:tc>
          <w:tcPr>
            <w:tcW w:type="dxa" w:w="3137"/>
            <w:tcMar>
              <w:top w:w="120" w:type="dxa"/>
              <w:start w:w="120" w:type="dxa"/>
              <w:bottom w:w="120" w:type="dxa"/>
              <w:end w:w="120" w:type="dxa"/>
            </w:tcMar>
            <w:vAlign w:val="top"/>
          </w:tcPr>
          <w:p>
            <w:pPr>
              <w:pStyle w:val="TableBodyText"/>
            </w:pPr>
            <w:r>
              <w:t>Prioritäten, Kultur, Kooperation, Schutz und Entwicklung.</w:t>
            </w:r>
          </w:p>
        </w:tc>
        <w:tc>
          <w:tcPr>
            <w:tcW w:type="dxa" w:w="3137"/>
            <w:tcMar>
              <w:top w:w="120" w:type="dxa"/>
              <w:start w:w="120" w:type="dxa"/>
              <w:bottom w:w="120" w:type="dxa"/>
              <w:end w:w="120" w:type="dxa"/>
            </w:tcMar>
            <w:vAlign w:val="top"/>
          </w:tcPr>
          <w:p>
            <w:pPr>
              <w:pStyle w:val="TableBodyText"/>
            </w:pPr>
            <w:r>
              <w:t>Autonomie, Ressourcen, Datenethik, Unterstützung.</w:t>
            </w:r>
          </w:p>
        </w:tc>
      </w:tr>
      <w:tr>
        <w:trPr>
          <w:cantSplit/>
        </w:trPr>
        <w:tc>
          <w:tcPr>
            <w:tcW w:type="dxa" w:w="3137"/>
            <w:shd w:fill="F2F7F9"/>
            <w:tcMar>
              <w:top w:w="120" w:type="dxa"/>
              <w:start w:w="120" w:type="dxa"/>
              <w:bottom w:w="120" w:type="dxa"/>
              <w:end w:w="120" w:type="dxa"/>
            </w:tcMar>
            <w:vAlign w:val="top"/>
          </w:tcPr>
          <w:p>
            <w:pPr>
              <w:pStyle w:val="TableBodyText"/>
            </w:pPr>
            <w:r>
              <w:t>Schulsozialarbeit / Psychologie</w:t>
            </w:r>
          </w:p>
        </w:tc>
        <w:tc>
          <w:tcPr>
            <w:tcW w:type="dxa" w:w="3137"/>
            <w:tcMar>
              <w:top w:w="120" w:type="dxa"/>
              <w:start w:w="120" w:type="dxa"/>
              <w:bottom w:w="120" w:type="dxa"/>
              <w:end w:w="120" w:type="dxa"/>
            </w:tcMar>
            <w:vAlign w:val="top"/>
          </w:tcPr>
          <w:p>
            <w:pPr>
              <w:pStyle w:val="TableBodyText"/>
            </w:pPr>
            <w:r>
              <w:t>Prävention, Krisenhilfe, Teilhabe, Familienbrücken.</w:t>
            </w:r>
          </w:p>
        </w:tc>
        <w:tc>
          <w:tcPr>
            <w:tcW w:type="dxa" w:w="3137"/>
            <w:tcMar>
              <w:top w:w="120" w:type="dxa"/>
              <w:start w:w="120" w:type="dxa"/>
              <w:bottom w:w="120" w:type="dxa"/>
              <w:end w:w="120" w:type="dxa"/>
            </w:tcMar>
            <w:vAlign w:val="top"/>
          </w:tcPr>
          <w:p>
            <w:pPr>
              <w:pStyle w:val="TableBodyText"/>
            </w:pPr>
            <w:r>
              <w:t>Regelstellen statt Projektfragmente.</w:t>
            </w:r>
          </w:p>
        </w:tc>
      </w:tr>
      <w:tr>
        <w:trPr>
          <w:cantSplit/>
        </w:trPr>
        <w:tc>
          <w:tcPr>
            <w:tcW w:type="dxa" w:w="3137"/>
            <w:shd w:fill="F2F7F9"/>
            <w:tcMar>
              <w:top w:w="120" w:type="dxa"/>
              <w:start w:w="120" w:type="dxa"/>
              <w:bottom w:w="120" w:type="dxa"/>
              <w:end w:w="120" w:type="dxa"/>
            </w:tcMar>
            <w:vAlign w:val="top"/>
          </w:tcPr>
          <w:p>
            <w:pPr>
              <w:pStyle w:val="TableBodyText"/>
            </w:pPr>
            <w:r>
              <w:t>Kommunen</w:t>
            </w:r>
          </w:p>
        </w:tc>
        <w:tc>
          <w:tcPr>
            <w:tcW w:type="dxa" w:w="3137"/>
            <w:tcMar>
              <w:top w:w="120" w:type="dxa"/>
              <w:start w:w="120" w:type="dxa"/>
              <w:bottom w:w="120" w:type="dxa"/>
              <w:end w:w="120" w:type="dxa"/>
            </w:tcMar>
            <w:vAlign w:val="top"/>
          </w:tcPr>
          <w:p>
            <w:pPr>
              <w:pStyle w:val="TableBodyText"/>
            </w:pPr>
            <w:r>
              <w:t>Sozialraum, Gesundheit, Mobilität, Räume, Kultur, Ganztag.</w:t>
            </w:r>
          </w:p>
        </w:tc>
        <w:tc>
          <w:tcPr>
            <w:tcW w:type="dxa" w:w="3137"/>
            <w:tcMar>
              <w:top w:w="120" w:type="dxa"/>
              <w:start w:w="120" w:type="dxa"/>
              <w:bottom w:w="120" w:type="dxa"/>
              <w:end w:w="120" w:type="dxa"/>
            </w:tcMar>
            <w:vAlign w:val="top"/>
          </w:tcPr>
          <w:p>
            <w:pPr>
              <w:pStyle w:val="TableBodyText"/>
            </w:pPr>
            <w:r>
              <w:t>Koordinierte Bildungsplanung und Wirkungsbudgets.</w:t>
            </w:r>
          </w:p>
        </w:tc>
      </w:tr>
      <w:tr>
        <w:trPr>
          <w:cantSplit/>
        </w:trPr>
        <w:tc>
          <w:tcPr>
            <w:tcW w:type="dxa" w:w="3137"/>
            <w:shd w:fill="F2F7F9"/>
            <w:tcMar>
              <w:top w:w="120" w:type="dxa"/>
              <w:start w:w="120" w:type="dxa"/>
              <w:bottom w:w="120" w:type="dxa"/>
              <w:end w:w="120" w:type="dxa"/>
            </w:tcMar>
            <w:vAlign w:val="top"/>
          </w:tcPr>
          <w:p>
            <w:pPr>
              <w:pStyle w:val="TableBodyText"/>
            </w:pPr>
            <w:r>
              <w:t>Zivilgesellschaft und Wirtschaft</w:t>
            </w:r>
          </w:p>
        </w:tc>
        <w:tc>
          <w:tcPr>
            <w:tcW w:type="dxa" w:w="3137"/>
            <w:tcMar>
              <w:top w:w="120" w:type="dxa"/>
              <w:start w:w="120" w:type="dxa"/>
              <w:bottom w:w="120" w:type="dxa"/>
              <w:end w:w="120" w:type="dxa"/>
            </w:tcMar>
            <w:vAlign w:val="top"/>
          </w:tcPr>
          <w:p>
            <w:pPr>
              <w:pStyle w:val="TableBodyText"/>
            </w:pPr>
            <w:r>
              <w:t>Praxis, Mentoring, Berufsorientierung, Projekte.</w:t>
            </w:r>
          </w:p>
        </w:tc>
        <w:tc>
          <w:tcPr>
            <w:tcW w:type="dxa" w:w="3137"/>
            <w:tcMar>
              <w:top w:w="120" w:type="dxa"/>
              <w:start w:w="120" w:type="dxa"/>
              <w:bottom w:w="120" w:type="dxa"/>
              <w:end w:w="120" w:type="dxa"/>
            </w:tcMar>
            <w:vAlign w:val="top"/>
          </w:tcPr>
          <w:p>
            <w:pPr>
              <w:pStyle w:val="TableBodyText"/>
            </w:pPr>
            <w:r>
              <w:t>Klare Schutzregeln und pädagogische Einbettung.</w:t>
            </w:r>
          </w:p>
        </w:tc>
      </w:tr>
    </w:tbl>
    <w:p>
      <w:pPr>
        <w:pStyle w:val="Heading1"/>
      </w:pPr>
      <w:r>
        <w:t>18. Messung ohne Vermessung: BWK, Scorecards und WÖk-IDs</w:t>
      </w:r>
    </w:p>
    <w:p>
      <w:pPr>
        <w:pStyle w:val="BodyText"/>
      </w:pPr>
      <w:r>
        <w:t>Wirkungsorientierte Bildung braucht Messung, aber keine Vermessung von Menschen. Das ist die zentrale Unterscheidung. Gemessen werden Strukturen, Angebote, Schutzräume, Lernbedingungen, Teilhabe, Datenqualität, Kooperation, Schulklima, Übergänge, Gesundheitsfaktoren und Entwicklungsräume. Nicht gemessen wird der Wert eines Kindes.</w:t>
      </w:r>
    </w:p>
    <w:p>
      <w:pPr>
        <w:pStyle w:val="BodyText"/>
      </w:pPr>
      <w:r>
        <w:t>Ein Bildungswirkungsindex oder Bildungs- und Wissenskompetenzindex kann sichtbar machen, wie Bildung auf Wissen, Selbstwirksamkeit, Demokratie, Gesundheit, Teilhabe, digitale Mündigkeit, Resilienz und Innovation wirkt. Mögliche Indikatoren sind wissenschaftliche Grundkompetenzen, digitale Kompetenz, Wirkungskompetenz, kritisches Denken, Systemverständnis, Ambiguitätstoleranz, Kompetenz gegen Desinformation, Schulklima, Teilhabe und Zugänge.</w:t>
      </w:r>
    </w:p>
    <w:p>
      <w:pPr>
        <w:pStyle w:val="BodyText"/>
      </w:pPr>
      <w:r>
        <w:t>Scorecards können Schulen, Kommunen und Bildungsträgern helfen, Maßnahmen zu reflektieren. Sie sollten nie als Ranking missbraucht werden. Ihre Funktion ist nicht Wettbewerb um die beste Schule, sondern Lernfähigkeit: Wo wirken Strukturen gut? Wo entstehen Risiken? Wo braucht es Unterstützung? Welche Daten fehlen? Welche rote Linie darf nicht überschritten werden?</w:t>
      </w:r>
    </w:p>
    <w:p>
      <w:pPr>
        <w:pStyle w:val="BodyText"/>
      </w:pPr>
      <w:r>
        <w:t>WÖk-IDs verbinden Indikatoren mit SDG-/SDG+-Bezügen, Datenquellen, Benchmarks und Schutzgrenzen. Im Bildungsbereich sind sie besonders sensibel zu handhaben, weil Bildung immer mit Kindern, Familien und Biografien zu tun hat. Deshalb gilt: Daten dienen der Verbesserung von Systemen, nicht der Sortierung von Menschen.</w:t>
      </w:r>
    </w:p>
    <w:tbl>
      <w:tblPr>
        <w:tblW w:type="auto" w:w="0"/>
        <w:jc w:val="center"/>
        <w:tblLayout w:type="autofit"/>
        <w:tblLook w:firstColumn="1" w:firstRow="1" w:lastColumn="0" w:lastRow="0" w:noHBand="0" w:noVBand="1" w:val="04A0"/>
      </w:tblPr>
      <w:tblGrid>
        <w:gridCol w:w="9412"/>
      </w:tblGrid>
      <w:tr>
        <w:trPr>
          <w:cantSplit/>
        </w:trPr>
        <w:tc>
          <w:tcPr>
            <w:tcW w:type="dxa" w:w="9412"/>
            <w:shd w:fill="FFF8E6"/>
            <w:tcMar>
              <w:top w:w="180" w:type="dxa"/>
              <w:start w:w="220" w:type="dxa"/>
              <w:bottom w:w="180" w:type="dxa"/>
              <w:end w:w="220" w:type="dxa"/>
            </w:tcMar>
            <w:tcBorders>
              <w:top w:val="single" w:sz="8" w:color="D6A642"/>
              <w:left w:val="single" w:sz="8" w:color="D6A642"/>
              <w:bottom w:val="single" w:sz="8" w:color="D6A642"/>
              <w:right w:val="single" w:sz="8" w:color="D6A642"/>
            </w:tcBorders>
            <w:vAlign w:val="top"/>
          </w:tcPr>
          <w:p>
            <w:pPr>
              <w:pStyle w:val="CalloutTitle"/>
            </w:pPr>
            <w:r>
              <w:t>Nicht verhandelbare Schutzlinie</w:t>
            </w:r>
          </w:p>
          <w:p>
            <w:pPr>
              <w:pStyle w:val="CalloutBody"/>
            </w:pPr>
            <w:r>
              <w:t>Keine personenbezogene Wirkungsbewertung von Kindern, Familien oder Lehrkräften. Bildungsdaten dürfen Lernen unterstützen, Strukturen verbessern und Risiken sichtbar machen - aber keine Menschen ranken.</w:t>
            </w:r>
          </w:p>
        </w:tc>
      </w:tr>
    </w:tbl>
    <w:p/>
    <w:p>
      <w:pPr>
        <w:pStyle w:val="Heading1"/>
      </w:pPr>
      <w:r>
        <w:t>19. Umsetzungspfad: von der Modellschule zur Bildungswirkungsarchitektur</w:t>
      </w:r>
    </w:p>
    <w:p>
      <w:pPr>
        <w:pStyle w:val="BodyText"/>
      </w:pPr>
      <w:r>
        <w:t>Die Wirkungsschule lässt sich nicht per einmaligem Gesetz verordnen. Sie braucht einen lernenden Umsetzungspfad. Der Pfad sollte freiwillige Pilotierung, wissenschaftliche Begleitung, demokratische Kontrolle, Datenschutzprüfung, pädagogische Erfahrung, kommunale Vernetzung und finanzierte Entlastung verbinden.</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3137"/>
            <w:shd w:fill="1F4E5F"/>
            <w:vAlign w:val="top"/>
            <w:tcMar>
              <w:top w:w="120" w:type="dxa"/>
              <w:start w:w="120" w:type="dxa"/>
              <w:bottom w:w="120" w:type="dxa"/>
              <w:end w:w="120" w:type="dxa"/>
            </w:tcMar>
          </w:tcPr>
          <w:p>
            <w:pPr>
              <w:pStyle w:val="TableHeaderText"/>
            </w:pPr>
            <w:r>
              <w:t>Phase</w:t>
            </w:r>
          </w:p>
        </w:tc>
        <w:tc>
          <w:tcPr>
            <w:tcW w:type="dxa" w:w="3137"/>
            <w:shd w:fill="1F4E5F"/>
            <w:vAlign w:val="top"/>
            <w:tcMar>
              <w:top w:w="120" w:type="dxa"/>
              <w:start w:w="120" w:type="dxa"/>
              <w:bottom w:w="120" w:type="dxa"/>
              <w:end w:w="120" w:type="dxa"/>
            </w:tcMar>
          </w:tcPr>
          <w:p>
            <w:pPr>
              <w:pStyle w:val="TableHeaderText"/>
            </w:pPr>
            <w:r>
              <w:t>Ziel</w:t>
            </w:r>
          </w:p>
        </w:tc>
        <w:tc>
          <w:tcPr>
            <w:tcW w:type="dxa" w:w="3137"/>
            <w:shd w:fill="1F4E5F"/>
            <w:vAlign w:val="top"/>
            <w:tcMar>
              <w:top w:w="120" w:type="dxa"/>
              <w:start w:w="120" w:type="dxa"/>
              <w:bottom w:w="120" w:type="dxa"/>
              <w:end w:w="120" w:type="dxa"/>
            </w:tcMar>
          </w:tcPr>
          <w:p>
            <w:pPr>
              <w:pStyle w:val="TableHeaderText"/>
            </w:pPr>
            <w:r>
              <w:t>Konkrete Schritte</w:t>
            </w:r>
          </w:p>
        </w:tc>
      </w:tr>
      <w:tr>
        <w:trPr>
          <w:cantSplit/>
        </w:trPr>
        <w:tc>
          <w:tcPr>
            <w:tcW w:type="dxa" w:w="3137"/>
            <w:shd w:fill="F2F7F9"/>
            <w:tcMar>
              <w:top w:w="120" w:type="dxa"/>
              <w:start w:w="120" w:type="dxa"/>
              <w:bottom w:w="120" w:type="dxa"/>
              <w:end w:w="120" w:type="dxa"/>
            </w:tcMar>
            <w:vAlign w:val="top"/>
          </w:tcPr>
          <w:p>
            <w:pPr>
              <w:pStyle w:val="TableBodyText"/>
            </w:pPr>
            <w:r>
              <w:t>Phase 1: Pilot</w:t>
            </w:r>
          </w:p>
        </w:tc>
        <w:tc>
          <w:tcPr>
            <w:tcW w:type="dxa" w:w="3137"/>
            <w:tcMar>
              <w:top w:w="120" w:type="dxa"/>
              <w:start w:w="120" w:type="dxa"/>
              <w:bottom w:w="120" w:type="dxa"/>
              <w:end w:w="120" w:type="dxa"/>
            </w:tcMar>
            <w:vAlign w:val="top"/>
          </w:tcPr>
          <w:p>
            <w:pPr>
              <w:pStyle w:val="TableBodyText"/>
            </w:pPr>
            <w:r>
              <w:t>Erprobung ohne Systembruch.</w:t>
            </w:r>
          </w:p>
        </w:tc>
        <w:tc>
          <w:tcPr>
            <w:tcW w:type="dxa" w:w="3137"/>
            <w:tcMar>
              <w:top w:w="120" w:type="dxa"/>
              <w:start w:w="120" w:type="dxa"/>
              <w:bottom w:w="120" w:type="dxa"/>
              <w:end w:w="120" w:type="dxa"/>
            </w:tcMar>
            <w:vAlign w:val="top"/>
          </w:tcPr>
          <w:p>
            <w:pPr>
              <w:pStyle w:val="TableBodyText"/>
            </w:pPr>
            <w:r>
              <w:t>Modellschulen, Fach-Zukunft-Module, freiwillige Portfolios, Schulraum-Check, Wirkungsförderung, Teamzeiten.</w:t>
            </w:r>
          </w:p>
        </w:tc>
      </w:tr>
      <w:tr>
        <w:trPr>
          <w:cantSplit/>
        </w:trPr>
        <w:tc>
          <w:tcPr>
            <w:tcW w:type="dxa" w:w="3137"/>
            <w:shd w:fill="F2F7F9"/>
            <w:tcMar>
              <w:top w:w="120" w:type="dxa"/>
              <w:start w:w="120" w:type="dxa"/>
              <w:bottom w:w="120" w:type="dxa"/>
              <w:end w:w="120" w:type="dxa"/>
            </w:tcMar>
            <w:vAlign w:val="top"/>
          </w:tcPr>
          <w:p>
            <w:pPr>
              <w:pStyle w:val="TableBodyText"/>
            </w:pPr>
            <w:r>
              <w:t>Phase 2: Standards</w:t>
            </w:r>
          </w:p>
        </w:tc>
        <w:tc>
          <w:tcPr>
            <w:tcW w:type="dxa" w:w="3137"/>
            <w:tcMar>
              <w:top w:w="120" w:type="dxa"/>
              <w:start w:w="120" w:type="dxa"/>
              <w:bottom w:w="120" w:type="dxa"/>
              <w:end w:w="120" w:type="dxa"/>
            </w:tcMar>
            <w:vAlign w:val="top"/>
          </w:tcPr>
          <w:p>
            <w:pPr>
              <w:pStyle w:val="TableBodyText"/>
            </w:pPr>
            <w:r>
              <w:t>Anschlussfähigkeit sichern.</w:t>
            </w:r>
          </w:p>
        </w:tc>
        <w:tc>
          <w:tcPr>
            <w:tcW w:type="dxa" w:w="3137"/>
            <w:tcMar>
              <w:top w:w="120" w:type="dxa"/>
              <w:start w:w="120" w:type="dxa"/>
              <w:bottom w:w="120" w:type="dxa"/>
              <w:end w:w="120" w:type="dxa"/>
            </w:tcMar>
            <w:vAlign w:val="top"/>
          </w:tcPr>
          <w:p>
            <w:pPr>
              <w:pStyle w:val="TableBodyText"/>
            </w:pPr>
            <w:r>
              <w:t>Landesweite Rahmung für Wirkungskompetenz, digitale Mündigkeit, Demokratiekompetenz, BNE, Datenethik und Schutzregeln.</w:t>
            </w:r>
          </w:p>
        </w:tc>
      </w:tr>
      <w:tr>
        <w:trPr>
          <w:cantSplit/>
        </w:trPr>
        <w:tc>
          <w:tcPr>
            <w:tcW w:type="dxa" w:w="3137"/>
            <w:shd w:fill="F2F7F9"/>
            <w:tcMar>
              <w:top w:w="120" w:type="dxa"/>
              <w:start w:w="120" w:type="dxa"/>
              <w:bottom w:w="120" w:type="dxa"/>
              <w:end w:w="120" w:type="dxa"/>
            </w:tcMar>
            <w:vAlign w:val="top"/>
          </w:tcPr>
          <w:p>
            <w:pPr>
              <w:pStyle w:val="TableBodyText"/>
            </w:pPr>
            <w:r>
              <w:t>Phase 3: Institutionalisierung</w:t>
            </w:r>
          </w:p>
        </w:tc>
        <w:tc>
          <w:tcPr>
            <w:tcW w:type="dxa" w:w="3137"/>
            <w:tcMar>
              <w:top w:w="120" w:type="dxa"/>
              <w:start w:w="120" w:type="dxa"/>
              <w:bottom w:w="120" w:type="dxa"/>
              <w:end w:w="120" w:type="dxa"/>
            </w:tcMar>
            <w:vAlign w:val="top"/>
          </w:tcPr>
          <w:p>
            <w:pPr>
              <w:pStyle w:val="TableBodyText"/>
            </w:pPr>
            <w:r>
              <w:t>Strukturen dauerhaft verankern.</w:t>
            </w:r>
          </w:p>
        </w:tc>
        <w:tc>
          <w:tcPr>
            <w:tcW w:type="dxa" w:w="3137"/>
            <w:tcMar>
              <w:top w:w="120" w:type="dxa"/>
              <w:start w:w="120" w:type="dxa"/>
              <w:bottom w:w="120" w:type="dxa"/>
              <w:end w:w="120" w:type="dxa"/>
            </w:tcMar>
            <w:vAlign w:val="top"/>
          </w:tcPr>
          <w:p>
            <w:pPr>
              <w:pStyle w:val="TableBodyText"/>
            </w:pPr>
            <w:r>
              <w:t>Kommunale Bildungswirkungszentren, Lehrkräftebildung, Bildungswirkungsberichte, Förderlogik, Wirkungsbudgets.</w:t>
            </w:r>
          </w:p>
        </w:tc>
      </w:tr>
      <w:tr>
        <w:trPr>
          <w:cantSplit/>
        </w:trPr>
        <w:tc>
          <w:tcPr>
            <w:tcW w:type="dxa" w:w="3137"/>
            <w:shd w:fill="F2F7F9"/>
            <w:tcMar>
              <w:top w:w="120" w:type="dxa"/>
              <w:start w:w="120" w:type="dxa"/>
              <w:bottom w:w="120" w:type="dxa"/>
              <w:end w:w="120" w:type="dxa"/>
            </w:tcMar>
            <w:vAlign w:val="top"/>
          </w:tcPr>
          <w:p>
            <w:pPr>
              <w:pStyle w:val="TableBodyText"/>
            </w:pPr>
            <w:r>
              <w:t>Phase 4: Lernende Korrektur</w:t>
            </w:r>
          </w:p>
        </w:tc>
        <w:tc>
          <w:tcPr>
            <w:tcW w:type="dxa" w:w="3137"/>
            <w:tcMar>
              <w:top w:w="120" w:type="dxa"/>
              <w:start w:w="120" w:type="dxa"/>
              <w:bottom w:w="120" w:type="dxa"/>
              <w:end w:w="120" w:type="dxa"/>
            </w:tcMar>
            <w:vAlign w:val="top"/>
          </w:tcPr>
          <w:p>
            <w:pPr>
              <w:pStyle w:val="TableBodyText"/>
            </w:pPr>
            <w:r>
              <w:t>Fehlsteuerung verhindern.</w:t>
            </w:r>
          </w:p>
        </w:tc>
        <w:tc>
          <w:tcPr>
            <w:tcW w:type="dxa" w:w="3137"/>
            <w:tcMar>
              <w:top w:w="120" w:type="dxa"/>
              <w:start w:w="120" w:type="dxa"/>
              <w:bottom w:w="120" w:type="dxa"/>
              <w:end w:w="120" w:type="dxa"/>
            </w:tcMar>
            <w:vAlign w:val="top"/>
          </w:tcPr>
          <w:p>
            <w:pPr>
              <w:pStyle w:val="TableBodyText"/>
            </w:pPr>
            <w:r>
              <w:t>Evaluation, Beteiligung, Datenschutzprüfung, Korrektur von Indikatoren, Entbürokratisierung, Wirkungsrat-Anbindung.</w:t>
            </w:r>
          </w:p>
        </w:tc>
      </w:tr>
    </w:tbl>
    <w:p>
      <w:pPr>
        <w:pStyle w:val="BodyText"/>
      </w:pPr>
      <w:r>
        <w:t>Politisch ist dieser Pfad anschlussfähig, weil er keine einheitliche Weltanschauung erzwingt. Konservative, liberale, sozialdemokratische, grüne, linke, kommunale und freie Trägerperspektiven können innerhalb des Rahmens unterschiedliche Schwerpunkte setzen. Entscheidend ist nicht die ideologische Etikettierung, sondern ob die gewählte Ausgestaltung positive Netto-Wirkung erzeugt und Schutzgrenzen achtet.</w:t>
      </w:r>
    </w:p>
    <w:p>
      <w:pPr>
        <w:pStyle w:val="BodyText"/>
      </w:pPr>
      <w:r>
        <w:t>Die Finanzierung sollte präventiv gedacht werden. Wenn Bildung Gesundheit, Demokratie, Teilhabe, Resilienz, Innovation und Fachkräftefähigkeit stärkt, ist sie nicht nur Ausgabe, sondern Investition in Systemstabilität. Ein Bildungswirkungshaushalt könnte Mittel stärker danach ausrichten, wo Förderung, Räume, Teams, Ganztag, Sozialarbeit, digitale Mündigkeit und kommunale Netzwerke langfristig die höchste Wirkung entfalten.</w:t>
      </w:r>
    </w:p>
    <w:p>
      <w:pPr>
        <w:pStyle w:val="Heading1"/>
      </w:pPr>
      <w:r>
        <w:t>20. Grenzen, Risiken und Schutzmechanismen</w:t>
      </w:r>
    </w:p>
    <w:p>
      <w:pPr>
        <w:pStyle w:val="BodyText"/>
      </w:pPr>
      <w:r>
        <w:t>Die größte Gefahr einer falsch verstandenen Wirkungsschule wäre eine neue Bewertungsbürokratie. Wenn Wirkungskompetenz in Kennzahlen erstarrt, wenn Portfolios zu Rankings werden, wenn Daten Kinder markieren, wenn Schulen nur noch Indikatoren bedienen oder wenn Lehrkräfte zusätzliche Dokumentationspflichten statt Entlastung erhalten, würde die Wirkungsschule ihr eigenes Ziel verfehlen.</w:t>
      </w:r>
    </w:p>
    <w:p>
      <w:pPr>
        <w:pStyle w:val="BodyText"/>
      </w:pPr>
      <w:r>
        <w:t>Ein zweites Risiko ist Moralisierung. Das Fach Zukunft und die Wirkungspädagogik dürfen nicht zu Gesinnungsunterricht werden. Sie müssen offene Fragen zulassen, Zielkonflikte zeigen, politische Vielfalt schützen und zwischen Fakt, Bewertung, Meinung und normativem Rahmen unterscheiden. Wirkungskompetenz heißt nicht, die richtige Meinung zu haben. Sie heißt, Folgen, Daten, Unsicherheit, Interessen und Verantwortung prüfen zu können.</w:t>
      </w:r>
    </w:p>
    <w:p>
      <w:pPr>
        <w:pStyle w:val="BodyText"/>
      </w:pPr>
      <w:r>
        <w:t>Ein drittes Risiko liegt in Datenmacht. Bildungsdaten sind sensibel. Sie dürfen nicht in eine Infrastruktur münden, die Kinder, Familien oder Lehrkräfte dauerhaft kategorisiert. Algorithmische Auswertung muss begrenzt, transparent, überprüfbar und pädagogisch verantwortet sein. Im Zweifel gilt Schutz vor Effizienz.</w:t>
      </w:r>
    </w:p>
    <w:p>
      <w:pPr>
        <w:pStyle w:val="BodyText"/>
      </w:pPr>
      <w:r>
        <w:t>Ein viertes Risiko ist Überforderung. Schule kann nicht alle gesellschaftlichen Probleme lösen. Wirkungsschule darf nicht bedeuten, dass noch mehr Aufgaben auf dieselben Menschen geladen werden. Sie muss Aufgaben sortieren, Kooperation schaffen, Systeme entlasten und Prioritäten klären.</w:t>
      </w:r>
    </w:p>
    <w:tbl>
      <w:tblPr>
        <w:tblStyle w:val="TableGrid"/>
        <w:tblW w:type="auto" w:w="0"/>
        <w:jc w:val="center"/>
        <w:tblLook w:firstColumn="1" w:firstRow="1" w:lastColumn="0" w:lastRow="0" w:noHBand="0" w:noVBand="1" w:val="04A0"/>
      </w:tblPr>
      <w:tblGrid>
        <w:gridCol w:w="4706"/>
        <w:gridCol w:w="4706"/>
      </w:tblGrid>
      <w:tr>
        <w:trPr>
          <w:tblHeader w:val="true"/>
          <w:cantSplit/>
        </w:trPr>
        <w:tc>
          <w:tcPr>
            <w:tcW w:type="dxa" w:w="4706"/>
            <w:shd w:fill="1F4E5F"/>
            <w:vAlign w:val="top"/>
            <w:tcMar>
              <w:top w:w="120" w:type="dxa"/>
              <w:start w:w="120" w:type="dxa"/>
              <w:bottom w:w="120" w:type="dxa"/>
              <w:end w:w="120" w:type="dxa"/>
            </w:tcMar>
          </w:tcPr>
          <w:p>
            <w:pPr>
              <w:pStyle w:val="TableHeaderText"/>
            </w:pPr>
            <w:r>
              <w:t>Risiko</w:t>
            </w:r>
          </w:p>
        </w:tc>
        <w:tc>
          <w:tcPr>
            <w:tcW w:type="dxa" w:w="4706"/>
            <w:shd w:fill="1F4E5F"/>
            <w:vAlign w:val="top"/>
            <w:tcMar>
              <w:top w:w="120" w:type="dxa"/>
              <w:start w:w="120" w:type="dxa"/>
              <w:bottom w:w="120" w:type="dxa"/>
              <w:end w:w="120" w:type="dxa"/>
            </w:tcMar>
          </w:tcPr>
          <w:p>
            <w:pPr>
              <w:pStyle w:val="TableHeaderText"/>
            </w:pPr>
            <w:r>
              <w:t>Schutzmechanismus</w:t>
            </w:r>
          </w:p>
        </w:tc>
      </w:tr>
      <w:tr>
        <w:trPr>
          <w:cantSplit/>
        </w:trPr>
        <w:tc>
          <w:tcPr>
            <w:tcW w:type="dxa" w:w="4706"/>
            <w:shd w:fill="F2F7F9"/>
            <w:tcMar>
              <w:top w:w="120" w:type="dxa"/>
              <w:start w:w="120" w:type="dxa"/>
              <w:bottom w:w="120" w:type="dxa"/>
              <w:end w:w="120" w:type="dxa"/>
            </w:tcMar>
            <w:vAlign w:val="top"/>
          </w:tcPr>
          <w:p>
            <w:pPr>
              <w:pStyle w:val="TableBodyText"/>
            </w:pPr>
            <w:r>
              <w:t>Kinder-Scoring</w:t>
            </w:r>
          </w:p>
        </w:tc>
        <w:tc>
          <w:tcPr>
            <w:tcW w:type="dxa" w:w="4706"/>
            <w:tcMar>
              <w:top w:w="120" w:type="dxa"/>
              <w:start w:w="120" w:type="dxa"/>
              <w:bottom w:w="120" w:type="dxa"/>
              <w:end w:w="120" w:type="dxa"/>
            </w:tcMar>
            <w:vAlign w:val="top"/>
          </w:tcPr>
          <w:p>
            <w:pPr>
              <w:pStyle w:val="TableBodyText"/>
            </w:pPr>
            <w:r>
              <w:t>Keine personenbezogene Wirkungsbewertung; Daten nur zur Lernunterstützung und Systemverbesserung.</w:t>
            </w:r>
          </w:p>
        </w:tc>
      </w:tr>
      <w:tr>
        <w:trPr>
          <w:cantSplit/>
        </w:trPr>
        <w:tc>
          <w:tcPr>
            <w:tcW w:type="dxa" w:w="4706"/>
            <w:shd w:fill="F2F7F9"/>
            <w:tcMar>
              <w:top w:w="120" w:type="dxa"/>
              <w:start w:w="120" w:type="dxa"/>
              <w:bottom w:w="120" w:type="dxa"/>
              <w:end w:w="120" w:type="dxa"/>
            </w:tcMar>
            <w:vAlign w:val="top"/>
          </w:tcPr>
          <w:p>
            <w:pPr>
              <w:pStyle w:val="TableBodyText"/>
            </w:pPr>
            <w:r>
              <w:t>Technokratie</w:t>
            </w:r>
          </w:p>
        </w:tc>
        <w:tc>
          <w:tcPr>
            <w:tcW w:type="dxa" w:w="4706"/>
            <w:tcMar>
              <w:top w:w="120" w:type="dxa"/>
              <w:start w:w="120" w:type="dxa"/>
              <w:bottom w:w="120" w:type="dxa"/>
              <w:end w:w="120" w:type="dxa"/>
            </w:tcMar>
            <w:vAlign w:val="top"/>
          </w:tcPr>
          <w:p>
            <w:pPr>
              <w:pStyle w:val="TableBodyText"/>
            </w:pPr>
            <w:r>
              <w:t>Wirkungsdaten bereiten Entscheidungen vor, ersetzen aber keine pädagogische und demokratische Verantwortung.</w:t>
            </w:r>
          </w:p>
        </w:tc>
      </w:tr>
      <w:tr>
        <w:trPr>
          <w:cantSplit/>
        </w:trPr>
        <w:tc>
          <w:tcPr>
            <w:tcW w:type="dxa" w:w="4706"/>
            <w:shd w:fill="F2F7F9"/>
            <w:tcMar>
              <w:top w:w="120" w:type="dxa"/>
              <w:start w:w="120" w:type="dxa"/>
              <w:bottom w:w="120" w:type="dxa"/>
              <w:end w:w="120" w:type="dxa"/>
            </w:tcMar>
            <w:vAlign w:val="top"/>
          </w:tcPr>
          <w:p>
            <w:pPr>
              <w:pStyle w:val="TableBodyText"/>
            </w:pPr>
            <w:r>
              <w:t>Moralisierung</w:t>
            </w:r>
          </w:p>
        </w:tc>
        <w:tc>
          <w:tcPr>
            <w:tcW w:type="dxa" w:w="4706"/>
            <w:tcMar>
              <w:top w:w="120" w:type="dxa"/>
              <w:start w:w="120" w:type="dxa"/>
              <w:bottom w:w="120" w:type="dxa"/>
              <w:end w:w="120" w:type="dxa"/>
            </w:tcMar>
            <w:vAlign w:val="top"/>
          </w:tcPr>
          <w:p>
            <w:pPr>
              <w:pStyle w:val="TableBodyText"/>
            </w:pPr>
            <w:r>
              <w:t>Offene Fragen, Zielkonflikte, politische Vielfalt und klare Trennung von Fakt, Bewertung und Meinung.</w:t>
            </w:r>
          </w:p>
        </w:tc>
      </w:tr>
      <w:tr>
        <w:trPr>
          <w:cantSplit/>
        </w:trPr>
        <w:tc>
          <w:tcPr>
            <w:tcW w:type="dxa" w:w="4706"/>
            <w:shd w:fill="F2F7F9"/>
            <w:tcMar>
              <w:top w:w="120" w:type="dxa"/>
              <w:start w:w="120" w:type="dxa"/>
              <w:bottom w:w="120" w:type="dxa"/>
              <w:end w:w="120" w:type="dxa"/>
            </w:tcMar>
            <w:vAlign w:val="top"/>
          </w:tcPr>
          <w:p>
            <w:pPr>
              <w:pStyle w:val="TableBodyText"/>
            </w:pPr>
            <w:r>
              <w:t>Bürokratie</w:t>
            </w:r>
          </w:p>
        </w:tc>
        <w:tc>
          <w:tcPr>
            <w:tcW w:type="dxa" w:w="4706"/>
            <w:tcMar>
              <w:top w:w="120" w:type="dxa"/>
              <w:start w:w="120" w:type="dxa"/>
              <w:bottom w:w="120" w:type="dxa"/>
              <w:end w:w="120" w:type="dxa"/>
            </w:tcMar>
            <w:vAlign w:val="top"/>
          </w:tcPr>
          <w:p>
            <w:pPr>
              <w:pStyle w:val="TableBodyText"/>
            </w:pPr>
            <w:r>
              <w:t>Indikatoren reduzieren, Doppeldokumentation vermeiden, Lehrkräfte entlasten, digitale Verfahren sinnvoll nutzen.</w:t>
            </w:r>
          </w:p>
        </w:tc>
      </w:tr>
      <w:tr>
        <w:trPr>
          <w:cantSplit/>
        </w:trPr>
        <w:tc>
          <w:tcPr>
            <w:tcW w:type="dxa" w:w="4706"/>
            <w:shd w:fill="F2F7F9"/>
            <w:tcMar>
              <w:top w:w="120" w:type="dxa"/>
              <w:start w:w="120" w:type="dxa"/>
              <w:bottom w:w="120" w:type="dxa"/>
              <w:end w:w="120" w:type="dxa"/>
            </w:tcMar>
            <w:vAlign w:val="top"/>
          </w:tcPr>
          <w:p>
            <w:pPr>
              <w:pStyle w:val="TableBodyText"/>
            </w:pPr>
            <w:r>
              <w:t>Ungleichheit</w:t>
            </w:r>
          </w:p>
        </w:tc>
        <w:tc>
          <w:tcPr>
            <w:tcW w:type="dxa" w:w="4706"/>
            <w:tcMar>
              <w:top w:w="120" w:type="dxa"/>
              <w:start w:w="120" w:type="dxa"/>
              <w:bottom w:w="120" w:type="dxa"/>
              <w:end w:w="120" w:type="dxa"/>
            </w:tcMar>
            <w:vAlign w:val="top"/>
          </w:tcPr>
          <w:p>
            <w:pPr>
              <w:pStyle w:val="TableBodyText"/>
            </w:pPr>
            <w:r>
              <w:t>Förderung präventiv finanzieren, Sozialräume berücksichtigen, Zugang und Teilhabe als Kernindikatoren behandeln.</w:t>
            </w:r>
          </w:p>
        </w:tc>
      </w:tr>
      <w:tr>
        <w:trPr>
          <w:cantSplit/>
        </w:trPr>
        <w:tc>
          <w:tcPr>
            <w:tcW w:type="dxa" w:w="4706"/>
            <w:shd w:fill="F2F7F9"/>
            <w:tcMar>
              <w:top w:w="120" w:type="dxa"/>
              <w:start w:w="120" w:type="dxa"/>
              <w:bottom w:w="120" w:type="dxa"/>
              <w:end w:w="120" w:type="dxa"/>
            </w:tcMar>
            <w:vAlign w:val="top"/>
          </w:tcPr>
          <w:p>
            <w:pPr>
              <w:pStyle w:val="TableBodyText"/>
            </w:pPr>
            <w:r>
              <w:t>Privatisierung von Bildungsdaten</w:t>
            </w:r>
          </w:p>
        </w:tc>
        <w:tc>
          <w:tcPr>
            <w:tcW w:type="dxa" w:w="4706"/>
            <w:tcMar>
              <w:top w:w="120" w:type="dxa"/>
              <w:start w:w="120" w:type="dxa"/>
              <w:bottom w:w="120" w:type="dxa"/>
              <w:end w:w="120" w:type="dxa"/>
            </w:tcMar>
            <w:vAlign w:val="top"/>
          </w:tcPr>
          <w:p>
            <w:pPr>
              <w:pStyle w:val="TableBodyText"/>
            </w:pPr>
            <w:r>
              <w:t>Datensouveränität, klare Rechte, öffentliche Kontrolle und keine kommerzielle Verwertung sensibler Lernprofile.</w:t>
            </w:r>
          </w:p>
        </w:tc>
      </w:tr>
    </w:tbl>
    <w:p>
      <w:pPr>
        <w:pStyle w:val="Heading1"/>
      </w:pPr>
      <w:r>
        <w:t>21. Praxisbeispiel: Das Schulhof-Hitze-Projekt</w:t>
      </w:r>
    </w:p>
    <w:p>
      <w:pPr>
        <w:pStyle w:val="BodyText"/>
      </w:pPr>
      <w:r>
        <w:t>Ein Beispiel zeigt, wie Wirkungsschule praktisch wird. Eine Schule stellt fest, dass der Schulhof im Sommer stark aufheizt. In der alten Logik wäre dies ein Gebäudethema, vielleicht ein Antrag an den Träger oder ein Projekt der Umwelt-AG. In der Wirkungsschule wird daraus eine fächerverbindende Wirkungsfrage: Welche Wirkung hat Hitze auf Lernen, Gesundheit, Bewegung, Konflikte, Pausenqualität und Teilhabe?</w:t>
      </w:r>
    </w:p>
    <w:p>
      <w:pPr>
        <w:pStyle w:val="BodyText"/>
      </w:pPr>
      <w:r>
        <w:t>Mathematik misst Temperaturen, Schattenflächen, Aufenthaltszeiten und Wasserverbrauch. Physik erklärt Wärme, Strahlung, Materialien und Verdunstung. Biologie untersucht Pflanzen, Boden, Biodiversität und Gesundheit. Geografie verbindet Stadtklima, Versiegelung und Quartier. Deutsch und Sprachen dokumentieren Beobachtungen, führen Interviews und formulieren Anträge. Kunst entwirft Raumideen. Politik und Sozialkunde klären Beteiligung, Zuständigkeiten, Finanzierung und kommunale Entscheidungen.</w:t>
      </w:r>
    </w:p>
    <w:p>
      <w:pPr>
        <w:pStyle w:val="BodyText"/>
      </w:pPr>
      <w:r>
        <w:t>Die Schüler:innen lernen dabei nicht nur über Klima. Sie lernen Wirkung. Sie erkennen, dass ein Raum nicht neutral ist. Sie prüfen Daten, sprechen mit Betroffenen, entwickeln Varianten, bewerten Zielkonflikte, stellen Fragen an die Kommune und reflektieren Nebenwirkungen: Wer nutzt den Hof? Wer profitiert von Schatten? Was kostet Pflege? Werden Flächen barrierefrei? Wie wird Vandalismus verhindert? Welche Lösung wirkt schnell, welche langfristig?</w:t>
      </w:r>
    </w:p>
    <w:p>
      <w:pPr>
        <w:pStyle w:val="BodyText"/>
      </w:pPr>
      <w:r>
        <w:t>Am Ende steht nicht zwingend der perfekte Schulhof. Am Ende steht ein Lernprozess mit realer Rückkopplung. Vielleicht wird ein Teil entsiegelt. Vielleicht entstehen Schattensegel, Trinkwasserstellen, Bepflanzung, Bewegungszonen oder ein neuer Pausenplan. Vielleicht wird nur sichtbar, dass der Schulträger strukturell handeln muss. Auch das ist Wirkungskompetenz: nicht alles selbst lösen, aber Zuständigkeiten, Daten, Interessen und Handlungswege verstehen.</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3137"/>
            <w:shd w:fill="1F4E5F"/>
            <w:vAlign w:val="top"/>
            <w:tcMar>
              <w:top w:w="120" w:type="dxa"/>
              <w:start w:w="120" w:type="dxa"/>
              <w:bottom w:w="120" w:type="dxa"/>
              <w:end w:w="120" w:type="dxa"/>
            </w:tcMar>
          </w:tcPr>
          <w:p>
            <w:pPr>
              <w:pStyle w:val="TableHeaderText"/>
            </w:pPr>
            <w:r>
              <w:t>Wirkungsdimension</w:t>
            </w:r>
          </w:p>
        </w:tc>
        <w:tc>
          <w:tcPr>
            <w:tcW w:type="dxa" w:w="3137"/>
            <w:shd w:fill="1F4E5F"/>
            <w:vAlign w:val="top"/>
            <w:tcMar>
              <w:top w:w="120" w:type="dxa"/>
              <w:start w:w="120" w:type="dxa"/>
              <w:bottom w:w="120" w:type="dxa"/>
              <w:end w:w="120" w:type="dxa"/>
            </w:tcMar>
          </w:tcPr>
          <w:p>
            <w:pPr>
              <w:pStyle w:val="TableHeaderText"/>
            </w:pPr>
            <w:r>
              <w:t>Mögliche Frage</w:t>
            </w:r>
          </w:p>
        </w:tc>
        <w:tc>
          <w:tcPr>
            <w:tcW w:type="dxa" w:w="3137"/>
            <w:shd w:fill="1F4E5F"/>
            <w:vAlign w:val="top"/>
            <w:tcMar>
              <w:top w:w="120" w:type="dxa"/>
              <w:start w:w="120" w:type="dxa"/>
              <w:bottom w:w="120" w:type="dxa"/>
              <w:end w:w="120" w:type="dxa"/>
            </w:tcMar>
          </w:tcPr>
          <w:p>
            <w:pPr>
              <w:pStyle w:val="TableHeaderText"/>
            </w:pPr>
            <w:r>
              <w:t>Möglicher Indikator</w:t>
            </w:r>
          </w:p>
        </w:tc>
      </w:tr>
      <w:tr>
        <w:trPr>
          <w:cantSplit/>
        </w:trPr>
        <w:tc>
          <w:tcPr>
            <w:tcW w:type="dxa" w:w="3137"/>
            <w:shd w:fill="F2F7F9"/>
            <w:tcMar>
              <w:top w:w="120" w:type="dxa"/>
              <w:start w:w="120" w:type="dxa"/>
              <w:bottom w:w="120" w:type="dxa"/>
              <w:end w:w="120" w:type="dxa"/>
            </w:tcMar>
            <w:vAlign w:val="top"/>
          </w:tcPr>
          <w:p>
            <w:pPr>
              <w:pStyle w:val="TableBodyText"/>
            </w:pPr>
            <w:r>
              <w:t>Mensch</w:t>
            </w:r>
          </w:p>
        </w:tc>
        <w:tc>
          <w:tcPr>
            <w:tcW w:type="dxa" w:w="3137"/>
            <w:tcMar>
              <w:top w:w="120" w:type="dxa"/>
              <w:start w:w="120" w:type="dxa"/>
              <w:bottom w:w="120" w:type="dxa"/>
              <w:end w:w="120" w:type="dxa"/>
            </w:tcMar>
            <w:vAlign w:val="top"/>
          </w:tcPr>
          <w:p>
            <w:pPr>
              <w:pStyle w:val="TableBodyText"/>
            </w:pPr>
            <w:r>
              <w:t>Verbessert sich Wohlbefinden in Pausen?</w:t>
            </w:r>
          </w:p>
        </w:tc>
        <w:tc>
          <w:tcPr>
            <w:tcW w:type="dxa" w:w="3137"/>
            <w:tcMar>
              <w:top w:w="120" w:type="dxa"/>
              <w:start w:w="120" w:type="dxa"/>
              <w:bottom w:w="120" w:type="dxa"/>
              <w:end w:w="120" w:type="dxa"/>
            </w:tcMar>
            <w:vAlign w:val="top"/>
          </w:tcPr>
          <w:p>
            <w:pPr>
              <w:pStyle w:val="TableBodyText"/>
            </w:pPr>
            <w:r>
              <w:t>Subjektives Sicherheitsempfinden, Hitze- und Stressrückmeldungen, Nutzung von Rückzugsräumen.</w:t>
            </w:r>
          </w:p>
        </w:tc>
      </w:tr>
      <w:tr>
        <w:trPr>
          <w:cantSplit/>
        </w:trPr>
        <w:tc>
          <w:tcPr>
            <w:tcW w:type="dxa" w:w="3137"/>
            <w:shd w:fill="F2F7F9"/>
            <w:tcMar>
              <w:top w:w="120" w:type="dxa"/>
              <w:start w:w="120" w:type="dxa"/>
              <w:bottom w:w="120" w:type="dxa"/>
              <w:end w:w="120" w:type="dxa"/>
            </w:tcMar>
            <w:vAlign w:val="top"/>
          </w:tcPr>
          <w:p>
            <w:pPr>
              <w:pStyle w:val="TableBodyText"/>
            </w:pPr>
            <w:r>
              <w:t>Planet</w:t>
            </w:r>
          </w:p>
        </w:tc>
        <w:tc>
          <w:tcPr>
            <w:tcW w:type="dxa" w:w="3137"/>
            <w:tcMar>
              <w:top w:w="120" w:type="dxa"/>
              <w:start w:w="120" w:type="dxa"/>
              <w:bottom w:w="120" w:type="dxa"/>
              <w:end w:w="120" w:type="dxa"/>
            </w:tcMar>
            <w:vAlign w:val="top"/>
          </w:tcPr>
          <w:p>
            <w:pPr>
              <w:pStyle w:val="TableBodyText"/>
            </w:pPr>
            <w:r>
              <w:t>Wird Versiegelung reduziert und Biodiversität gestärkt?</w:t>
            </w:r>
          </w:p>
        </w:tc>
        <w:tc>
          <w:tcPr>
            <w:tcW w:type="dxa" w:w="3137"/>
            <w:tcMar>
              <w:top w:w="120" w:type="dxa"/>
              <w:start w:w="120" w:type="dxa"/>
              <w:bottom w:w="120" w:type="dxa"/>
              <w:end w:w="120" w:type="dxa"/>
            </w:tcMar>
            <w:vAlign w:val="top"/>
          </w:tcPr>
          <w:p>
            <w:pPr>
              <w:pStyle w:val="TableBodyText"/>
            </w:pPr>
            <w:r>
              <w:t>Entsiegelte Fläche, Schattenanteil, Pflanzenvielfalt, Regenwasserrückhalt.</w:t>
            </w:r>
          </w:p>
        </w:tc>
      </w:tr>
      <w:tr>
        <w:trPr>
          <w:cantSplit/>
        </w:trPr>
        <w:tc>
          <w:tcPr>
            <w:tcW w:type="dxa" w:w="3137"/>
            <w:shd w:fill="F2F7F9"/>
            <w:tcMar>
              <w:top w:w="120" w:type="dxa"/>
              <w:start w:w="120" w:type="dxa"/>
              <w:bottom w:w="120" w:type="dxa"/>
              <w:end w:w="120" w:type="dxa"/>
            </w:tcMar>
            <w:vAlign w:val="top"/>
          </w:tcPr>
          <w:p>
            <w:pPr>
              <w:pStyle w:val="TableBodyText"/>
            </w:pPr>
            <w:r>
              <w:t>Demokratie</w:t>
            </w:r>
          </w:p>
        </w:tc>
        <w:tc>
          <w:tcPr>
            <w:tcW w:type="dxa" w:w="3137"/>
            <w:tcMar>
              <w:top w:w="120" w:type="dxa"/>
              <w:start w:w="120" w:type="dxa"/>
              <w:bottom w:w="120" w:type="dxa"/>
              <w:end w:w="120" w:type="dxa"/>
            </w:tcMar>
            <w:vAlign w:val="top"/>
          </w:tcPr>
          <w:p>
            <w:pPr>
              <w:pStyle w:val="TableBodyText"/>
            </w:pPr>
            <w:r>
              <w:t>Werden Entscheidungen transparent und beteiligend getroffen?</w:t>
            </w:r>
          </w:p>
        </w:tc>
        <w:tc>
          <w:tcPr>
            <w:tcW w:type="dxa" w:w="3137"/>
            <w:tcMar>
              <w:top w:w="120" w:type="dxa"/>
              <w:start w:w="120" w:type="dxa"/>
              <w:bottom w:w="120" w:type="dxa"/>
              <w:end w:w="120" w:type="dxa"/>
            </w:tcMar>
            <w:vAlign w:val="top"/>
          </w:tcPr>
          <w:p>
            <w:pPr>
              <w:pStyle w:val="TableBodyText"/>
            </w:pPr>
            <w:r>
              <w:t>Beteiligung von Schüler:innen, Eltern, Träger, Hausmeisterei und Kommune.</w:t>
            </w:r>
          </w:p>
        </w:tc>
      </w:tr>
      <w:tr>
        <w:trPr>
          <w:cantSplit/>
        </w:trPr>
        <w:tc>
          <w:tcPr>
            <w:tcW w:type="dxa" w:w="3137"/>
            <w:shd w:fill="F2F7F9"/>
            <w:tcMar>
              <w:top w:w="120" w:type="dxa"/>
              <w:start w:w="120" w:type="dxa"/>
              <w:bottom w:w="120" w:type="dxa"/>
              <w:end w:w="120" w:type="dxa"/>
            </w:tcMar>
            <w:vAlign w:val="top"/>
          </w:tcPr>
          <w:p>
            <w:pPr>
              <w:pStyle w:val="TableBodyText"/>
            </w:pPr>
            <w:r>
              <w:t>Bildung</w:t>
            </w:r>
          </w:p>
        </w:tc>
        <w:tc>
          <w:tcPr>
            <w:tcW w:type="dxa" w:w="3137"/>
            <w:tcMar>
              <w:top w:w="120" w:type="dxa"/>
              <w:start w:w="120" w:type="dxa"/>
              <w:bottom w:w="120" w:type="dxa"/>
              <w:end w:w="120" w:type="dxa"/>
            </w:tcMar>
            <w:vAlign w:val="top"/>
          </w:tcPr>
          <w:p>
            <w:pPr>
              <w:pStyle w:val="TableBodyText"/>
            </w:pPr>
            <w:r>
              <w:t>Entsteht fachliches und systemisches Lernen?</w:t>
            </w:r>
          </w:p>
        </w:tc>
        <w:tc>
          <w:tcPr>
            <w:tcW w:type="dxa" w:w="3137"/>
            <w:tcMar>
              <w:top w:w="120" w:type="dxa"/>
              <w:start w:w="120" w:type="dxa"/>
              <w:bottom w:w="120" w:type="dxa"/>
              <w:end w:w="120" w:type="dxa"/>
            </w:tcMar>
            <w:vAlign w:val="top"/>
          </w:tcPr>
          <w:p>
            <w:pPr>
              <w:pStyle w:val="TableBodyText"/>
            </w:pPr>
            <w:r>
              <w:t>Projektportfolio, Datenqualität, Quellenarbeit, Reflexion von Zielkonflikten.</w:t>
            </w:r>
          </w:p>
        </w:tc>
      </w:tr>
    </w:tbl>
    <w:p>
      <w:pPr>
        <w:pStyle w:val="Heading1"/>
      </w:pPr>
      <w:r>
        <w:t>22. Anschlussfähigkeit: BNE, Future Skills, IDGs und Wirkungskompetenz</w:t>
      </w:r>
    </w:p>
    <w:p>
      <w:pPr>
        <w:pStyle w:val="BodyText"/>
      </w:pPr>
      <w:r>
        <w:t>Die Wirkungsschule muss nicht bei null beginnen. Sie kann an bestehende Ansätze anschließen: Bildung für nachhaltige Entwicklung, Demokratiebildung, Medienbildung, Future Skills, OECD Learning Compass, UNESCO-Debatte um einen neuen Bildungszukunftsvertrag und Inner Development Goals. Diese Anschlussfähigkeit ist wichtig, weil Schulen keine weitere isolierte Reformschicht brauchen. Sie brauchen eine Sprache, die vorhandene Programme verbindet und ordnet.</w:t>
      </w:r>
    </w:p>
    <w:p>
      <w:pPr>
        <w:pStyle w:val="BodyText"/>
      </w:pPr>
      <w:r>
        <w:t>Bildung für nachhaltige Entwicklung bringt den Bezug zu Nachhaltigkeit, SDG 4.7, globaler Verantwortung und Zukunftsgerechtigkeit ein. Future Skills betonen Kompetenzen für eine veränderte Arbeits- und Lebenswelt. Die Inner Development Goals beschreiben innere und kollektive Fähigkeiten, die Transformation ermöglichen. Medienbildung und Demokratiebildung schützen den öffentlichen Wirkungsraum. Die Wirkungsschule integriert diese Ansätze, ohne sie zu ersetzen.</w:t>
      </w:r>
    </w:p>
    <w:p>
      <w:pPr>
        <w:pStyle w:val="BodyText"/>
      </w:pPr>
      <w:r>
        <w:t>Der Unterschied liegt in der Rückkopplungslogik. Wirkungskompetenz fragt nicht nur, welche Fähigkeit ein Mensch hat, sondern wie diese Fähigkeit in konkreten Situationen Wirkung erzeugt, Risiken erkennt und Entscheidungen verändert. Sie verbindet innere Haltung mit Daten, Institutionen, Technologie, Demokratie, Macht, Sprache und Systemfolgen. Dadurch wird aus Kompetenz nicht nur persönliche Entwicklung, sondern gesellschaftliche Handlungsfähigkeit.</w:t>
      </w:r>
    </w:p>
    <w:p>
      <w:pPr>
        <w:pStyle w:val="BodyText"/>
      </w:pPr>
      <w:r>
        <w:t>Diese Einordnung verhindert auch Reformüberladung. Nicht jedes Konzept braucht ein eigenes Fach, eine eigene Dokumentation und ein eigenes Programm. In der Wirkungsschule werden bestehende Bildungsaufträge auf gemeinsame Wirkungsfragen bezogen. Das entlastet, weil es Zusammenhänge sichtbar macht, statt immer neue Schichten aufzubauen.</w:t>
      </w:r>
    </w:p>
    <w:p>
      <w:pPr>
        <w:pStyle w:val="Heading1"/>
      </w:pPr>
      <w:r>
        <w:t>23. Was verschiedene Akteure gewinnen</w:t>
      </w:r>
    </w:p>
    <w:p>
      <w:pPr>
        <w:pStyle w:val="BodyText"/>
      </w:pPr>
      <w:r>
        <w:t>Die Wirkungsschule ist nur tragfähig, wenn sie für die beteiligten Akteure einen erkennbaren Nutzen erzeugt. Sie darf nicht als zusätzliche Zumutung erscheinen, sondern muss zeigen, wie Schule klarer, wirksamer und menschlicher werden kann.</w:t>
      </w:r>
    </w:p>
    <w:tbl>
      <w:tblPr>
        <w:tblStyle w:val="TableGrid"/>
        <w:tblW w:type="auto" w:w="0"/>
        <w:jc w:val="center"/>
        <w:tblLook w:firstColumn="1" w:firstRow="1" w:lastColumn="0" w:lastRow="0" w:noHBand="0" w:noVBand="1" w:val="04A0"/>
      </w:tblPr>
      <w:tblGrid>
        <w:gridCol w:w="4706"/>
        <w:gridCol w:w="4706"/>
      </w:tblGrid>
      <w:tr>
        <w:trPr>
          <w:tblHeader w:val="true"/>
          <w:cantSplit/>
        </w:trPr>
        <w:tc>
          <w:tcPr>
            <w:tcW w:type="dxa" w:w="4706"/>
            <w:shd w:fill="1F4E5F"/>
            <w:vAlign w:val="top"/>
            <w:tcMar>
              <w:top w:w="120" w:type="dxa"/>
              <w:start w:w="120" w:type="dxa"/>
              <w:bottom w:w="120" w:type="dxa"/>
              <w:end w:w="120" w:type="dxa"/>
            </w:tcMar>
          </w:tcPr>
          <w:p>
            <w:pPr>
              <w:pStyle w:val="TableHeaderText"/>
            </w:pPr>
            <w:r>
              <w:t>Akteur</w:t>
            </w:r>
          </w:p>
        </w:tc>
        <w:tc>
          <w:tcPr>
            <w:tcW w:type="dxa" w:w="4706"/>
            <w:shd w:fill="1F4E5F"/>
            <w:vAlign w:val="top"/>
            <w:tcMar>
              <w:top w:w="120" w:type="dxa"/>
              <w:start w:w="120" w:type="dxa"/>
              <w:bottom w:w="120" w:type="dxa"/>
              <w:end w:w="120" w:type="dxa"/>
            </w:tcMar>
          </w:tcPr>
          <w:p>
            <w:pPr>
              <w:pStyle w:val="TableHeaderText"/>
            </w:pPr>
            <w:r>
              <w:t>Gewinn der Wirkungsschule</w:t>
            </w:r>
          </w:p>
        </w:tc>
      </w:tr>
      <w:tr>
        <w:trPr>
          <w:cantSplit/>
        </w:trPr>
        <w:tc>
          <w:tcPr>
            <w:tcW w:type="dxa" w:w="4706"/>
            <w:shd w:fill="F2F7F9"/>
            <w:tcMar>
              <w:top w:w="120" w:type="dxa"/>
              <w:start w:w="120" w:type="dxa"/>
              <w:bottom w:w="120" w:type="dxa"/>
              <w:end w:w="120" w:type="dxa"/>
            </w:tcMar>
            <w:vAlign w:val="top"/>
          </w:tcPr>
          <w:p>
            <w:pPr>
              <w:pStyle w:val="TableBodyText"/>
            </w:pPr>
            <w:r>
              <w:t>Schüler:innen</w:t>
            </w:r>
          </w:p>
        </w:tc>
        <w:tc>
          <w:tcPr>
            <w:tcW w:type="dxa" w:w="4706"/>
            <w:tcMar>
              <w:top w:w="120" w:type="dxa"/>
              <w:start w:w="120" w:type="dxa"/>
              <w:bottom w:w="120" w:type="dxa"/>
              <w:end w:w="120" w:type="dxa"/>
            </w:tcMar>
            <w:vAlign w:val="top"/>
          </w:tcPr>
          <w:p>
            <w:pPr>
              <w:pStyle w:val="TableBodyText"/>
            </w:pPr>
            <w:r>
              <w:t>Mehr Selbstwirksamkeit, Orientierung, Schutz, Beteiligung, digitale Mündigkeit und verständliche Lernwege.</w:t>
            </w:r>
          </w:p>
        </w:tc>
      </w:tr>
      <w:tr>
        <w:trPr>
          <w:cantSplit/>
        </w:trPr>
        <w:tc>
          <w:tcPr>
            <w:tcW w:type="dxa" w:w="4706"/>
            <w:shd w:fill="F2F7F9"/>
            <w:tcMar>
              <w:top w:w="120" w:type="dxa"/>
              <w:start w:w="120" w:type="dxa"/>
              <w:bottom w:w="120" w:type="dxa"/>
              <w:end w:w="120" w:type="dxa"/>
            </w:tcMar>
            <w:vAlign w:val="top"/>
          </w:tcPr>
          <w:p>
            <w:pPr>
              <w:pStyle w:val="TableBodyText"/>
            </w:pPr>
            <w:r>
              <w:t>Lehrkräfte</w:t>
            </w:r>
          </w:p>
        </w:tc>
        <w:tc>
          <w:tcPr>
            <w:tcW w:type="dxa" w:w="4706"/>
            <w:tcMar>
              <w:top w:w="120" w:type="dxa"/>
              <w:start w:w="120" w:type="dxa"/>
              <w:bottom w:w="120" w:type="dxa"/>
              <w:end w:w="120" w:type="dxa"/>
            </w:tcMar>
            <w:vAlign w:val="top"/>
          </w:tcPr>
          <w:p>
            <w:pPr>
              <w:pStyle w:val="TableBodyText"/>
            </w:pPr>
            <w:r>
              <w:t>Mehr pädagogische Klarheit, bessere Teamstrukturen, weniger Einzelkämpfertum, sinnvollere Daten und stärkere Entlastungslogik.</w:t>
            </w:r>
          </w:p>
        </w:tc>
      </w:tr>
      <w:tr>
        <w:trPr>
          <w:cantSplit/>
        </w:trPr>
        <w:tc>
          <w:tcPr>
            <w:tcW w:type="dxa" w:w="4706"/>
            <w:shd w:fill="F2F7F9"/>
            <w:tcMar>
              <w:top w:w="120" w:type="dxa"/>
              <w:start w:w="120" w:type="dxa"/>
              <w:bottom w:w="120" w:type="dxa"/>
              <w:end w:w="120" w:type="dxa"/>
            </w:tcMar>
            <w:vAlign w:val="top"/>
          </w:tcPr>
          <w:p>
            <w:pPr>
              <w:pStyle w:val="TableBodyText"/>
            </w:pPr>
            <w:r>
              <w:t>Eltern</w:t>
            </w:r>
          </w:p>
        </w:tc>
        <w:tc>
          <w:tcPr>
            <w:tcW w:type="dxa" w:w="4706"/>
            <w:tcMar>
              <w:top w:w="120" w:type="dxa"/>
              <w:start w:w="120" w:type="dxa"/>
              <w:bottom w:w="120" w:type="dxa"/>
              <w:end w:w="120" w:type="dxa"/>
            </w:tcMar>
            <w:vAlign w:val="top"/>
          </w:tcPr>
          <w:p>
            <w:pPr>
              <w:pStyle w:val="TableBodyText"/>
            </w:pPr>
            <w:r>
              <w:t>Besser nachvollziehbare Lernentwicklung, weniger reine Notenfixierung, mehr Transparenz über Unterstützung und Schutzräume.</w:t>
            </w:r>
          </w:p>
        </w:tc>
      </w:tr>
      <w:tr>
        <w:trPr>
          <w:cantSplit/>
        </w:trPr>
        <w:tc>
          <w:tcPr>
            <w:tcW w:type="dxa" w:w="4706"/>
            <w:shd w:fill="F2F7F9"/>
            <w:tcMar>
              <w:top w:w="120" w:type="dxa"/>
              <w:start w:w="120" w:type="dxa"/>
              <w:bottom w:w="120" w:type="dxa"/>
              <w:end w:w="120" w:type="dxa"/>
            </w:tcMar>
            <w:vAlign w:val="top"/>
          </w:tcPr>
          <w:p>
            <w:pPr>
              <w:pStyle w:val="TableBodyText"/>
            </w:pPr>
            <w:r>
              <w:t>Schulleitungen</w:t>
            </w:r>
          </w:p>
        </w:tc>
        <w:tc>
          <w:tcPr>
            <w:tcW w:type="dxa" w:w="4706"/>
            <w:tcMar>
              <w:top w:w="120" w:type="dxa"/>
              <w:start w:w="120" w:type="dxa"/>
              <w:bottom w:w="120" w:type="dxa"/>
              <w:end w:w="120" w:type="dxa"/>
            </w:tcMar>
            <w:vAlign w:val="top"/>
          </w:tcPr>
          <w:p>
            <w:pPr>
              <w:pStyle w:val="TableBodyText"/>
            </w:pPr>
            <w:r>
              <w:t>Ein strategischer Rahmen, um Schulentwicklung, Gesundheit, Demokratie, Digitalisierung und Kooperation zu bündeln.</w:t>
            </w:r>
          </w:p>
        </w:tc>
      </w:tr>
      <w:tr>
        <w:trPr>
          <w:cantSplit/>
        </w:trPr>
        <w:tc>
          <w:tcPr>
            <w:tcW w:type="dxa" w:w="4706"/>
            <w:shd w:fill="F2F7F9"/>
            <w:tcMar>
              <w:top w:w="120" w:type="dxa"/>
              <w:start w:w="120" w:type="dxa"/>
              <w:bottom w:w="120" w:type="dxa"/>
              <w:end w:w="120" w:type="dxa"/>
            </w:tcMar>
            <w:vAlign w:val="top"/>
          </w:tcPr>
          <w:p>
            <w:pPr>
              <w:pStyle w:val="TableBodyText"/>
            </w:pPr>
            <w:r>
              <w:t>Kommunen und Träger</w:t>
            </w:r>
          </w:p>
        </w:tc>
        <w:tc>
          <w:tcPr>
            <w:tcW w:type="dxa" w:w="4706"/>
            <w:tcMar>
              <w:top w:w="120" w:type="dxa"/>
              <w:start w:w="120" w:type="dxa"/>
              <w:bottom w:w="120" w:type="dxa"/>
              <w:end w:w="120" w:type="dxa"/>
            </w:tcMar>
            <w:vAlign w:val="top"/>
          </w:tcPr>
          <w:p>
            <w:pPr>
              <w:pStyle w:val="TableBodyText"/>
            </w:pPr>
            <w:r>
              <w:t>Bessere Grundlage für Investitionen in Räume, Ganztag, Sozialraum, Gesundheit, Prävention und Bildungsnetzwerke.</w:t>
            </w:r>
          </w:p>
        </w:tc>
      </w:tr>
      <w:tr>
        <w:trPr>
          <w:cantSplit/>
        </w:trPr>
        <w:tc>
          <w:tcPr>
            <w:tcW w:type="dxa" w:w="4706"/>
            <w:shd w:fill="F2F7F9"/>
            <w:tcMar>
              <w:top w:w="120" w:type="dxa"/>
              <w:start w:w="120" w:type="dxa"/>
              <w:bottom w:w="120" w:type="dxa"/>
              <w:end w:w="120" w:type="dxa"/>
            </w:tcMar>
            <w:vAlign w:val="top"/>
          </w:tcPr>
          <w:p>
            <w:pPr>
              <w:pStyle w:val="TableBodyText"/>
            </w:pPr>
            <w:r>
              <w:t>Politik</w:t>
            </w:r>
          </w:p>
        </w:tc>
        <w:tc>
          <w:tcPr>
            <w:tcW w:type="dxa" w:w="4706"/>
            <w:tcMar>
              <w:top w:w="120" w:type="dxa"/>
              <w:start w:w="120" w:type="dxa"/>
              <w:bottom w:w="120" w:type="dxa"/>
              <w:end w:w="120" w:type="dxa"/>
            </w:tcMar>
            <w:vAlign w:val="top"/>
          </w:tcPr>
          <w:p>
            <w:pPr>
              <w:pStyle w:val="TableBodyText"/>
            </w:pPr>
            <w:r>
              <w:t>Ein anschlussfähiger Rahmen, der Basiskompetenzen, Chancengerechtigkeit, Zukunftsfähigkeit und Demokratiebildung verbindet.</w:t>
            </w:r>
          </w:p>
        </w:tc>
      </w:tr>
      <w:tr>
        <w:trPr>
          <w:cantSplit/>
        </w:trPr>
        <w:tc>
          <w:tcPr>
            <w:tcW w:type="dxa" w:w="4706"/>
            <w:shd w:fill="F2F7F9"/>
            <w:tcMar>
              <w:top w:w="120" w:type="dxa"/>
              <w:start w:w="120" w:type="dxa"/>
              <w:bottom w:w="120" w:type="dxa"/>
              <w:end w:w="120" w:type="dxa"/>
            </w:tcMar>
            <w:vAlign w:val="top"/>
          </w:tcPr>
          <w:p>
            <w:pPr>
              <w:pStyle w:val="TableBodyText"/>
            </w:pPr>
            <w:r>
              <w:t>Gesellschaft</w:t>
            </w:r>
          </w:p>
        </w:tc>
        <w:tc>
          <w:tcPr>
            <w:tcW w:type="dxa" w:w="4706"/>
            <w:tcMar>
              <w:top w:w="120" w:type="dxa"/>
              <w:start w:w="120" w:type="dxa"/>
              <w:bottom w:w="120" w:type="dxa"/>
              <w:end w:w="120" w:type="dxa"/>
            </w:tcMar>
            <w:vAlign w:val="top"/>
          </w:tcPr>
          <w:p>
            <w:pPr>
              <w:pStyle w:val="TableBodyText"/>
            </w:pPr>
            <w:r>
              <w:t>Mehr Korrekturfähigkeit, Resilienz, Teilhabe, Medienkompetenz, Gesundheitskompetenz und demokratische Stabilität.</w:t>
            </w:r>
          </w:p>
        </w:tc>
      </w:tr>
    </w:tbl>
    <w:p>
      <w:pPr>
        <w:pStyle w:val="BodyText"/>
      </w:pPr>
      <w:r>
        <w:t>Gerade dieser Nutzen für unterschiedliche Akteure macht die Wirkungsschule politisch und praktisch interessant. Sie ist kein Spezialprogramm für besonders engagierte Schulen, sondern ein Ordnungsrahmen für das, was gute Bildung ohnehin leisten soll - nur klarer, systemischer und besser geschützt.</w:t>
      </w:r>
    </w:p>
    <w:p>
      <w:pPr>
        <w:pStyle w:val="Heading1"/>
      </w:pPr>
      <w:r>
        <w:t>24. Fazit: Bildung als Wirkungsgrad der Zukunft</w:t>
      </w:r>
    </w:p>
    <w:p>
      <w:pPr>
        <w:pStyle w:val="BodyText"/>
      </w:pPr>
      <w:r>
        <w:t>Die Wirkungsschule ist eine Antwort auf die Maßstabskrise der Bildung. Sie ersetzt nicht Fachlichkeit, nicht Leistung, nicht Anstrengung und nicht Verantwortung. Sie ordnet sie neu. Leistung ist nicht nur Abruf. Leistung ist die Fähigkeit, Wissen so zu nutzen, dass Menschen, Planet und Demokratie gestärkt werden können.</w:t>
      </w:r>
    </w:p>
    <w:p>
      <w:pPr>
        <w:pStyle w:val="BodyText"/>
      </w:pPr>
      <w:r>
        <w:t>Wirkungspädagogik macht Lernen erfahrbar, ohne Kinder zu instrumentalisieren. Wirkungskompetenz macht Menschen handlungsfähig, ohne ihnen einfache Antworten vorzugeben. Das Fach Zukunft verbindet Fächer, ohne ihre Tiefe zu verlieren. Das Wirkungsportfolio macht Entwicklung sichtbar, ohne den Wert eines Menschen zu bewerten. Wirkungsförderung beginnt früher, weil sie Potenziale sieht, bevor Defizite verfestigt sind.</w:t>
      </w:r>
    </w:p>
    <w:p>
      <w:pPr>
        <w:pStyle w:val="BodyText"/>
      </w:pPr>
      <w:r>
        <w:t>Damit wird Bildung zu dem, was sie im 21. Jahrhundert sein muss: Prävention, Resilienz, Demokratieschutz, Gesundheitsförderung, digitale Mündigkeit, Innovationskraft und Selbstwirksamkeit. Eine Gesellschaft, die Wirkung verstehen will, muss Wirkung lernen. Und der erste Ort, an dem diese Fähigkeit demokratisch, geschützt und für alle zugänglich entstehen kann, ist Bildung.</w:t>
      </w:r>
    </w:p>
    <w:p>
      <w:pPr>
        <w:pStyle w:val="BodyText"/>
      </w:pPr>
      <w:r>
        <w:t>Die Wirkungsschule ist deshalb kein Zusatzprojekt. Sie ist der Versuch, Schule wieder an die große Frage heranzuführen, die hinter jeder guten Bildung steht: Welche Welt entsteht durch das, was wir lernen, wie wir lernen und wie wir miteinander umgehen?</w:t>
      </w:r>
    </w:p>
    <w:p>
      <w:pPr>
        <w:pStyle w:val="PullQuote"/>
        <w:jc w:val="center"/>
      </w:pPr>
      <w:r>
        <w:t>Bildung ist nicht die Vorbereitung auf Wirkung. Bildung ist selbst Wirkung - und Wirkungskompetenz ist die Fähigkeit, diese Wirkung bewusst, demokratisch und verantwortungsvoll zu gestalten.</w:t>
      </w:r>
    </w:p>
    <w:p>
      <w:r>
        <w:br w:type="page"/>
      </w:r>
    </w:p>
    <w:p>
      <w:pPr>
        <w:pStyle w:val="Heading1"/>
      </w:pPr>
      <w:r>
        <w:t>Anhang A: Begriffslandkarte</w:t>
      </w:r>
    </w:p>
    <w:tbl>
      <w:tblPr>
        <w:tblStyle w:val="TableGrid"/>
        <w:tblW w:type="auto" w:w="0"/>
        <w:jc w:val="center"/>
        <w:tblLook w:firstColumn="1" w:firstRow="1" w:lastColumn="0" w:lastRow="0" w:noHBand="0" w:noVBand="1" w:val="04A0"/>
      </w:tblPr>
      <w:tblGrid>
        <w:gridCol w:w="4706"/>
        <w:gridCol w:w="4706"/>
      </w:tblGrid>
      <w:tr>
        <w:trPr>
          <w:tblHeader w:val="true"/>
          <w:cantSplit/>
        </w:trPr>
        <w:tc>
          <w:tcPr>
            <w:tcW w:type="dxa" w:w="4706"/>
            <w:shd w:fill="1F4E5F"/>
            <w:vAlign w:val="top"/>
            <w:tcMar>
              <w:top w:w="120" w:type="dxa"/>
              <w:start w:w="120" w:type="dxa"/>
              <w:bottom w:w="120" w:type="dxa"/>
              <w:end w:w="120" w:type="dxa"/>
            </w:tcMar>
          </w:tcPr>
          <w:p>
            <w:pPr>
              <w:pStyle w:val="TableHeaderText"/>
            </w:pPr>
            <w:r>
              <w:t>Begriff</w:t>
            </w:r>
          </w:p>
        </w:tc>
        <w:tc>
          <w:tcPr>
            <w:tcW w:type="dxa" w:w="4706"/>
            <w:shd w:fill="1F4E5F"/>
            <w:vAlign w:val="top"/>
            <w:tcMar>
              <w:top w:w="120" w:type="dxa"/>
              <w:start w:w="120" w:type="dxa"/>
              <w:bottom w:w="120" w:type="dxa"/>
              <w:end w:w="120" w:type="dxa"/>
            </w:tcMar>
          </w:tcPr>
          <w:p>
            <w:pPr>
              <w:pStyle w:val="TableHeaderText"/>
            </w:pPr>
            <w:r>
              <w:t>Arbeitsdefinition für Bildung und Website</w:t>
            </w:r>
          </w:p>
        </w:tc>
      </w:tr>
      <w:tr>
        <w:trPr>
          <w:cantSplit/>
        </w:trPr>
        <w:tc>
          <w:tcPr>
            <w:tcW w:type="dxa" w:w="4706"/>
            <w:shd w:fill="F2F7F9"/>
            <w:tcMar>
              <w:top w:w="120" w:type="dxa"/>
              <w:start w:w="120" w:type="dxa"/>
              <w:bottom w:w="120" w:type="dxa"/>
              <w:end w:w="120" w:type="dxa"/>
            </w:tcMar>
            <w:vAlign w:val="top"/>
          </w:tcPr>
          <w:p>
            <w:pPr>
              <w:pStyle w:val="TableBodyText"/>
            </w:pPr>
            <w:r>
              <w:t>Wirkung</w:t>
            </w:r>
          </w:p>
        </w:tc>
        <w:tc>
          <w:tcPr>
            <w:tcW w:type="dxa" w:w="4706"/>
            <w:tcMar>
              <w:top w:w="120" w:type="dxa"/>
              <w:start w:w="120" w:type="dxa"/>
              <w:bottom w:w="120" w:type="dxa"/>
              <w:end w:w="120" w:type="dxa"/>
            </w:tcMar>
            <w:vAlign w:val="top"/>
          </w:tcPr>
          <w:p>
            <w:pPr>
              <w:pStyle w:val="TableBodyText"/>
            </w:pPr>
            <w:r>
              <w:t>Tatsächliche Veränderung von Zuständen. Wirkung kann positiv, negativ oder neutral sein.</w:t>
            </w:r>
          </w:p>
        </w:tc>
      </w:tr>
      <w:tr>
        <w:trPr>
          <w:cantSplit/>
        </w:trPr>
        <w:tc>
          <w:tcPr>
            <w:tcW w:type="dxa" w:w="4706"/>
            <w:shd w:fill="F2F7F9"/>
            <w:tcMar>
              <w:top w:w="120" w:type="dxa"/>
              <w:start w:w="120" w:type="dxa"/>
              <w:bottom w:w="120" w:type="dxa"/>
              <w:end w:w="120" w:type="dxa"/>
            </w:tcMar>
            <w:vAlign w:val="top"/>
          </w:tcPr>
          <w:p>
            <w:pPr>
              <w:pStyle w:val="TableBodyText"/>
            </w:pPr>
            <w:r>
              <w:t>Positive Wirkung</w:t>
            </w:r>
          </w:p>
        </w:tc>
        <w:tc>
          <w:tcPr>
            <w:tcW w:type="dxa" w:w="4706"/>
            <w:tcMar>
              <w:top w:w="120" w:type="dxa"/>
              <w:start w:w="120" w:type="dxa"/>
              <w:bottom w:w="120" w:type="dxa"/>
              <w:end w:w="120" w:type="dxa"/>
            </w:tcMar>
            <w:vAlign w:val="top"/>
          </w:tcPr>
          <w:p>
            <w:pPr>
              <w:pStyle w:val="TableBodyText"/>
            </w:pPr>
            <w:r>
              <w:t>Veränderung, die auf SDGs, Agenda 2030 und SDG+ einzahlt.</w:t>
            </w:r>
          </w:p>
        </w:tc>
      </w:tr>
      <w:tr>
        <w:trPr>
          <w:cantSplit/>
        </w:trPr>
        <w:tc>
          <w:tcPr>
            <w:tcW w:type="dxa" w:w="4706"/>
            <w:shd w:fill="F2F7F9"/>
            <w:tcMar>
              <w:top w:w="120" w:type="dxa"/>
              <w:start w:w="120" w:type="dxa"/>
              <w:bottom w:w="120" w:type="dxa"/>
              <w:end w:w="120" w:type="dxa"/>
            </w:tcMar>
            <w:vAlign w:val="top"/>
          </w:tcPr>
          <w:p>
            <w:pPr>
              <w:pStyle w:val="TableBodyText"/>
            </w:pPr>
            <w:r>
              <w:t>Positive Netto-Wirkung</w:t>
            </w:r>
          </w:p>
        </w:tc>
        <w:tc>
          <w:tcPr>
            <w:tcW w:type="dxa" w:w="4706"/>
            <w:tcMar>
              <w:top w:w="120" w:type="dxa"/>
              <w:start w:w="120" w:type="dxa"/>
              <w:bottom w:w="120" w:type="dxa"/>
              <w:end w:w="120" w:type="dxa"/>
            </w:tcMar>
            <w:vAlign w:val="top"/>
          </w:tcPr>
          <w:p>
            <w:pPr>
              <w:pStyle w:val="TableBodyText"/>
            </w:pPr>
            <w:r>
              <w:t>Zielgröße der Wirkungsökonomie: positive Wirkungen unter Berücksichtigung negativer Effekte, Schutzgrenzen und Nicht-Kompensation.</w:t>
            </w:r>
          </w:p>
        </w:tc>
      </w:tr>
      <w:tr>
        <w:trPr>
          <w:cantSplit/>
        </w:trPr>
        <w:tc>
          <w:tcPr>
            <w:tcW w:type="dxa" w:w="4706"/>
            <w:shd w:fill="F2F7F9"/>
            <w:tcMar>
              <w:top w:w="120" w:type="dxa"/>
              <w:start w:w="120" w:type="dxa"/>
              <w:bottom w:w="120" w:type="dxa"/>
              <w:end w:w="120" w:type="dxa"/>
            </w:tcMar>
            <w:vAlign w:val="top"/>
          </w:tcPr>
          <w:p>
            <w:pPr>
              <w:pStyle w:val="TableBodyText"/>
            </w:pPr>
            <w:r>
              <w:t>Wirkungsschule</w:t>
            </w:r>
          </w:p>
        </w:tc>
        <w:tc>
          <w:tcPr>
            <w:tcW w:type="dxa" w:w="4706"/>
            <w:tcMar>
              <w:top w:w="120" w:type="dxa"/>
              <w:start w:w="120" w:type="dxa"/>
              <w:bottom w:w="120" w:type="dxa"/>
              <w:end w:w="120" w:type="dxa"/>
            </w:tcMar>
            <w:vAlign w:val="top"/>
          </w:tcPr>
          <w:p>
            <w:pPr>
              <w:pStyle w:val="TableBodyText"/>
            </w:pPr>
            <w:r>
              <w:t>Institutionelle Form: Schule als Lern-, Lebens-, Gesundheits-, Demokratie- und Wirkungsraum.</w:t>
            </w:r>
          </w:p>
        </w:tc>
      </w:tr>
      <w:tr>
        <w:trPr>
          <w:cantSplit/>
        </w:trPr>
        <w:tc>
          <w:tcPr>
            <w:tcW w:type="dxa" w:w="4706"/>
            <w:shd w:fill="F2F7F9"/>
            <w:tcMar>
              <w:top w:w="120" w:type="dxa"/>
              <w:start w:w="120" w:type="dxa"/>
              <w:bottom w:w="120" w:type="dxa"/>
              <w:end w:w="120" w:type="dxa"/>
            </w:tcMar>
            <w:vAlign w:val="top"/>
          </w:tcPr>
          <w:p>
            <w:pPr>
              <w:pStyle w:val="TableBodyText"/>
            </w:pPr>
            <w:r>
              <w:t>Wirkungspädagogik</w:t>
            </w:r>
          </w:p>
        </w:tc>
        <w:tc>
          <w:tcPr>
            <w:tcW w:type="dxa" w:w="4706"/>
            <w:tcMar>
              <w:top w:w="120" w:type="dxa"/>
              <w:start w:w="120" w:type="dxa"/>
              <w:bottom w:w="120" w:type="dxa"/>
              <w:end w:w="120" w:type="dxa"/>
            </w:tcMar>
            <w:vAlign w:val="top"/>
          </w:tcPr>
          <w:p>
            <w:pPr>
              <w:pStyle w:val="TableBodyText"/>
            </w:pPr>
            <w:r>
              <w:t>Didaktische Praxis: Fachlernen, Reflexion, Beziehung, Fehlerkultur und Verantwortung verbinden.</w:t>
            </w:r>
          </w:p>
        </w:tc>
      </w:tr>
      <w:tr>
        <w:trPr>
          <w:cantSplit/>
        </w:trPr>
        <w:tc>
          <w:tcPr>
            <w:tcW w:type="dxa" w:w="4706"/>
            <w:shd w:fill="F2F7F9"/>
            <w:tcMar>
              <w:top w:w="120" w:type="dxa"/>
              <w:start w:w="120" w:type="dxa"/>
              <w:bottom w:w="120" w:type="dxa"/>
              <w:end w:w="120" w:type="dxa"/>
            </w:tcMar>
            <w:vAlign w:val="top"/>
          </w:tcPr>
          <w:p>
            <w:pPr>
              <w:pStyle w:val="TableBodyText"/>
            </w:pPr>
            <w:r>
              <w:t>Wirkungskompetenz</w:t>
            </w:r>
          </w:p>
        </w:tc>
        <w:tc>
          <w:tcPr>
            <w:tcW w:type="dxa" w:w="4706"/>
            <w:tcMar>
              <w:top w:w="120" w:type="dxa"/>
              <w:start w:w="120" w:type="dxa"/>
              <w:bottom w:w="120" w:type="dxa"/>
              <w:end w:w="120" w:type="dxa"/>
            </w:tcMar>
            <w:vAlign w:val="top"/>
          </w:tcPr>
          <w:p>
            <w:pPr>
              <w:pStyle w:val="TableBodyText"/>
            </w:pPr>
            <w:r>
              <w:t>Fähigkeit, Wirkung, Wirkungspotenziale, Nebenwirkungen, Rückkopplungen und Verantwortung zu erkennen, zu bewerten und zu gestalten.</w:t>
            </w:r>
          </w:p>
        </w:tc>
      </w:tr>
      <w:tr>
        <w:trPr>
          <w:cantSplit/>
        </w:trPr>
        <w:tc>
          <w:tcPr>
            <w:tcW w:type="dxa" w:w="4706"/>
            <w:shd w:fill="F2F7F9"/>
            <w:tcMar>
              <w:top w:w="120" w:type="dxa"/>
              <w:start w:w="120" w:type="dxa"/>
              <w:bottom w:w="120" w:type="dxa"/>
              <w:end w:w="120" w:type="dxa"/>
            </w:tcMar>
            <w:vAlign w:val="top"/>
          </w:tcPr>
          <w:p>
            <w:pPr>
              <w:pStyle w:val="TableBodyText"/>
            </w:pPr>
            <w:r>
              <w:t>Wirkungsportfolio</w:t>
            </w:r>
          </w:p>
        </w:tc>
        <w:tc>
          <w:tcPr>
            <w:tcW w:type="dxa" w:w="4706"/>
            <w:tcMar>
              <w:top w:w="120" w:type="dxa"/>
              <w:start w:w="120" w:type="dxa"/>
              <w:bottom w:w="120" w:type="dxa"/>
              <w:end w:w="120" w:type="dxa"/>
            </w:tcMar>
            <w:vAlign w:val="top"/>
          </w:tcPr>
          <w:p>
            <w:pPr>
              <w:pStyle w:val="TableBodyText"/>
            </w:pPr>
            <w:r>
              <w:t>Lerninstrument für Reflexion, Projektarbeit, Feedback und Kompetenzentwicklung. Kein Ranking.</w:t>
            </w:r>
          </w:p>
        </w:tc>
      </w:tr>
      <w:tr>
        <w:trPr>
          <w:cantSplit/>
        </w:trPr>
        <w:tc>
          <w:tcPr>
            <w:tcW w:type="dxa" w:w="4706"/>
            <w:shd w:fill="F2F7F9"/>
            <w:tcMar>
              <w:top w:w="120" w:type="dxa"/>
              <w:start w:w="120" w:type="dxa"/>
              <w:bottom w:w="120" w:type="dxa"/>
              <w:end w:w="120" w:type="dxa"/>
            </w:tcMar>
            <w:vAlign w:val="top"/>
          </w:tcPr>
          <w:p>
            <w:pPr>
              <w:pStyle w:val="TableBodyText"/>
            </w:pPr>
            <w:r>
              <w:t>Bildungswirkungsindex / BWK</w:t>
            </w:r>
          </w:p>
        </w:tc>
        <w:tc>
          <w:tcPr>
            <w:tcW w:type="dxa" w:w="4706"/>
            <w:tcMar>
              <w:top w:w="120" w:type="dxa"/>
              <w:start w:w="120" w:type="dxa"/>
              <w:bottom w:w="120" w:type="dxa"/>
              <w:end w:w="120" w:type="dxa"/>
            </w:tcMar>
            <w:vAlign w:val="top"/>
          </w:tcPr>
          <w:p>
            <w:pPr>
              <w:pStyle w:val="TableBodyText"/>
            </w:pPr>
            <w:r>
              <w:t>Rahmen, um Bildungswirkung auf Wissen, Demokratie, Gesundheit, Teilhabe, digitale Mündigkeit und Resilienz sichtbar zu machen.</w:t>
            </w:r>
          </w:p>
        </w:tc>
      </w:tr>
      <w:tr>
        <w:trPr>
          <w:cantSplit/>
        </w:trPr>
        <w:tc>
          <w:tcPr>
            <w:tcW w:type="dxa" w:w="4706"/>
            <w:shd w:fill="F2F7F9"/>
            <w:tcMar>
              <w:top w:w="120" w:type="dxa"/>
              <w:start w:w="120" w:type="dxa"/>
              <w:bottom w:w="120" w:type="dxa"/>
              <w:end w:w="120" w:type="dxa"/>
            </w:tcMar>
            <w:vAlign w:val="top"/>
          </w:tcPr>
          <w:p>
            <w:pPr>
              <w:pStyle w:val="TableBodyText"/>
            </w:pPr>
            <w:r>
              <w:t>WÖk-ID</w:t>
            </w:r>
          </w:p>
        </w:tc>
        <w:tc>
          <w:tcPr>
            <w:tcW w:type="dxa" w:w="4706"/>
            <w:tcMar>
              <w:top w:w="120" w:type="dxa"/>
              <w:start w:w="120" w:type="dxa"/>
              <w:bottom w:w="120" w:type="dxa"/>
              <w:end w:w="120" w:type="dxa"/>
            </w:tcMar>
            <w:vAlign w:val="top"/>
          </w:tcPr>
          <w:p>
            <w:pPr>
              <w:pStyle w:val="TableBodyText"/>
            </w:pPr>
            <w:r>
              <w:t>Standardisierte Zuordnung von Indikatoren zu SDG-/SDG+-Bezügen, Datenquellen, Benchmarks und Schutzgrenzen.</w:t>
            </w:r>
          </w:p>
        </w:tc>
      </w:tr>
    </w:tbl>
    <w:p>
      <w:pPr>
        <w:pStyle w:val="Heading1"/>
      </w:pPr>
      <w:r>
        <w:t>Anhang B: Instrumente und Methoden</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3137"/>
            <w:shd w:fill="1F4E5F"/>
            <w:vAlign w:val="top"/>
            <w:tcMar>
              <w:top w:w="120" w:type="dxa"/>
              <w:start w:w="120" w:type="dxa"/>
              <w:bottom w:w="120" w:type="dxa"/>
              <w:end w:w="120" w:type="dxa"/>
            </w:tcMar>
          </w:tcPr>
          <w:p>
            <w:pPr>
              <w:pStyle w:val="TableHeaderText"/>
            </w:pPr>
            <w:r>
              <w:t>Instrument</w:t>
            </w:r>
          </w:p>
        </w:tc>
        <w:tc>
          <w:tcPr>
            <w:tcW w:type="dxa" w:w="3137"/>
            <w:shd w:fill="1F4E5F"/>
            <w:vAlign w:val="top"/>
            <w:tcMar>
              <w:top w:w="120" w:type="dxa"/>
              <w:start w:w="120" w:type="dxa"/>
              <w:bottom w:w="120" w:type="dxa"/>
              <w:end w:w="120" w:type="dxa"/>
            </w:tcMar>
          </w:tcPr>
          <w:p>
            <w:pPr>
              <w:pStyle w:val="TableHeaderText"/>
            </w:pPr>
            <w:r>
              <w:t>Wofür es dient</w:t>
            </w:r>
          </w:p>
        </w:tc>
        <w:tc>
          <w:tcPr>
            <w:tcW w:type="dxa" w:w="3137"/>
            <w:shd w:fill="1F4E5F"/>
            <w:vAlign w:val="top"/>
            <w:tcMar>
              <w:top w:w="120" w:type="dxa"/>
              <w:start w:w="120" w:type="dxa"/>
              <w:bottom w:w="120" w:type="dxa"/>
              <w:end w:w="120" w:type="dxa"/>
            </w:tcMar>
          </w:tcPr>
          <w:p>
            <w:pPr>
              <w:pStyle w:val="TableHeaderText"/>
            </w:pPr>
            <w:r>
              <w:t>Schutzgrenze</w:t>
            </w:r>
          </w:p>
        </w:tc>
      </w:tr>
      <w:tr>
        <w:trPr>
          <w:cantSplit/>
        </w:trPr>
        <w:tc>
          <w:tcPr>
            <w:tcW w:type="dxa" w:w="3137"/>
            <w:shd w:fill="F2F7F9"/>
            <w:tcMar>
              <w:top w:w="120" w:type="dxa"/>
              <w:start w:w="120" w:type="dxa"/>
              <w:bottom w:w="120" w:type="dxa"/>
              <w:end w:w="120" w:type="dxa"/>
            </w:tcMar>
            <w:vAlign w:val="top"/>
          </w:tcPr>
          <w:p>
            <w:pPr>
              <w:pStyle w:val="TableBodyText"/>
            </w:pPr>
            <w:r>
              <w:t>Wirkungsschule-Check</w:t>
            </w:r>
          </w:p>
        </w:tc>
        <w:tc>
          <w:tcPr>
            <w:tcW w:type="dxa" w:w="3137"/>
            <w:tcMar>
              <w:top w:w="120" w:type="dxa"/>
              <w:start w:w="120" w:type="dxa"/>
              <w:bottom w:w="120" w:type="dxa"/>
              <w:end w:w="120" w:type="dxa"/>
            </w:tcMar>
            <w:vAlign w:val="top"/>
          </w:tcPr>
          <w:p>
            <w:pPr>
              <w:pStyle w:val="TableBodyText"/>
            </w:pPr>
            <w:r>
              <w:t>Reifegrad von Schulentwicklung, Unterricht, Förderung, Raum, Demokratiepraxis und Datenethik.</w:t>
            </w:r>
          </w:p>
        </w:tc>
        <w:tc>
          <w:tcPr>
            <w:tcW w:type="dxa" w:w="3137"/>
            <w:tcMar>
              <w:top w:w="120" w:type="dxa"/>
              <w:start w:w="120" w:type="dxa"/>
              <w:bottom w:w="120" w:type="dxa"/>
              <w:end w:w="120" w:type="dxa"/>
            </w:tcMar>
            <w:vAlign w:val="top"/>
          </w:tcPr>
          <w:p>
            <w:pPr>
              <w:pStyle w:val="TableBodyText"/>
            </w:pPr>
            <w:r>
              <w:t>Keine Bewertung einzelner Kinder, Familien oder Lehrkräfte.</w:t>
            </w:r>
          </w:p>
        </w:tc>
      </w:tr>
      <w:tr>
        <w:trPr>
          <w:cantSplit/>
        </w:trPr>
        <w:tc>
          <w:tcPr>
            <w:tcW w:type="dxa" w:w="3137"/>
            <w:shd w:fill="F2F7F9"/>
            <w:tcMar>
              <w:top w:w="120" w:type="dxa"/>
              <w:start w:w="120" w:type="dxa"/>
              <w:bottom w:w="120" w:type="dxa"/>
              <w:end w:w="120" w:type="dxa"/>
            </w:tcMar>
            <w:vAlign w:val="top"/>
          </w:tcPr>
          <w:p>
            <w:pPr>
              <w:pStyle w:val="TableBodyText"/>
            </w:pPr>
            <w:r>
              <w:t>Wirkungsportfolio</w:t>
            </w:r>
          </w:p>
        </w:tc>
        <w:tc>
          <w:tcPr>
            <w:tcW w:type="dxa" w:w="3137"/>
            <w:tcMar>
              <w:top w:w="120" w:type="dxa"/>
              <w:start w:w="120" w:type="dxa"/>
              <w:bottom w:w="120" w:type="dxa"/>
              <w:end w:w="120" w:type="dxa"/>
            </w:tcMar>
            <w:vAlign w:val="top"/>
          </w:tcPr>
          <w:p>
            <w:pPr>
              <w:pStyle w:val="TableBodyText"/>
            </w:pPr>
            <w:r>
              <w:t>Dokumentation von Lernweg, Projektarbeit, Reflexion, Feedback und Kompetenzprofil.</w:t>
            </w:r>
          </w:p>
        </w:tc>
        <w:tc>
          <w:tcPr>
            <w:tcW w:type="dxa" w:w="3137"/>
            <w:tcMar>
              <w:top w:w="120" w:type="dxa"/>
              <w:start w:w="120" w:type="dxa"/>
              <w:bottom w:w="120" w:type="dxa"/>
              <w:end w:w="120" w:type="dxa"/>
            </w:tcMar>
            <w:vAlign w:val="top"/>
          </w:tcPr>
          <w:p>
            <w:pPr>
              <w:pStyle w:val="TableBodyText"/>
            </w:pPr>
            <w:r>
              <w:t>Kein Ranking, kein Persönlichkeitsprofil, keine automatisierte Sortierung.</w:t>
            </w:r>
          </w:p>
        </w:tc>
      </w:tr>
      <w:tr>
        <w:trPr>
          <w:cantSplit/>
        </w:trPr>
        <w:tc>
          <w:tcPr>
            <w:tcW w:type="dxa" w:w="3137"/>
            <w:shd w:fill="F2F7F9"/>
            <w:tcMar>
              <w:top w:w="120" w:type="dxa"/>
              <w:start w:w="120" w:type="dxa"/>
              <w:bottom w:w="120" w:type="dxa"/>
              <w:end w:w="120" w:type="dxa"/>
            </w:tcMar>
            <w:vAlign w:val="top"/>
          </w:tcPr>
          <w:p>
            <w:pPr>
              <w:pStyle w:val="TableBodyText"/>
            </w:pPr>
            <w:r>
              <w:t>Fach-Zukunft-Modulgenerator</w:t>
            </w:r>
          </w:p>
        </w:tc>
        <w:tc>
          <w:tcPr>
            <w:tcW w:type="dxa" w:w="3137"/>
            <w:tcMar>
              <w:top w:w="120" w:type="dxa"/>
              <w:start w:w="120" w:type="dxa"/>
              <w:bottom w:w="120" w:type="dxa"/>
              <w:end w:w="120" w:type="dxa"/>
            </w:tcMar>
            <w:vAlign w:val="top"/>
          </w:tcPr>
          <w:p>
            <w:pPr>
              <w:pStyle w:val="TableBodyText"/>
            </w:pPr>
            <w:r>
              <w:t>Verknüpft Jahrgang, Thema, lokale Frage, Fächer, SDGs/SDG+ und Ergebnisformat.</w:t>
            </w:r>
          </w:p>
        </w:tc>
        <w:tc>
          <w:tcPr>
            <w:tcW w:type="dxa" w:w="3137"/>
            <w:tcMar>
              <w:top w:w="120" w:type="dxa"/>
              <w:start w:w="120" w:type="dxa"/>
              <w:bottom w:w="120" w:type="dxa"/>
              <w:end w:w="120" w:type="dxa"/>
            </w:tcMar>
            <w:vAlign w:val="top"/>
          </w:tcPr>
          <w:p>
            <w:pPr>
              <w:pStyle w:val="TableBodyText"/>
            </w:pPr>
            <w:r>
              <w:t>Keine politische Belehrung; offene Zielkonflikte bleiben sichtbar.</w:t>
            </w:r>
          </w:p>
        </w:tc>
      </w:tr>
      <w:tr>
        <w:trPr>
          <w:cantSplit/>
        </w:trPr>
        <w:tc>
          <w:tcPr>
            <w:tcW w:type="dxa" w:w="3137"/>
            <w:shd w:fill="F2F7F9"/>
            <w:tcMar>
              <w:top w:w="120" w:type="dxa"/>
              <w:start w:w="120" w:type="dxa"/>
              <w:bottom w:w="120" w:type="dxa"/>
              <w:end w:w="120" w:type="dxa"/>
            </w:tcMar>
            <w:vAlign w:val="top"/>
          </w:tcPr>
          <w:p>
            <w:pPr>
              <w:pStyle w:val="TableBodyText"/>
            </w:pPr>
            <w:r>
              <w:t>Wirkungsförderungs-Check</w:t>
            </w:r>
          </w:p>
        </w:tc>
        <w:tc>
          <w:tcPr>
            <w:tcW w:type="dxa" w:w="3137"/>
            <w:tcMar>
              <w:top w:w="120" w:type="dxa"/>
              <w:start w:w="120" w:type="dxa"/>
              <w:bottom w:w="120" w:type="dxa"/>
              <w:end w:w="120" w:type="dxa"/>
            </w:tcMar>
            <w:vAlign w:val="top"/>
          </w:tcPr>
          <w:p>
            <w:pPr>
              <w:pStyle w:val="TableBodyText"/>
            </w:pPr>
            <w:r>
              <w:t>Strukturiert präventive Förderung, Potenzialförderung, Mentoring und Unterstützung.</w:t>
            </w:r>
          </w:p>
        </w:tc>
        <w:tc>
          <w:tcPr>
            <w:tcW w:type="dxa" w:w="3137"/>
            <w:tcMar>
              <w:top w:w="120" w:type="dxa"/>
              <w:start w:w="120" w:type="dxa"/>
              <w:bottom w:w="120" w:type="dxa"/>
              <w:end w:w="120" w:type="dxa"/>
            </w:tcMar>
            <w:vAlign w:val="top"/>
          </w:tcPr>
          <w:p>
            <w:pPr>
              <w:pStyle w:val="TableBodyText"/>
            </w:pPr>
            <w:r>
              <w:t>Keine Stigmatisierung; Förderung nicht erst beim Scheitern.</w:t>
            </w:r>
          </w:p>
        </w:tc>
      </w:tr>
      <w:tr>
        <w:trPr>
          <w:cantSplit/>
        </w:trPr>
        <w:tc>
          <w:tcPr>
            <w:tcW w:type="dxa" w:w="3137"/>
            <w:shd w:fill="F2F7F9"/>
            <w:tcMar>
              <w:top w:w="120" w:type="dxa"/>
              <w:start w:w="120" w:type="dxa"/>
              <w:bottom w:w="120" w:type="dxa"/>
              <w:end w:w="120" w:type="dxa"/>
            </w:tcMar>
            <w:vAlign w:val="top"/>
          </w:tcPr>
          <w:p>
            <w:pPr>
              <w:pStyle w:val="TableBodyText"/>
            </w:pPr>
            <w:r>
              <w:t>Schulraum-Wirkungscheck</w:t>
            </w:r>
          </w:p>
        </w:tc>
        <w:tc>
          <w:tcPr>
            <w:tcW w:type="dxa" w:w="3137"/>
            <w:tcMar>
              <w:top w:w="120" w:type="dxa"/>
              <w:start w:w="120" w:type="dxa"/>
              <w:bottom w:w="120" w:type="dxa"/>
              <w:end w:w="120" w:type="dxa"/>
            </w:tcMar>
            <w:vAlign w:val="top"/>
          </w:tcPr>
          <w:p>
            <w:pPr>
              <w:pStyle w:val="TableBodyText"/>
            </w:pPr>
            <w:r>
              <w:t>Prüft Licht, Lärm, Temperatur, Bewegung, Ernährung, Sicherheit, Barrierefreiheit, Hitzeschutz und Zugehörigkeit.</w:t>
            </w:r>
          </w:p>
        </w:tc>
        <w:tc>
          <w:tcPr>
            <w:tcW w:type="dxa" w:w="3137"/>
            <w:tcMar>
              <w:top w:w="120" w:type="dxa"/>
              <w:start w:w="120" w:type="dxa"/>
              <w:bottom w:w="120" w:type="dxa"/>
              <w:end w:w="120" w:type="dxa"/>
            </w:tcMar>
            <w:vAlign w:val="top"/>
          </w:tcPr>
          <w:p>
            <w:pPr>
              <w:pStyle w:val="TableBodyText"/>
            </w:pPr>
            <w:r>
              <w:t>Raumdaten dienen der Verbesserung, nicht der Schuldzuweisung.</w:t>
            </w:r>
          </w:p>
        </w:tc>
      </w:tr>
      <w:tr>
        <w:trPr>
          <w:cantSplit/>
        </w:trPr>
        <w:tc>
          <w:tcPr>
            <w:tcW w:type="dxa" w:w="3137"/>
            <w:shd w:fill="F2F7F9"/>
            <w:tcMar>
              <w:top w:w="120" w:type="dxa"/>
              <w:start w:w="120" w:type="dxa"/>
              <w:bottom w:w="120" w:type="dxa"/>
              <w:end w:w="120" w:type="dxa"/>
            </w:tcMar>
            <w:vAlign w:val="top"/>
          </w:tcPr>
          <w:p>
            <w:pPr>
              <w:pStyle w:val="TableBodyText"/>
            </w:pPr>
            <w:r>
              <w:t>Scorecards</w:t>
            </w:r>
          </w:p>
        </w:tc>
        <w:tc>
          <w:tcPr>
            <w:tcW w:type="dxa" w:w="3137"/>
            <w:tcMar>
              <w:top w:w="120" w:type="dxa"/>
              <w:start w:w="120" w:type="dxa"/>
              <w:bottom w:w="120" w:type="dxa"/>
              <w:end w:w="120" w:type="dxa"/>
            </w:tcMar>
            <w:vAlign w:val="top"/>
          </w:tcPr>
          <w:p>
            <w:pPr>
              <w:pStyle w:val="TableBodyText"/>
            </w:pPr>
            <w:r>
              <w:t>Übersetzen Struktur- und Maßnahmen-Daten in transparente Bewertungsraster.</w:t>
            </w:r>
          </w:p>
        </w:tc>
        <w:tc>
          <w:tcPr>
            <w:tcW w:type="dxa" w:w="3137"/>
            <w:tcMar>
              <w:top w:w="120" w:type="dxa"/>
              <w:start w:w="120" w:type="dxa"/>
              <w:bottom w:w="120" w:type="dxa"/>
              <w:end w:w="120" w:type="dxa"/>
            </w:tcMar>
            <w:vAlign w:val="top"/>
          </w:tcPr>
          <w:p>
            <w:pPr>
              <w:pStyle w:val="TableBodyText"/>
            </w:pPr>
            <w:r>
              <w:t>Im Bildungsbereich nur für Strukturen und Maßnahmen, nicht für Menschen.</w:t>
            </w:r>
          </w:p>
        </w:tc>
      </w:tr>
    </w:tbl>
    <w:p>
      <w:pPr>
        <w:pStyle w:val="Heading1"/>
      </w:pPr>
      <w:r>
        <w:t>Anhang C: Quellen und Bezugslinien</w:t>
      </w:r>
    </w:p>
    <w:p>
      <w:pPr>
        <w:pStyle w:val="SourceText"/>
      </w:pPr>
      <w:r>
        <w:t>• Natalie Weber: Führender Begriffsleitfaden der Wirkungsökonomie, Version 1.0, Stand 21. Mai 2026. Maßgeblich für die Begriffe Wirkung, Wirkungspotenzial, Wirkungsbewertung, positive Netto-Wirkung, Wirkungsgrenze, Wirkungskompetenz und Wirkungsarchitektur.</w:t>
      </w:r>
    </w:p>
    <w:p>
      <w:pPr>
        <w:pStyle w:val="SourceText"/>
      </w:pPr>
      <w:r>
        <w:t>• Natalie Weber: Die neue Ordnung des Wohlstands, Arbeitsfassung 2026, insbesondere Kapitel 67 - Bildung. Bezug für Bildung als Wirkungsinfrastruktur, Wirkungskompetenz, Fach Zukunft, digitale Mündigkeit, Bildung als Systemleistung und Bildung als Resilienzfaktor.</w:t>
      </w:r>
    </w:p>
    <w:p>
      <w:pPr>
        <w:pStyle w:val="SourceText"/>
      </w:pPr>
      <w:r>
        <w:t>• Natalie Weber: Systemmodell der Wirkungsökonomie, 2025. Bezug für Bildungs- und Wissenskompetenzindex, Wirkungskompetenz, Fach Zukunft, digitale Kompetenz, kritisches Denken, Systemverständnis und Kompetenz gegen Desinformation.</w:t>
      </w:r>
    </w:p>
    <w:p>
      <w:pPr>
        <w:pStyle w:val="SourceText"/>
      </w:pPr>
      <w:r>
        <w:t>• Wirkungsökonomie.de: Wirkungsfeld Bildung &amp; Wirkungsschule, Onlinefassung, Druckdatum 24. Mai 2026. Bezug für Website-Struktur, zentrale Konzepte, Werkzeuge, SDG-/SDG+-Bezug und Unterbereiche. https://wirkungsoekonomie.de/wirkungsfelder/bildung/</w:t>
      </w:r>
    </w:p>
    <w:p>
      <w:pPr>
        <w:pStyle w:val="SourceText"/>
      </w:pPr>
      <w:r>
        <w:t>• Wirkungsökonomie.de: Konzeptpapier Bildung &amp; Wirkungsschule, Onlinefassung, Stand Mai 2026. Bezug für die Leitformel, Executive Summary, Leitprinzipien, Architektur, Umsetzungspfad und Schutz vor Kinder-Scoring. https://wirkungsoekonomie.de/wirkungsfelder/bildung/konzept/</w:t>
      </w:r>
    </w:p>
    <w:p>
      <w:pPr>
        <w:pStyle w:val="SourceText"/>
      </w:pPr>
      <w:r>
        <w:t>• Wirkungsökonomie.de: Gesamtdossier Bildung &amp; Wirkungsschule sowie Methodik Wirkungsschule-Tool-Suite. Bezug für Werkzeuge, Methoden, Bewertungslogik, Datenethik und Schutzlinien.</w:t>
      </w:r>
    </w:p>
    <w:p>
      <w:pPr>
        <w:pStyle w:val="SourceText"/>
      </w:pPr>
      <w:r>
        <w:t>• UNESCO: Reimagining our futures together: A new social contract for education, 2021. Bezug für Bildung als gemeinsame Zukunftsaufgabe und gesellschaftliche Transformationskraft.</w:t>
      </w:r>
    </w:p>
    <w:p>
      <w:pPr>
        <w:pStyle w:val="SourceText"/>
      </w:pPr>
      <w:r>
        <w:t>• OECD: Learning Compass 2030 und Transformative Competencies for 2030. Bezug für zukunftsorientierte Kompetenzen, student agency, Verantwortung und Anticipation-Action-Reflection.</w:t>
      </w:r>
    </w:p>
    <w:p>
      <w:pPr>
        <w:pStyle w:val="SourceText"/>
      </w:pPr>
      <w:r>
        <w:t>• Inner Development Goals Foundation: Inner Development Goals Guide. Bezug für die fünf Dimensionen Being, Thinking, Relating, Collaborating und Acting als Anschlussrahmen innerer und kollektiver Transformationsfähigkeit.</w:t>
      </w:r>
    </w:p>
    <w:p>
      <w:pPr>
        <w:pStyle w:val="SourceText"/>
      </w:pPr>
      <w:r>
        <w:t>• Bildung in Deutschland 2024, IQB-Bildungstrend 2024, OECD PISA 2022, KMK-Strategien zu digitaler Bildung, Demokratiebildung und Bildung für nachhaltige Entwicklung. Bezug für den externen Problem- und Anschlussrahmen.</w:t>
      </w:r>
    </w:p>
    <w:tbl>
      <w:tblPr>
        <w:tblW w:type="auto" w:w="0"/>
        <w:jc w:val="center"/>
        <w:tblLayout w:type="autofit"/>
        <w:tblLook w:firstColumn="1" w:firstRow="1" w:lastColumn="0" w:lastRow="0" w:noHBand="0" w:noVBand="1" w:val="04A0"/>
      </w:tblPr>
      <w:tblGrid>
        <w:gridCol w:w="9412"/>
      </w:tblGrid>
      <w:tr>
        <w:trPr>
          <w:cantSplit/>
        </w:trPr>
        <w:tc>
          <w:tcPr>
            <w:tcW w:type="dxa" w:w="9412"/>
            <w:shd w:fill="F2F7F9"/>
            <w:tcMar>
              <w:top w:w="180" w:type="dxa"/>
              <w:start w:w="220" w:type="dxa"/>
              <w:bottom w:w="180" w:type="dxa"/>
              <w:end w:w="220" w:type="dxa"/>
            </w:tcMar>
            <w:tcBorders>
              <w:top w:val="single" w:sz="8" w:color="1F4E5F"/>
              <w:left w:val="single" w:sz="8" w:color="1F4E5F"/>
              <w:bottom w:val="single" w:sz="8" w:color="1F4E5F"/>
              <w:right w:val="single" w:sz="8" w:color="1F4E5F"/>
            </w:tcBorders>
            <w:vAlign w:val="top"/>
          </w:tcPr>
          <w:p>
            <w:pPr>
              <w:pStyle w:val="CalloutTitle"/>
            </w:pPr>
            <w:r>
              <w:t>Redaktioneller Hinweis</w:t>
            </w:r>
          </w:p>
          <w:p>
            <w:pPr>
              <w:pStyle w:val="CalloutBody"/>
            </w:pPr>
            <w:r>
              <w:t>Diese Fassung ist als langer, eigenständig lesbarer Artikel angelegt. Sie kann als Word-Grundlage für Website, Akademie, Dossier, Vortrag, Positionspapier oder Magazinbeitrag weiterverwendet werden. Für eine öffentliche Veröffentlichung sollten einzelne Abschnitte je nach Zielmedium gekürzt und mit konkreten Beispielen aus Pilotregionen oder Schulen ergänzt werden.</w:t>
            </w:r>
          </w:p>
        </w:tc>
      </w:tr>
    </w:tbl>
    <w:p/>
    <w:sectPr w:rsidR="00FC693F" w:rsidRPr="0006063C" w:rsidSect="00034616">
      <w:headerReference w:type="default" r:id="rId9"/>
      <w:footerReference w:type="default" r:id="rId10"/>
      <w:pgSz w:w="11906" w:h="16838"/>
      <w:pgMar w:top="1134" w:right="1247" w:bottom="1020" w:left="1247" w:header="56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16B"/>
        <w:sz w:val="16"/>
      </w:rPr>
      <w:t xml:space="preserve">Seite </w:t>
    </w:r>
    <w:r>
      <w:rPr>
        <w:color w:val="52616B"/>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overSmall"/>
      <w:jc w:val="right"/>
      <w:pBdr>
        <w:bottom w:val="single" w:sz="4" w:space="8" w:color="DCEBF0"/>
      </w:pBdr>
    </w:pPr>
    <w:r>
      <w:t>Wirkungsschule · Wirkungspädagogik · Wirkungskompetenz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eastAsia="Aptos Display"/>
      <w:b/>
      <w:bCs/>
      <w:color w:val="1F4E5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eastAsia="Aptos"/>
      <w:b/>
      <w:bCs/>
      <w:color w:val="1F4E5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F4E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eastAsia="Aptos Display"/>
      <w:b/>
      <w:color w:val="1F4E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Display" w:hAnsi="Aptos Display" w:eastAsia="Aptos Display"/>
      <w:b w:val="0"/>
      <w:i/>
      <w:iCs/>
      <w:color w:val="52616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basedOn w:val="BodyText"/>
    <w:pPr>
      <w:spacing w:after="120" w:line="259" w:lineRule="auto"/>
    </w:pPr>
    <w:rPr>
      <w:rFonts w:ascii="Aptos" w:hAnsi="Aptos" w:eastAsia="Aptos"/>
      <w:b w:val="0"/>
      <w:i w:val="0"/>
      <w:color w:val="52616B"/>
      <w:sz w:val="25"/>
    </w:rPr>
  </w:style>
  <w:style w:type="paragraph" w:customStyle="1" w:styleId="CoverSmall">
    <w:name w:val="Cover Small"/>
    <w:basedOn w:val="Normal"/>
    <w:pPr>
      <w:spacing w:after="120" w:line="259" w:lineRule="auto"/>
    </w:pPr>
    <w:rPr>
      <w:rFonts w:ascii="Aptos" w:hAnsi="Aptos" w:eastAsia="Aptos"/>
      <w:b w:val="0"/>
      <w:i w:val="0"/>
      <w:color w:val="52616B"/>
      <w:sz w:val="19"/>
    </w:rPr>
  </w:style>
  <w:style w:type="paragraph" w:customStyle="1" w:styleId="CalloutTitle">
    <w:name w:val="Callout Title"/>
    <w:basedOn w:val="BodyText"/>
    <w:pPr>
      <w:spacing w:after="120" w:line="259" w:lineRule="auto"/>
    </w:pPr>
    <w:rPr>
      <w:rFonts w:ascii="Aptos" w:hAnsi="Aptos" w:eastAsia="Aptos"/>
      <w:b/>
      <w:i w:val="0"/>
      <w:color w:val="1F4E5F"/>
      <w:sz w:val="21"/>
    </w:rPr>
  </w:style>
  <w:style w:type="paragraph" w:customStyle="1" w:styleId="CalloutBody">
    <w:name w:val="Callout Body"/>
    <w:basedOn w:val="BodyText"/>
    <w:pPr>
      <w:spacing w:after="120" w:line="259" w:lineRule="auto"/>
    </w:pPr>
    <w:rPr>
      <w:rFonts w:ascii="Aptos" w:hAnsi="Aptos" w:eastAsia="Aptos"/>
      <w:b w:val="0"/>
      <w:i w:val="0"/>
      <w:color w:val="1F2933"/>
      <w:sz w:val="20"/>
    </w:rPr>
  </w:style>
  <w:style w:type="paragraph" w:customStyle="1" w:styleId="TableHeaderText">
    <w:name w:val="Table Header Text"/>
    <w:basedOn w:val="Normal"/>
    <w:pPr>
      <w:spacing w:after="120" w:line="259" w:lineRule="auto"/>
    </w:pPr>
    <w:rPr>
      <w:rFonts w:ascii="Aptos" w:hAnsi="Aptos" w:eastAsia="Aptos"/>
      <w:b/>
      <w:i w:val="0"/>
      <w:color w:val="FFFFFF"/>
      <w:sz w:val="18"/>
    </w:rPr>
  </w:style>
  <w:style w:type="paragraph" w:customStyle="1" w:styleId="TableBodyText">
    <w:name w:val="Table Body Text"/>
    <w:basedOn w:val="Normal"/>
    <w:pPr>
      <w:spacing w:after="120" w:line="259" w:lineRule="auto"/>
    </w:pPr>
    <w:rPr>
      <w:rFonts w:ascii="Aptos" w:hAnsi="Aptos" w:eastAsia="Aptos"/>
      <w:b w:val="0"/>
      <w:i w:val="0"/>
      <w:color w:val="1F2933"/>
      <w:sz w:val="18"/>
    </w:rPr>
  </w:style>
  <w:style w:type="paragraph" w:customStyle="1" w:styleId="SourceText">
    <w:name w:val="Source Text"/>
    <w:basedOn w:val="Normal"/>
    <w:pPr>
      <w:spacing w:after="120" w:line="259" w:lineRule="auto"/>
    </w:pPr>
    <w:rPr>
      <w:rFonts w:ascii="Aptos" w:hAnsi="Aptos" w:eastAsia="Aptos"/>
      <w:b w:val="0"/>
      <w:i w:val="0"/>
      <w:color w:val="52616B"/>
      <w:sz w:val="17"/>
    </w:rPr>
  </w:style>
  <w:style w:type="paragraph" w:customStyle="1" w:styleId="PullQuote">
    <w:name w:val="Pull Quote"/>
    <w:basedOn w:val="BodyText"/>
    <w:pPr>
      <w:spacing w:after="120" w:line="259" w:lineRule="auto"/>
    </w:pPr>
    <w:rPr>
      <w:rFonts w:ascii="Aptos" w:hAnsi="Aptos" w:eastAsia="Aptos"/>
      <w:b w:val="0"/>
      <w:i/>
      <w:color w:val="1F4E5F"/>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Wirkungsschule - Wirkungspädagogik, Wirkungskompetenz und Bildung als Infrastruktur der Zukunft</dc:title>
  <dc:subject>Wirkungsökonomie, Bildung, Wirkungsschule</dc:subject>
  <dc:creator>Natalie Weber</dc:creator>
  <cp:keywords/>
  <dc:description>Überarbeitete Pro-Fassung, erstellt am 27. Mai 2026.</dc:description>
  <cp:lastModifiedBy/>
  <cp:revision>1</cp:revision>
  <dcterms:created xsi:type="dcterms:W3CDTF">2013-12-23T23:15:00Z</dcterms:created>
  <dcterms:modified xsi:type="dcterms:W3CDTF">2013-12-23T23:15:00Z</dcterms:modified>
  <cp:category/>
</cp:coreProperties>
</file>