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KMU-Tauglichkeit und Pilotierung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KMU-Tauglichkeit und Pilotierung: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Viele Nachhaltigkeits- und Reportingansätze werden als Konzernprozesse konzipiert und überfordern kleinere Unternehmen.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Wirkungsökonomie braucht verhältnismäßige Verfahren: Branchenarchetypen, Standardwerte, vorgeprüfte Lieferantendaten, Verbandslösungen, kommunale Unterstützung, vereinfachte Scorecards und lernende Pilotprojekte.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KMU-Tauglichkeit und Pilotierung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/wirkungsfelder/wirtschaft-unternehmen/detailkonzepte/kmu_tauglichkeit_pilotierung/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