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Risikomanagement: Wirkungsrisiko im ERM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Risikomanagement: Wirkungsrisiko im ERM: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Enterprise Risk Management betrachtet vor allem finanzielle, operative, rechtliche und Compliance-Risiken. Wirkung erscheint oft erst, wenn sie Reputations- oder Regulierungsrisiko geworden ist.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Wirkungsrisiko beginnt früher: Dort, wo ein Unternehmen negative Zustandsveränderungen erzeugt oder von ihnen abhängig wird. Klima-, Wasser-, Rohstoff-, Lieferketten-, Demokratie-, Daten-, KI- und Resilienzrisiken gehören in das ERM.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Risikomanagement: Wirkungsrisiko im ERM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/wirkungsfelder/wirtschaft-unternehmen/detailkonzepte/risikomanagement_wirkungsrisiko_erm/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