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ource Serif Pro" w:hAnsi="Source Serif Pro"/>
          <w:b/>
          <w:color w:val="001D30"/>
          <w:sz w:val="48"/>
        </w:rPr>
        <w:t>WIRKUNGSÖKONOMIE</w:t>
      </w:r>
    </w:p>
    <w:p>
      <w:pPr>
        <w:jc w:val="center"/>
      </w:pPr>
      <w:r>
        <w:rPr>
          <w:color w:val="2E7D5C"/>
          <w:sz w:val="20"/>
        </w:rPr>
        <w:t>Wirkung statt Kapital. Für Mensch, Planet und Demokratie.</w:t>
      </w:r>
    </w:p>
    <w:p>
      <w:pPr>
        <w:jc w:val="center"/>
      </w:pPr>
      <w:r>
        <w:rPr>
          <w:rFonts w:ascii="Source Serif Pro" w:hAnsi="Source Serif Pro"/>
          <w:b/>
          <w:color w:val="001D30"/>
          <w:sz w:val="48"/>
        </w:rPr>
        <w:t>Bürgerbeteiligung und Wirkungsdemokratie</w:t>
      </w:r>
    </w:p>
    <w:p>
      <w:pPr>
        <w:jc w:val="center"/>
      </w:pPr>
      <w:r>
        <w:rPr>
          <w:color w:val="252A3C"/>
          <w:sz w:val="26"/>
        </w:rPr>
        <w:t>Bürger:innen als Co-Autor:innen politischer Wirkung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shd w:fill="F6F1E8"/>
          </w:tcPr>
          <w:p>
            <w:r>
              <w:rPr>
                <w:b/>
                <w:color w:val="001D30"/>
              </w:rPr>
              <w:t>Dokumenttyp</w:t>
            </w:r>
          </w:p>
        </w:tc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</w:tcPr>
          <w:p>
            <w:r>
              <w:t>Einzeldossier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shd w:fill="F6F1E8"/>
          </w:tcPr>
          <w:p>
            <w:r>
              <w:rPr>
                <w:b/>
                <w:color w:val="001D30"/>
              </w:rPr>
              <w:t>Autorin</w:t>
            </w:r>
          </w:p>
        </w:tc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</w:tcPr>
          <w:p>
            <w:r>
              <w:t>Natalie Weber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shd w:fill="F6F1E8"/>
          </w:tcPr>
          <w:p>
            <w:r>
              <w:rPr>
                <w:b/>
                <w:color w:val="001D30"/>
              </w:rPr>
              <w:t>Referenz</w:t>
            </w:r>
          </w:p>
        </w:tc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</w:tcPr>
          <w:p>
            <w:r>
              <w:t>Wirkungsökonomie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shd w:fill="F6F1E8"/>
          </w:tcPr>
          <w:p>
            <w:r>
              <w:rPr>
                <w:b/>
                <w:color w:val="001D30"/>
              </w:rPr>
              <w:t>Version / Status</w:t>
            </w:r>
          </w:p>
        </w:tc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</w:tcPr>
          <w:p>
            <w:r>
              <w:t>v0.1 / Diskussionsfassung</w:t>
            </w:r>
          </w:p>
        </w:tc>
      </w:tr>
      <w:tr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shd w:fill="F6F1E8"/>
          </w:tcPr>
          <w:p>
            <w:r>
              <w:rPr>
                <w:b/>
                <w:color w:val="001D30"/>
              </w:rPr>
              <w:t>Stand</w:t>
            </w:r>
          </w:p>
        </w:tc>
        <w:tc>
          <w:tcPr>
            <w:tcW w:type="dxa" w:w="5100"/>
            <w:vAlign w:val="center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</w:tcPr>
          <w:p>
            <w:r>
              <w:t>24.05.2026</w:t>
            </w:r>
          </w:p>
        </w:tc>
      </w:tr>
    </w:tbl>
    <w:p>
      <w:pPr>
        <w:jc w:val="center"/>
      </w:pPr>
      <w:r>
        <w:rPr>
          <w:i/>
          <w:color w:val="666666"/>
          <w:sz w:val="18"/>
        </w:rPr>
        <w:t>Arbeitsfassung zur öffentlichen Online-Lesefassung, Dossier- und Portalarchitektur.</w:t>
      </w:r>
    </w:p>
    <w:p>
      <w:r>
        <w:br w:type="page"/>
      </w:r>
    </w:p>
    <w:p>
      <w:pPr>
        <w:pStyle w:val="Heading1"/>
        <w:pBdr>
          <w:bottom w:val="single" w:sz="12" w:color="2E7D5C"/>
        </w:pBdr>
      </w:pPr>
      <w:r>
        <w:t>Executive Summary</w:t>
      </w:r>
    </w:p>
    <w:p>
      <w:r>
        <w:t>Demokratie wird wirkungsfähiger, wenn Bürger:innen nicht nur alle paar Jahre wählen, sondern in relevanten Wirkungsfragen Rückkopplung geben können.</w:t>
      </w:r>
    </w:p>
    <w:p>
      <w:pPr>
        <w:pStyle w:val="Heading1"/>
        <w:pBdr>
          <w:bottom w:val="single" w:sz="12" w:color="2E7D5C"/>
        </w:pBdr>
      </w:pPr>
      <w:r>
        <w:t>Dossierstruktur</w:t>
      </w:r>
    </w:p>
    <w:p>
      <w:pPr>
        <w:pStyle w:val="ListBullet"/>
      </w:pPr>
      <w:r>
        <w:t>Kurzfassung</w:t>
      </w:r>
    </w:p>
    <w:p>
      <w:pPr>
        <w:pStyle w:val="ListBullet"/>
      </w:pPr>
      <w:r>
        <w:t>Problem und alte Logik</w:t>
      </w:r>
    </w:p>
    <w:p>
      <w:pPr>
        <w:pStyle w:val="ListBullet"/>
      </w:pPr>
      <w:r>
        <w:t>Wirkungsökonomischer Perspektivwechsel</w:t>
      </w:r>
    </w:p>
    <w:p>
      <w:pPr>
        <w:pStyle w:val="ListBullet"/>
      </w:pPr>
      <w:r>
        <w:t>Politische Anforderungen</w:t>
      </w:r>
    </w:p>
    <w:p>
      <w:pPr>
        <w:pStyle w:val="ListBullet"/>
      </w:pPr>
      <w:r>
        <w:t>Ausgestaltungsspielraum</w:t>
      </w:r>
    </w:p>
    <w:p>
      <w:pPr>
        <w:pStyle w:val="ListBullet"/>
      </w:pPr>
      <w:r>
        <w:t>Daten, Verfahren und Rechtsschutz</w:t>
      </w:r>
    </w:p>
    <w:p>
      <w:pPr>
        <w:pStyle w:val="ListBullet"/>
      </w:pPr>
      <w:r>
        <w:t>Buchanker, SDG-/SDG+-Bezug und Quellen</w:t>
      </w:r>
    </w:p>
    <w:p>
      <w:pPr>
        <w:pStyle w:val="Heading1"/>
        <w:pBdr>
          <w:bottom w:val="single" w:sz="12" w:color="2E7D5C"/>
        </w:pBdr>
      </w:pPr>
      <w:r>
        <w:t>Formen</w:t>
      </w:r>
    </w:p>
    <w:p>
      <w:r>
        <w:t>Bürger:innenräte, Jugendräte, kommunale Wirkungsbudgets, öffentliche Konsultationen, digitale Beteiligung, Wirkungsberichte und lokale Dossiers.</w:t>
      </w:r>
    </w:p>
    <w:p>
      <w:pPr>
        <w:pStyle w:val="Heading1"/>
        <w:pBdr>
          <w:bottom w:val="single" w:sz="12" w:color="2E7D5C"/>
        </w:pBdr>
      </w:pPr>
      <w:r>
        <w:t>Politische Anforderungen</w:t>
      </w:r>
    </w:p>
    <w:p>
      <w:r>
        <w:t>Politik muss Beteiligung sinnvoll, barrierefrei, repräsentativ, transparent und wirksam gestalten. Beteiligung darf keine symbolische Simulation sein.</w:t>
      </w:r>
    </w:p>
    <w:p>
      <w:pPr>
        <w:pStyle w:val="Heading1"/>
        <w:pBdr>
          <w:bottom w:val="single" w:sz="12" w:color="2E7D5C"/>
        </w:pBdr>
      </w:pPr>
      <w:r>
        <w:t>Grenzen</w:t>
      </w:r>
    </w:p>
    <w:p>
      <w:r>
        <w:t>Beteiligung ersetzt nicht Parlament und Recht. Sie ergänzt Entscheidungsprozesse durch Erfahrung, Resonanz, lokale Daten und Korrekturfähigkeit.</w:t>
      </w:r>
    </w:p>
    <w:p>
      <w:pPr>
        <w:pStyle w:val="Heading1"/>
        <w:pBdr>
          <w:bottom w:val="single" w:sz="12" w:color="2E7D5C"/>
        </w:pBdr>
      </w:pPr>
      <w:r>
        <w:t>Standardmodul: Politische Anschlussfähigkeit</w:t>
      </w:r>
    </w:p>
    <w:p>
      <w:r>
        <w:t>Dieses Einzeldossier ist kein fertiges Parteiprogramm. Es benennt notwendige Aufgaben, Schutzplanken und Umsetzungsoptionen. Parteien, Parlamente, Länder, Kommunen und gesellschaftliche Akteure können innerhalb dieses Rahmens unterschiedliche Schwerpunkte setzen.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001D30"/>
          </w:tcPr>
          <w:p>
            <w:r>
              <w:rPr>
                <w:b/>
                <w:color w:val="FFFFFF"/>
                <w:sz w:val="17"/>
              </w:rPr>
              <w:t>Frage</w:t>
            </w:r>
          </w:p>
        </w:tc>
        <w:tc>
          <w:tcPr>
            <w:tcW w:type="dxa" w:w="5100"/>
            <w:shd w:fill="001D30"/>
          </w:tcPr>
          <w:p>
            <w:r>
              <w:rPr>
                <w:b/>
                <w:color w:val="FFFFFF"/>
                <w:sz w:val="17"/>
              </w:rPr>
              <w:t>Antwort im Dossier</w:t>
            </w:r>
          </w:p>
        </w:tc>
      </w:tr>
      <w:tr>
        <w:tc>
          <w:tcPr>
            <w:tcW w:type="dxa" w:w="5100"/>
            <w:shd w:fill="F6F1E8"/>
          </w:tcPr>
          <w:p>
            <w:r>
              <w:rPr>
                <w:sz w:val="17"/>
              </w:rPr>
              <w:t>Was muss Politik leisten?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>Rechtsrahmen, Zuständigkeit, Datenzugang, Verhältnismäßigkeit, Evaluation und Beteiligung klären.</w:t>
            </w:r>
          </w:p>
        </w:tc>
      </w:tr>
      <w:tr>
        <w:tc>
          <w:tcPr>
            <w:tcW w:type="dxa" w:w="5100"/>
            <w:shd w:fill="F6F1E8"/>
          </w:tcPr>
          <w:p>
            <w:r>
              <w:rPr>
                <w:sz w:val="17"/>
              </w:rPr>
              <w:t>Was bleibt politisch offen?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>Tempo, Instrumentenmix, Höhe von Sätzen, Ressortprioritäten, Pilotierung, föderale Ausgestaltung.</w:t>
            </w:r>
          </w:p>
        </w:tc>
      </w:tr>
      <w:tr>
        <w:tc>
          <w:tcPr>
            <w:tcW w:type="dxa" w:w="5100"/>
            <w:shd w:fill="F6F1E8"/>
          </w:tcPr>
          <w:p>
            <w:r>
              <w:rPr>
                <w:sz w:val="17"/>
              </w:rPr>
              <w:t>Welche Grenzen gelten?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>Grundrechte, Demokratie, Rechtsstaatlichkeit, Rechtsschutz, Schutz vor Personenbewertung.</w:t>
            </w:r>
          </w:p>
        </w:tc>
      </w:tr>
      <w:tr>
        <w:tc>
          <w:tcPr>
            <w:tcW w:type="dxa" w:w="5100"/>
            <w:shd w:fill="F6F1E8"/>
          </w:tcPr>
          <w:p>
            <w:r>
              <w:rPr>
                <w:sz w:val="17"/>
              </w:rPr>
              <w:t>Wie wird gelernt?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>Wirkungsberichte, öffentliche Konsultationen, Korrekturverfahren, Wirkungsrat.</w:t>
            </w:r>
          </w:p>
        </w:tc>
      </w:tr>
    </w:tbl>
    <w:p/>
    <w:p>
      <w:pPr>
        <w:pStyle w:val="Heading1"/>
        <w:pBdr>
          <w:bottom w:val="single" w:sz="12" w:color="2E7D5C"/>
        </w:pBdr>
      </w:pPr>
      <w:r>
        <w:t>Buchanker und Website-Zuordnung</w:t>
      </w:r>
    </w:p>
    <w:p>
      <w:pPr>
        <w:pStyle w:val="ListBullet"/>
      </w:pPr>
      <w:r>
        <w:t>Online-Buch: Teil VI – Recht, Staat und Institutionen</w:t>
      </w:r>
    </w:p>
    <w:p>
      <w:pPr>
        <w:pStyle w:val="ListBullet"/>
      </w:pPr>
      <w:r>
        <w:t>Online-Buch: Teil X – Staat, Politik und Demokratie</w:t>
      </w:r>
    </w:p>
    <w:p>
      <w:pPr>
        <w:pStyle w:val="ListBullet"/>
      </w:pPr>
      <w:r>
        <w:t>Website: /wirkungsfelder/staat-recht-demokratie/</w:t>
      </w:r>
    </w:p>
    <w:p>
      <w:pPr>
        <w:pStyle w:val="ListBullet"/>
      </w:pPr>
      <w:r>
        <w:t>Werkstatt: /werkstatt/dossiers/staat-recht-demokratie/</w:t>
      </w:r>
    </w:p>
    <w:p>
      <w:pPr>
        <w:pStyle w:val="ListBullet"/>
      </w:pPr>
      <w:r>
        <w:t>Werkzeugseiten: /werkzeuge/wirkungsrat/, /werkzeuge/wirkungshaushalt/, /werkzeuge/politische-wirkungspruefung/</w:t>
      </w:r>
    </w:p>
    <w:p>
      <w:pPr>
        <w:pStyle w:val="Heading1"/>
        <w:pBdr>
          <w:bottom w:val="single" w:sz="12" w:color="2E7D5C"/>
        </w:pBdr>
      </w:pPr>
      <w:r>
        <w:t>Quellen und interne Referenzen</w:t>
      </w:r>
    </w:p>
    <w:p>
      <w:pPr>
        <w:pStyle w:val="ListBullet"/>
      </w:pPr>
      <w:r>
        <w:t>Weber, Natalie: Die neue Ordnung des Wohlstands. Arbeitsfassung 2026. Besonders: Kapitel 10–23, 28, 31–40, 61–66.</w:t>
      </w:r>
    </w:p>
    <w:p>
      <w:pPr>
        <w:pStyle w:val="ListBullet"/>
      </w:pPr>
      <w:r>
        <w:t>Weber, Natalie: Führender Begriffsleitfaden der Wirkungsökonomie, Version 1.0, 21. Mai 2026.</w:t>
      </w:r>
    </w:p>
    <w:p>
      <w:pPr>
        <w:pStyle w:val="ListBullet"/>
      </w:pPr>
      <w:r>
        <w:t>Weber, Natalie: Working-Paper Wirkungssteuergesetz (WStG), Stand 8.10.2025.</w:t>
      </w:r>
    </w:p>
    <w:p>
      <w:pPr>
        <w:pStyle w:val="ListBullet"/>
      </w:pPr>
      <w:r>
        <w:t>Weber, Natalie: Der Wirkungsrat – Institutionelle Verankerung der Wirkungsökonomie, September 2025.</w:t>
      </w:r>
    </w:p>
    <w:p>
      <w:pPr>
        <w:pStyle w:val="ListBullet"/>
      </w:pPr>
      <w:r>
        <w:t>Weber, Natalie: Technische Leitlinien zum Wirkungssteuergesetz (WUStG), Vollversion Extended, August 2025.</w:t>
      </w:r>
    </w:p>
    <w:p>
      <w:pPr>
        <w:pStyle w:val="ListBullet"/>
      </w:pPr>
      <w:r>
        <w:t>Weber, Natalie: Whitepaper T-SROI – Der neue Standard für Impact-Controlling in der Wirkungsökonomie, 2025.</w:t>
      </w:r>
    </w:p>
    <w:p>
      <w:pPr>
        <w:pStyle w:val="ListBullet"/>
      </w:pPr>
      <w:r>
        <w:t>Weber, Natalie: Die neue Ordnung des Wohlstands, Arbeitsfassung 2026, Teil VI und Teil X.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>© 2026 Natalie Weber · Wirkungsökonomie · Einzeldossier · v0.1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ource Sans Pro" w:hAnsi="Source Sans Pro"/>
        <w:b/>
        <w:color w:val="2E7D5C"/>
        <w:sz w:val="16"/>
      </w:rPr>
      <w:t>WIRKUNGSÖKONOMIE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urce Sans Pro" w:hAnsi="Source Sans Pro" w:eastAsia="Source Sans Pro"/>
      <w:color w:val="252A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ource Serif Pro" w:hAnsi="Source Serif Pro" w:eastAsia="Source Serif Pro"/>
      <w:b/>
      <w:bCs/>
      <w:color w:val="001D3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ource Serif Pro" w:hAnsi="Source Serif Pro" w:eastAsia="Source Serif Pro"/>
      <w:b/>
      <w:bCs/>
      <w:color w:val="001D3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ource Serif Pro" w:hAnsi="Source Serif Pro" w:eastAsia="Source Serif Pro"/>
      <w:b/>
      <w:bCs/>
      <w:color w:val="001D3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