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Lobbyismus, Machtkonzentration und Schutz der Wirkungslogik</w:t>
      </w:r>
    </w:p>
    <w:p>
      <w:pPr>
        <w:jc w:val="center"/>
      </w:pPr>
      <w:r>
        <w:rPr>
          <w:color w:val="252A3C"/>
          <w:sz w:val="26"/>
        </w:rPr>
        <w:t>Interessenvertretung ermöglichen, Systemverzerrung begrenzen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Interessenvertretung ist legitim. Problematisch wird sie, wenn Kapitalmacht, Intransparenz oder Zugangsvorteile Wirkungsdaten, Gesetze oder öffentliche Debatten verzerren.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Wirkungsproblem</w:t>
      </w:r>
    </w:p>
    <w:p>
      <w:r>
        <w:t>Lobbyismus wirkt nicht nur durch Gesetzestexte, sondern durch Narrative, Studien, Medienzugänge, Vorfeldorganisationen, Daten, Fachbegriffe und Verzögerungsstrategien.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Notwendig sind Transparenzregister, Offenlegung von Dateninteressen, Konsultationsstandards, Cooling-off-Regeln, unabhängige Finanzierung des Wirkungsrats und wissenschaftliche Prüfbarkeit.</w:t>
      </w:r>
    </w:p>
    <w:p>
      <w:pPr>
        <w:pStyle w:val="Heading1"/>
        <w:pBdr>
          <w:bottom w:val="single" w:sz="12" w:color="2E7D5C"/>
        </w:pBdr>
      </w:pPr>
      <w:r>
        <w:t>Gestaltungsspielraum</w:t>
      </w:r>
    </w:p>
    <w:p>
      <w:r>
        <w:t>Politik kann strenger oder pragmatischer regulieren, aber muss sicherstellen, dass die Wirkungslogik nicht von Einzelinteressen vereinnahmt wird.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