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Wirkungsumsatzsteuer im Rechtsrahmen</w:t>
      </w:r>
    </w:p>
    <w:p>
      <w:pPr>
        <w:jc w:val="center"/>
      </w:pPr>
      <w:r>
        <w:rPr>
          <w:color w:val="252A3C"/>
          <w:sz w:val="26"/>
        </w:rPr>
        <w:t>Produktwirkungssteuer, FinalScore, Vorsteuerlogik und Kaufkraftschutz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Die Wirkungsumsatzsteuer koppelt die Steuerbelastung von Produkten und Dienstleistungen an ihre gemessene Wirkung. Sie ist der konkrete Marktmechanismus, mit dem Preise ehrlicher werden.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Rechtslogik</w:t>
      </w:r>
    </w:p>
    <w:p>
      <w:r>
        <w:t>FinalScore, Steuerklassen, Scorecards, Nicht-Kompensation und Vorsteuerlogik brauchen eine klare gesetzliche Grundlage und technische Leitlinien.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regeln, welche Produktgruppen starten, wie Datenerhebung geprüft wird, wie Kaufkraft geschützt wird, wie KMU entlastet werden und wie internationale Lieferketten behandelt werden.</w:t>
      </w:r>
    </w:p>
    <w:p>
      <w:pPr>
        <w:pStyle w:val="Heading1"/>
        <w:pBdr>
          <w:bottom w:val="single" w:sz="12" w:color="2E7D5C"/>
        </w:pBdr>
      </w:pPr>
      <w:r>
        <w:t>Gestaltungsspielräume</w:t>
      </w:r>
    </w:p>
    <w:p>
      <w:r>
        <w:t>Möglich sind Pilotprodukte, gestufte Einführung, Bonus-only-Phase, haushaltsneutrale Rückverteilung, europäische Produktschnittstellen oder öffentliche Beschaffung als Vorläufer.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