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457200" cy="457200"/>
            <wp:docPr id="1" name="Picture 1"/>
            <wp:cNvGraphicFramePr>
              <a:graphicFrameLocks noChangeAspect="1"/>
            </wp:cNvGraphicFramePr>
            <a:graphic>
              <a:graphicData uri="http://schemas.openxmlformats.org/drawingml/2006/picture">
                <pic:pic>
                  <pic:nvPicPr>
                    <pic:cNvPr id="0" name="woek_brand_mark.png"/>
                    <pic:cNvPicPr/>
                  </pic:nvPicPr>
                  <pic:blipFill>
                    <a:blip r:embed="rId10"/>
                    <a:stretch>
                      <a:fillRect/>
                    </a:stretch>
                  </pic:blipFill>
                  <pic:spPr>
                    <a:xfrm>
                      <a:off x="0" y="0"/>
                      <a:ext cx="457200" cy="457200"/>
                    </a:xfrm>
                    <a:prstGeom prst="rect"/>
                  </pic:spPr>
                </pic:pic>
              </a:graphicData>
            </a:graphic>
          </wp:inline>
        </w:drawing>
      </w:r>
    </w:p>
    <w:p>
      <w:pPr>
        <w:jc w:val="left"/>
      </w:pPr>
      <w:r>
        <w:rPr>
          <w:rFonts w:ascii="Liberation Serif" w:hAnsi="Liberation Serif" w:eastAsia="Liberation Serif"/>
          <w:b/>
          <w:color w:val="0B1030"/>
          <w:sz w:val="30"/>
        </w:rPr>
        <w:t>WIRKUNGSÖKONOMIE</w:t>
      </w:r>
    </w:p>
    <w:p>
      <w:r>
        <w:rPr>
          <w:rFonts w:ascii="Liberation Sans" w:hAnsi="Liberation Sans" w:eastAsia="Liberation Sans"/>
          <w:b/>
          <w:caps/>
          <w:color w:val="2B7D5C"/>
          <w:sz w:val="18"/>
        </w:rPr>
        <w:t>DETAILKONZEPT-KOMPENDIUM</w:t>
      </w:r>
    </w:p>
    <w:p>
      <w:r>
        <w:rPr>
          <w:rFonts w:ascii="Liberation Serif" w:hAnsi="Liberation Serif" w:eastAsia="Liberation Serif"/>
          <w:b/>
          <w:color w:val="0B1030"/>
          <w:sz w:val="62"/>
        </w:rPr>
        <w:t>Produkte &amp; Konsum / Wirkungsumsatzsteuer</w:t>
      </w:r>
    </w:p>
    <w:p>
      <w:r>
        <w:rPr>
          <w:rFonts w:ascii="Liberation Serif" w:hAnsi="Liberation Serif" w:eastAsia="Liberation Serif"/>
          <w:b w:val="0"/>
          <w:color w:val="2B7D5C"/>
          <w:sz w:val="32"/>
        </w:rPr>
        <w:t>Umfassende Detailkonzepte zur Produktwirkung, Wirkungsumsatzsteuer und Markttransformation</w:t>
      </w:r>
    </w:p>
    <w:tbl>
      <w:tblPr>
        <w:tblW w:type="auto" w:w="0"/>
        <w:jc w:val="left"/>
        <w:tblLayout w:type="autofit"/>
        <w:tblLook w:firstColumn="1" w:firstRow="1" w:lastColumn="0" w:lastRow="0" w:noHBand="0" w:noVBand="1" w:val="04A0"/>
      </w:tblPr>
      <w:tblGrid>
        <w:gridCol w:w="5083"/>
        <w:gridCol w:w="5083"/>
      </w:tblGrid>
      <w:tr>
        <w:tc>
          <w:tcPr>
            <w:tcW w:type="dxa" w:w="2160"/>
            <w:tcBorders>
              <w:top w:val="single" w:sz="4" w:space="0" w:color="D8D1C5"/>
              <w:left w:val="single" w:sz="4" w:space="0" w:color="D8D1C5"/>
              <w:bottom w:val="single" w:sz="4" w:space="0" w:color="D8D1C5"/>
              <w:right w:val="single" w:sz="4" w:space="0" w:color="D8D1C5"/>
            </w:tcBorders>
            <w:vAlign w:val="center"/>
            <w:shd w:fill="F6F1E8"/>
          </w:tcPr>
          <w:p>
            <w:r>
              <w:rPr>
                <w:rFonts w:ascii="Liberation Sans" w:hAnsi="Liberation Sans" w:eastAsia="Liberation Sans"/>
                <w:b/>
                <w:color w:val="0B1030"/>
                <w:sz w:val="18"/>
              </w:rPr>
              <w:t>Autorin</w:t>
            </w:r>
          </w:p>
        </w:tc>
        <w:tc>
          <w:tcPr>
            <w:tcW w:type="dxa" w:w="6480"/>
            <w:tcBorders>
              <w:top w:val="single" w:sz="4" w:space="0" w:color="D8D1C5"/>
              <w:left w:val="single" w:sz="4" w:space="0" w:color="D8D1C5"/>
              <w:bottom w:val="single" w:sz="4" w:space="0" w:color="D8D1C5"/>
              <w:right w:val="single" w:sz="4" w:space="0" w:color="D8D1C5"/>
            </w:tcBorders>
            <w:vAlign w:val="center"/>
          </w:tcPr>
          <w:p>
            <w:r>
              <w:rPr>
                <w:rFonts w:ascii="Liberation Sans" w:hAnsi="Liberation Sans" w:eastAsia="Liberation Sans"/>
                <w:color w:val="2E2A2C"/>
                <w:sz w:val="18"/>
              </w:rPr>
              <w:t>Natalie Weber</w:t>
            </w:r>
          </w:p>
        </w:tc>
      </w:tr>
      <w:tr>
        <w:tc>
          <w:tcPr>
            <w:tcW w:type="dxa" w:w="2160"/>
            <w:tcBorders>
              <w:top w:val="single" w:sz="4" w:space="0" w:color="D8D1C5"/>
              <w:left w:val="single" w:sz="4" w:space="0" w:color="D8D1C5"/>
              <w:bottom w:val="single" w:sz="4" w:space="0" w:color="D8D1C5"/>
              <w:right w:val="single" w:sz="4" w:space="0" w:color="D8D1C5"/>
            </w:tcBorders>
            <w:vAlign w:val="center"/>
            <w:shd w:fill="F6F1E8"/>
          </w:tcPr>
          <w:p>
            <w:r>
              <w:rPr>
                <w:rFonts w:ascii="Liberation Sans" w:hAnsi="Liberation Sans" w:eastAsia="Liberation Sans"/>
                <w:b/>
                <w:color w:val="0B1030"/>
                <w:sz w:val="18"/>
              </w:rPr>
              <w:t>Referenz</w:t>
            </w:r>
          </w:p>
        </w:tc>
        <w:tc>
          <w:tcPr>
            <w:tcW w:type="dxa" w:w="6480"/>
            <w:tcBorders>
              <w:top w:val="single" w:sz="4" w:space="0" w:color="D8D1C5"/>
              <w:left w:val="single" w:sz="4" w:space="0" w:color="D8D1C5"/>
              <w:bottom w:val="single" w:sz="4" w:space="0" w:color="D8D1C5"/>
              <w:right w:val="single" w:sz="4" w:space="0" w:color="D8D1C5"/>
            </w:tcBorders>
            <w:vAlign w:val="center"/>
          </w:tcPr>
          <w:p>
            <w:r>
              <w:rPr>
                <w:rFonts w:ascii="Liberation Sans" w:hAnsi="Liberation Sans" w:eastAsia="Liberation Sans"/>
                <w:color w:val="2E2A2C"/>
                <w:sz w:val="18"/>
              </w:rPr>
              <w:t>Wirkungsökonomie</w:t>
            </w:r>
          </w:p>
        </w:tc>
      </w:tr>
      <w:tr>
        <w:tc>
          <w:tcPr>
            <w:tcW w:type="dxa" w:w="2160"/>
            <w:tcBorders>
              <w:top w:val="single" w:sz="4" w:space="0" w:color="D8D1C5"/>
              <w:left w:val="single" w:sz="4" w:space="0" w:color="D8D1C5"/>
              <w:bottom w:val="single" w:sz="4" w:space="0" w:color="D8D1C5"/>
              <w:right w:val="single" w:sz="4" w:space="0" w:color="D8D1C5"/>
            </w:tcBorders>
            <w:vAlign w:val="center"/>
            <w:shd w:fill="F6F1E8"/>
          </w:tcPr>
          <w:p>
            <w:r>
              <w:rPr>
                <w:rFonts w:ascii="Liberation Sans" w:hAnsi="Liberation Sans" w:eastAsia="Liberation Sans"/>
                <w:b/>
                <w:color w:val="0B1030"/>
                <w:sz w:val="18"/>
              </w:rPr>
              <w:t>Version</w:t>
            </w:r>
          </w:p>
        </w:tc>
        <w:tc>
          <w:tcPr>
            <w:tcW w:type="dxa" w:w="6480"/>
            <w:tcBorders>
              <w:top w:val="single" w:sz="4" w:space="0" w:color="D8D1C5"/>
              <w:left w:val="single" w:sz="4" w:space="0" w:color="D8D1C5"/>
              <w:bottom w:val="single" w:sz="4" w:space="0" w:color="D8D1C5"/>
              <w:right w:val="single" w:sz="4" w:space="0" w:color="D8D1C5"/>
            </w:tcBorders>
            <w:vAlign w:val="center"/>
          </w:tcPr>
          <w:p>
            <w:r>
              <w:rPr>
                <w:rFonts w:ascii="Liberation Sans" w:hAnsi="Liberation Sans" w:eastAsia="Liberation Sans"/>
                <w:color w:val="2E2A2C"/>
                <w:sz w:val="18"/>
              </w:rPr>
              <w:t>v0.2</w:t>
            </w:r>
          </w:p>
        </w:tc>
      </w:tr>
      <w:tr>
        <w:tc>
          <w:tcPr>
            <w:tcW w:type="dxa" w:w="2160"/>
            <w:tcBorders>
              <w:top w:val="single" w:sz="4" w:space="0" w:color="D8D1C5"/>
              <w:left w:val="single" w:sz="4" w:space="0" w:color="D8D1C5"/>
              <w:bottom w:val="single" w:sz="4" w:space="0" w:color="D8D1C5"/>
              <w:right w:val="single" w:sz="4" w:space="0" w:color="D8D1C5"/>
            </w:tcBorders>
            <w:vAlign w:val="center"/>
            <w:shd w:fill="F6F1E8"/>
          </w:tcPr>
          <w:p>
            <w:r>
              <w:rPr>
                <w:rFonts w:ascii="Liberation Sans" w:hAnsi="Liberation Sans" w:eastAsia="Liberation Sans"/>
                <w:b/>
                <w:color w:val="0B1030"/>
                <w:sz w:val="18"/>
              </w:rPr>
              <w:t>Status</w:t>
            </w:r>
          </w:p>
        </w:tc>
        <w:tc>
          <w:tcPr>
            <w:tcW w:type="dxa" w:w="6480"/>
            <w:tcBorders>
              <w:top w:val="single" w:sz="4" w:space="0" w:color="D8D1C5"/>
              <w:left w:val="single" w:sz="4" w:space="0" w:color="D8D1C5"/>
              <w:bottom w:val="single" w:sz="4" w:space="0" w:color="D8D1C5"/>
              <w:right w:val="single" w:sz="4" w:space="0" w:color="D8D1C5"/>
            </w:tcBorders>
            <w:vAlign w:val="center"/>
          </w:tcPr>
          <w:p>
            <w:r>
              <w:rPr>
                <w:rFonts w:ascii="Liberation Sans" w:hAnsi="Liberation Sans" w:eastAsia="Liberation Sans"/>
                <w:color w:val="2E2A2C"/>
                <w:sz w:val="18"/>
              </w:rPr>
              <w:t>nachgelieferte Korrekturfassung</w:t>
            </w:r>
          </w:p>
        </w:tc>
      </w:tr>
      <w:tr>
        <w:tc>
          <w:tcPr>
            <w:tcW w:type="dxa" w:w="2160"/>
            <w:tcBorders>
              <w:top w:val="single" w:sz="4" w:space="0" w:color="D8D1C5"/>
              <w:left w:val="single" w:sz="4" w:space="0" w:color="D8D1C5"/>
              <w:bottom w:val="single" w:sz="4" w:space="0" w:color="D8D1C5"/>
              <w:right w:val="single" w:sz="4" w:space="0" w:color="D8D1C5"/>
            </w:tcBorders>
            <w:vAlign w:val="center"/>
            <w:shd w:fill="F6F1E8"/>
          </w:tcPr>
          <w:p>
            <w:r>
              <w:rPr>
                <w:rFonts w:ascii="Liberation Sans" w:hAnsi="Liberation Sans" w:eastAsia="Liberation Sans"/>
                <w:b/>
                <w:color w:val="0B1030"/>
                <w:sz w:val="18"/>
              </w:rPr>
              <w:t>Stand</w:t>
            </w:r>
          </w:p>
        </w:tc>
        <w:tc>
          <w:tcPr>
            <w:tcW w:type="dxa" w:w="6480"/>
            <w:tcBorders>
              <w:top w:val="single" w:sz="4" w:space="0" w:color="D8D1C5"/>
              <w:left w:val="single" w:sz="4" w:space="0" w:color="D8D1C5"/>
              <w:bottom w:val="single" w:sz="4" w:space="0" w:color="D8D1C5"/>
              <w:right w:val="single" w:sz="4" w:space="0" w:color="D8D1C5"/>
            </w:tcBorders>
            <w:vAlign w:val="center"/>
          </w:tcPr>
          <w:p>
            <w:r>
              <w:rPr>
                <w:rFonts w:ascii="Liberation Sans" w:hAnsi="Liberation Sans" w:eastAsia="Liberation Sans"/>
                <w:color w:val="2E2A2C"/>
                <w:sz w:val="18"/>
              </w:rPr>
              <w:t>24. Mai 2026</w:t>
            </w:r>
          </w:p>
        </w:tc>
      </w:tr>
    </w:tbl>
    <w:p/>
    <w:tbl>
      <w:tblPr>
        <w:tblW w:type="auto" w:w="0"/>
        <w:tblLook w:firstColumn="1" w:firstRow="1" w:lastColumn="0" w:lastRow="0" w:noHBand="0" w:noVBand="1" w:val="04A0"/>
      </w:tblPr>
      <w:tblGrid>
        <w:gridCol w:w="10166"/>
      </w:tblGrid>
      <w:tr>
        <w:tc>
          <w:tcPr>
            <w:tcW w:type="dxa" w:w="10166"/>
            <w:shd w:fill="F7F4ED"/>
            <w:tcBorders>
              <w:top w:val="single" w:sz="8" w:space="0" w:color="2B7D5C"/>
              <w:left w:val="single" w:sz="8" w:space="0" w:color="2B7D5C"/>
              <w:bottom w:val="single" w:sz="8" w:space="0" w:color="2B7D5C"/>
              <w:right w:val="single" w:sz="8" w:space="0" w:color="2B7D5C"/>
            </w:tcBorders>
          </w:tcPr>
          <w:p>
            <w:r>
              <w:rPr>
                <w:rFonts w:ascii="Liberation Serif" w:hAnsi="Liberation Serif" w:eastAsia="Liberation Serif"/>
                <w:b/>
                <w:color w:val="0B1030"/>
                <w:sz w:val="26"/>
              </w:rPr>
              <w:t>Leitformel: Wirkung statt Kapital. Für Mensch, Planet und Demokratie.</w:t>
            </w:r>
          </w:p>
        </w:tc>
      </w:tr>
    </w:tbl>
    <w:p>
      <w:r>
        <w:br w:type="page"/>
      </w:r>
    </w:p>
    <w:p>
      <w:pPr>
        <w:pStyle w:val="Heading1"/>
      </w:pPr>
      <w:r>
        <w:t>Vorwort und Korrekturhinweis</w:t>
      </w:r>
    </w:p>
    <w:p>
      <w:pPr>
        <w:spacing w:after="120" w:line="259" w:lineRule="auto"/>
      </w:pPr>
      <w:r>
        <w:rPr>
          <w:rFonts w:ascii="Liberation Sans" w:hAnsi="Liberation Sans" w:eastAsia="Liberation Sans"/>
          <w:color w:val="2E2A2C"/>
          <w:sz w:val="21"/>
        </w:rPr>
        <w:t>Diese nachgelieferte Korrekturfassung ersetzt die bisher sehr kurzen Detailkonzept-Skizzen. Sie ist bewusst als ausführliches Detailkonzept-Kompendium aufgebaut. Jeder Unterbereich erhält eine fachliche Ausarbeitung mit Problem, Wirkungslogik, Systemarchitektur, Messlogik, politischer Anschlussfähigkeit, Risiken und Online-/Dossierbezug.</w:t>
      </w:r>
    </w:p>
    <w:p>
      <w:pPr>
        <w:spacing w:after="120" w:line="259" w:lineRule="auto"/>
      </w:pPr>
      <w:r>
        <w:rPr>
          <w:rFonts w:ascii="Liberation Sans" w:hAnsi="Liberation Sans" w:eastAsia="Liberation Sans"/>
          <w:color w:val="2E2A2C"/>
          <w:sz w:val="21"/>
        </w:rPr>
        <w:t>Die Inhalte sind öffentlich formuliert. Interne Umsetzungs- und Prozesshinweise wurden bewusst nicht aufgenommen. Öffentliche Dokumente erklären Fachinhalte, nicht Arbeitsabläufe.</w:t>
      </w:r>
    </w:p>
    <w:tbl>
      <w:tblPr>
        <w:tblW w:type="auto" w:w="0"/>
        <w:tblLook w:firstColumn="1" w:firstRow="1" w:lastColumn="0" w:lastRow="0" w:noHBand="0" w:noVBand="1" w:val="04A0"/>
      </w:tblPr>
      <w:tblGrid>
        <w:gridCol w:w="10166"/>
      </w:tblGrid>
      <w:tr>
        <w:tc>
          <w:tcPr>
            <w:tcW w:type="dxa" w:w="10166"/>
            <w:shd w:fill="F7F4ED"/>
            <w:tcBorders>
              <w:top w:val="single" w:sz="8" w:space="0" w:color="2B7D5C"/>
              <w:left w:val="single" w:sz="8" w:space="0" w:color="2B7D5C"/>
              <w:bottom w:val="single" w:sz="8" w:space="0" w:color="2B7D5C"/>
              <w:right w:val="single" w:sz="8" w:space="0" w:color="2B7D5C"/>
            </w:tcBorders>
          </w:tcPr>
          <w:p>
            <w:r>
              <w:rPr>
                <w:rFonts w:ascii="Liberation Sans" w:hAnsi="Liberation Sans" w:eastAsia="Liberation Sans"/>
                <w:b/>
                <w:color w:val="2B7D5C"/>
                <w:sz w:val="20"/>
              </w:rPr>
              <w:t>Öffentlicher Charakter</w:t>
              <w:br/>
            </w:r>
            <w:r>
              <w:rPr>
                <w:rFonts w:ascii="Liberation Sans" w:hAnsi="Liberation Sans" w:eastAsia="Liberation Sans"/>
                <w:color w:val="2E2A2C"/>
                <w:sz w:val="20"/>
              </w:rPr>
              <w:t>Dieses Dokument ist als fachliche Grundlage für Website, Online-Volltext, Download und Dossier geeignet. Es enthält keine internen technischen Arbeitsanweisungen.</w:t>
            </w:r>
          </w:p>
        </w:tc>
      </w:tr>
    </w:tbl>
    <w:p/>
    <w:p>
      <w:pPr>
        <w:pStyle w:val="Heading1"/>
      </w:pPr>
      <w:r>
        <w:t>Grundthese des Bereichs</w:t>
      </w:r>
    </w:p>
    <w:p>
      <w:pPr>
        <w:spacing w:after="120" w:line="259" w:lineRule="auto"/>
      </w:pPr>
      <w:r>
        <w:rPr>
          <w:rFonts w:ascii="Liberation Sans" w:hAnsi="Liberation Sans" w:eastAsia="Liberation Sans"/>
          <w:color w:val="2E2A2C"/>
          <w:sz w:val="21"/>
        </w:rPr>
        <w:t>Produkte sind Wirkungsträger. Der heutige Preis zeigt Kosten, aber nicht Wirkung. Das Produktportal macht sichtbar, wie NACE, WÖk-IDs, Scorecards, Reverse Merit Order und Wirkungsumsatzsteuer aus Berichtsdaten eine Rückkopplung im Markt machen.</w:t>
      </w:r>
    </w:p>
    <w:p>
      <w:pPr>
        <w:spacing w:after="120" w:line="259" w:lineRule="auto"/>
      </w:pPr>
      <w:r>
        <w:rPr>
          <w:rFonts w:ascii="Liberation Sans" w:hAnsi="Liberation Sans" w:eastAsia="Liberation Sans"/>
          <w:color w:val="2E2A2C"/>
          <w:sz w:val="21"/>
        </w:rPr>
        <w:t>Buchanker: Kapitel 31-35 (Messung), 37-38 (Steuerrecht), 48-53 (Produkte, Preise, Konsumwirkung und Markttransformation).</w:t>
      </w:r>
    </w:p>
    <w:p>
      <w:pPr>
        <w:pStyle w:val="Heading1"/>
      </w:pPr>
      <w:r>
        <w:t>Überblick der Unterbereiche</w:t>
      </w:r>
    </w:p>
    <w:tbl>
      <w:tblPr>
        <w:tblW w:type="auto" w:w="0"/>
        <w:jc w:val="center"/>
        <w:tblLook w:firstColumn="1" w:firstRow="1" w:lastColumn="0" w:lastRow="0" w:noHBand="0" w:noVBand="1" w:val="04A0"/>
      </w:tblPr>
      <w:tblGrid>
        <w:gridCol w:w="3389"/>
        <w:gridCol w:w="3389"/>
        <w:gridCol w:w="3389"/>
      </w:tblGrid>
      <w:tr>
        <w:tc>
          <w:tcPr>
            <w:tcW w:type="dxa" w:w="3389"/>
            <w:shd w:fill="0B1030"/>
            <w:tcBorders>
              <w:top w:val="single" w:sz="4" w:space="0" w:color="0B1030"/>
              <w:left w:val="single" w:sz="4" w:space="0" w:color="0B1030"/>
              <w:bottom w:val="single" w:sz="4" w:space="0" w:color="0B1030"/>
              <w:right w:val="single" w:sz="4" w:space="0" w:color="0B1030"/>
            </w:tcBorders>
          </w:tcPr>
          <w:p>
            <w:r>
              <w:rPr>
                <w:rFonts w:ascii="Liberation Sans" w:hAnsi="Liberation Sans" w:eastAsia="Liberation Sans"/>
                <w:b/>
                <w:color w:val="FFFFFF"/>
                <w:sz w:val="17"/>
              </w:rPr>
              <w:t>Nr.</w:t>
            </w:r>
          </w:p>
        </w:tc>
        <w:tc>
          <w:tcPr>
            <w:tcW w:type="dxa" w:w="3389"/>
            <w:shd w:fill="0B1030"/>
            <w:tcBorders>
              <w:top w:val="single" w:sz="4" w:space="0" w:color="0B1030"/>
              <w:left w:val="single" w:sz="4" w:space="0" w:color="0B1030"/>
              <w:bottom w:val="single" w:sz="4" w:space="0" w:color="0B1030"/>
              <w:right w:val="single" w:sz="4" w:space="0" w:color="0B1030"/>
            </w:tcBorders>
          </w:tcPr>
          <w:p>
            <w:r>
              <w:rPr>
                <w:rFonts w:ascii="Liberation Sans" w:hAnsi="Liberation Sans" w:eastAsia="Liberation Sans"/>
                <w:b/>
                <w:color w:val="FFFFFF"/>
                <w:sz w:val="17"/>
              </w:rPr>
              <w:t>Unterbereich</w:t>
            </w:r>
          </w:p>
        </w:tc>
        <w:tc>
          <w:tcPr>
            <w:tcW w:type="dxa" w:w="3389"/>
            <w:shd w:fill="0B1030"/>
            <w:tcBorders>
              <w:top w:val="single" w:sz="4" w:space="0" w:color="0B1030"/>
              <w:left w:val="single" w:sz="4" w:space="0" w:color="0B1030"/>
              <w:bottom w:val="single" w:sz="4" w:space="0" w:color="0B1030"/>
              <w:right w:val="single" w:sz="4" w:space="0" w:color="0B1030"/>
            </w:tcBorders>
          </w:tcPr>
          <w:p>
            <w:r>
              <w:rPr>
                <w:rFonts w:ascii="Liberation Sans" w:hAnsi="Liberation Sans" w:eastAsia="Liberation Sans"/>
                <w:b/>
                <w:color w:val="FFFFFF"/>
                <w:sz w:val="17"/>
              </w:rPr>
              <w:t>Kurzfunktion</w:t>
            </w:r>
          </w:p>
        </w:tc>
      </w:tr>
      <w:tr>
        <w:tc>
          <w:tcPr>
            <w:tcW w:type="dxa" w:w="3389"/>
            <w:tcBorders>
              <w:top w:val="single" w:sz="4" w:space="0" w:color="D8D1C5"/>
              <w:left w:val="single" w:sz="4" w:space="0" w:color="D8D1C5"/>
              <w:bottom w:val="single" w:sz="4" w:space="0" w:color="D8D1C5"/>
              <w:right w:val="single" w:sz="4" w:space="0" w:color="D8D1C5"/>
            </w:tcBorders>
            <w:shd w:fill="F6F1E8"/>
          </w:tcPr>
          <w:p>
            <w:r>
              <w:rPr>
                <w:rFonts w:ascii="Liberation Sans" w:hAnsi="Liberation Sans" w:eastAsia="Liberation Sans"/>
                <w:b/>
                <w:color w:val="2E2A2C"/>
                <w:sz w:val="17"/>
              </w:rPr>
              <w:t>1</w:t>
            </w:r>
          </w:p>
        </w:tc>
        <w:tc>
          <w:tcPr>
            <w:tcW w:type="dxa" w:w="3389"/>
            <w:tcBorders>
              <w:top w:val="single" w:sz="4" w:space="0" w:color="D8D1C5"/>
              <w:left w:val="single" w:sz="4" w:space="0" w:color="D8D1C5"/>
              <w:bottom w:val="single" w:sz="4" w:space="0" w:color="D8D1C5"/>
              <w:right w:val="single" w:sz="4" w:space="0" w:color="D8D1C5"/>
            </w:tcBorders>
          </w:tcPr>
          <w:p>
            <w:r>
              <w:rPr>
                <w:rFonts w:ascii="Liberation Sans" w:hAnsi="Liberation Sans" w:eastAsia="Liberation Sans"/>
                <w:b w:val="0"/>
                <w:color w:val="2E2A2C"/>
                <w:sz w:val="17"/>
              </w:rPr>
              <w:t>Produktwirkung und Produktlebenszyklus</w:t>
            </w:r>
          </w:p>
        </w:tc>
        <w:tc>
          <w:tcPr>
            <w:tcW w:type="dxa" w:w="3389"/>
            <w:tcBorders>
              <w:top w:val="single" w:sz="4" w:space="0" w:color="D8D1C5"/>
              <w:left w:val="single" w:sz="4" w:space="0" w:color="D8D1C5"/>
              <w:bottom w:val="single" w:sz="4" w:space="0" w:color="D8D1C5"/>
              <w:right w:val="single" w:sz="4" w:space="0" w:color="D8D1C5"/>
            </w:tcBorders>
          </w:tcPr>
          <w:p>
            <w:r>
              <w:rPr>
                <w:rFonts w:ascii="Liberation Sans" w:hAnsi="Liberation Sans" w:eastAsia="Liberation Sans"/>
                <w:b w:val="0"/>
                <w:color w:val="2E2A2C"/>
                <w:sz w:val="17"/>
              </w:rPr>
              <w:t>Rohstoffe, Herstellung, Nutzung, Ende, Produktdaten statt Produktimage, Produktverantwortung.</w:t>
            </w:r>
          </w:p>
        </w:tc>
      </w:tr>
      <w:tr>
        <w:tc>
          <w:tcPr>
            <w:tcW w:type="dxa" w:w="3389"/>
            <w:tcBorders>
              <w:top w:val="single" w:sz="4" w:space="0" w:color="D8D1C5"/>
              <w:left w:val="single" w:sz="4" w:space="0" w:color="D8D1C5"/>
              <w:bottom w:val="single" w:sz="4" w:space="0" w:color="D8D1C5"/>
              <w:right w:val="single" w:sz="4" w:space="0" w:color="D8D1C5"/>
            </w:tcBorders>
            <w:shd w:fill="F6F1E8"/>
          </w:tcPr>
          <w:p>
            <w:r>
              <w:rPr>
                <w:rFonts w:ascii="Liberation Sans" w:hAnsi="Liberation Sans" w:eastAsia="Liberation Sans"/>
                <w:b/>
                <w:color w:val="2E2A2C"/>
                <w:sz w:val="17"/>
              </w:rPr>
              <w:t>2</w:t>
            </w:r>
          </w:p>
        </w:tc>
        <w:tc>
          <w:tcPr>
            <w:tcW w:type="dxa" w:w="3389"/>
            <w:tcBorders>
              <w:top w:val="single" w:sz="4" w:space="0" w:color="D8D1C5"/>
              <w:left w:val="single" w:sz="4" w:space="0" w:color="D8D1C5"/>
              <w:bottom w:val="single" w:sz="4" w:space="0" w:color="D8D1C5"/>
              <w:right w:val="single" w:sz="4" w:space="0" w:color="D8D1C5"/>
            </w:tcBorders>
          </w:tcPr>
          <w:p>
            <w:r>
              <w:rPr>
                <w:rFonts w:ascii="Liberation Sans" w:hAnsi="Liberation Sans" w:eastAsia="Liberation Sans"/>
                <w:b w:val="0"/>
                <w:color w:val="2E2A2C"/>
                <w:sz w:val="17"/>
              </w:rPr>
              <w:t>Produktbesteuerung durch Wirkung</w:t>
            </w:r>
          </w:p>
        </w:tc>
        <w:tc>
          <w:tcPr>
            <w:tcW w:type="dxa" w:w="3389"/>
            <w:tcBorders>
              <w:top w:val="single" w:sz="4" w:space="0" w:color="D8D1C5"/>
              <w:left w:val="single" w:sz="4" w:space="0" w:color="D8D1C5"/>
              <w:bottom w:val="single" w:sz="4" w:space="0" w:color="D8D1C5"/>
              <w:right w:val="single" w:sz="4" w:space="0" w:color="D8D1C5"/>
            </w:tcBorders>
          </w:tcPr>
          <w:p>
            <w:r>
              <w:rPr>
                <w:rFonts w:ascii="Liberation Sans" w:hAnsi="Liberation Sans" w:eastAsia="Liberation Sans"/>
                <w:b w:val="0"/>
                <w:color w:val="2E2A2C"/>
                <w:sz w:val="17"/>
              </w:rPr>
              <w:t>FinalScore, Steuerklasse, Preisumkehr, Sozial- und Kaufkraftschutz, Übergang.</w:t>
            </w:r>
          </w:p>
        </w:tc>
      </w:tr>
      <w:tr>
        <w:tc>
          <w:tcPr>
            <w:tcW w:type="dxa" w:w="3389"/>
            <w:tcBorders>
              <w:top w:val="single" w:sz="4" w:space="0" w:color="D8D1C5"/>
              <w:left w:val="single" w:sz="4" w:space="0" w:color="D8D1C5"/>
              <w:bottom w:val="single" w:sz="4" w:space="0" w:color="D8D1C5"/>
              <w:right w:val="single" w:sz="4" w:space="0" w:color="D8D1C5"/>
            </w:tcBorders>
            <w:shd w:fill="F6F1E8"/>
          </w:tcPr>
          <w:p>
            <w:r>
              <w:rPr>
                <w:rFonts w:ascii="Liberation Sans" w:hAnsi="Liberation Sans" w:eastAsia="Liberation Sans"/>
                <w:b/>
                <w:color w:val="2E2A2C"/>
                <w:sz w:val="17"/>
              </w:rPr>
              <w:t>3</w:t>
            </w:r>
          </w:p>
        </w:tc>
        <w:tc>
          <w:tcPr>
            <w:tcW w:type="dxa" w:w="3389"/>
            <w:tcBorders>
              <w:top w:val="single" w:sz="4" w:space="0" w:color="D8D1C5"/>
              <w:left w:val="single" w:sz="4" w:space="0" w:color="D8D1C5"/>
              <w:bottom w:val="single" w:sz="4" w:space="0" w:color="D8D1C5"/>
              <w:right w:val="single" w:sz="4" w:space="0" w:color="D8D1C5"/>
            </w:tcBorders>
          </w:tcPr>
          <w:p>
            <w:r>
              <w:rPr>
                <w:rFonts w:ascii="Liberation Sans" w:hAnsi="Liberation Sans" w:eastAsia="Liberation Sans"/>
                <w:b w:val="0"/>
                <w:color w:val="2E2A2C"/>
                <w:sz w:val="17"/>
              </w:rPr>
              <w:t>Wirkungsumsatzsteuer / Produktwirkungssteuer</w:t>
            </w:r>
          </w:p>
        </w:tc>
        <w:tc>
          <w:tcPr>
            <w:tcW w:type="dxa" w:w="3389"/>
            <w:tcBorders>
              <w:top w:val="single" w:sz="4" w:space="0" w:color="D8D1C5"/>
              <w:left w:val="single" w:sz="4" w:space="0" w:color="D8D1C5"/>
              <w:bottom w:val="single" w:sz="4" w:space="0" w:color="D8D1C5"/>
              <w:right w:val="single" w:sz="4" w:space="0" w:color="D8D1C5"/>
            </w:tcBorders>
          </w:tcPr>
          <w:p>
            <w:r>
              <w:rPr>
                <w:rFonts w:ascii="Liberation Sans" w:hAnsi="Liberation Sans" w:eastAsia="Liberation Sans"/>
                <w:b w:val="0"/>
                <w:color w:val="2E2A2C"/>
                <w:sz w:val="17"/>
              </w:rPr>
              <w:t>Umsatzsteuerlogik als Rückkopplungsarchitektur, Vorsteuer, Bonus-Malus, WUStG-Anschluss.</w:t>
            </w:r>
          </w:p>
        </w:tc>
      </w:tr>
      <w:tr>
        <w:tc>
          <w:tcPr>
            <w:tcW w:type="dxa" w:w="3389"/>
            <w:tcBorders>
              <w:top w:val="single" w:sz="4" w:space="0" w:color="D8D1C5"/>
              <w:left w:val="single" w:sz="4" w:space="0" w:color="D8D1C5"/>
              <w:bottom w:val="single" w:sz="4" w:space="0" w:color="D8D1C5"/>
              <w:right w:val="single" w:sz="4" w:space="0" w:color="D8D1C5"/>
            </w:tcBorders>
            <w:shd w:fill="F6F1E8"/>
          </w:tcPr>
          <w:p>
            <w:r>
              <w:rPr>
                <w:rFonts w:ascii="Liberation Sans" w:hAnsi="Liberation Sans" w:eastAsia="Liberation Sans"/>
                <w:b/>
                <w:color w:val="2E2A2C"/>
                <w:sz w:val="17"/>
              </w:rPr>
              <w:t>4</w:t>
            </w:r>
          </w:p>
        </w:tc>
        <w:tc>
          <w:tcPr>
            <w:tcW w:type="dxa" w:w="3389"/>
            <w:tcBorders>
              <w:top w:val="single" w:sz="4" w:space="0" w:color="D8D1C5"/>
              <w:left w:val="single" w:sz="4" w:space="0" w:color="D8D1C5"/>
              <w:bottom w:val="single" w:sz="4" w:space="0" w:color="D8D1C5"/>
              <w:right w:val="single" w:sz="4" w:space="0" w:color="D8D1C5"/>
            </w:tcBorders>
          </w:tcPr>
          <w:p>
            <w:r>
              <w:rPr>
                <w:rFonts w:ascii="Liberation Sans" w:hAnsi="Liberation Sans" w:eastAsia="Liberation Sans"/>
                <w:b w:val="0"/>
                <w:color w:val="2E2A2C"/>
                <w:sz w:val="17"/>
              </w:rPr>
              <w:t>Produktscorecards</w:t>
            </w:r>
          </w:p>
        </w:tc>
        <w:tc>
          <w:tcPr>
            <w:tcW w:type="dxa" w:w="3389"/>
            <w:tcBorders>
              <w:top w:val="single" w:sz="4" w:space="0" w:color="D8D1C5"/>
              <w:left w:val="single" w:sz="4" w:space="0" w:color="D8D1C5"/>
              <w:bottom w:val="single" w:sz="4" w:space="0" w:color="D8D1C5"/>
              <w:right w:val="single" w:sz="4" w:space="0" w:color="D8D1C5"/>
            </w:tcBorders>
          </w:tcPr>
          <w:p>
            <w:r>
              <w:rPr>
                <w:rFonts w:ascii="Liberation Sans" w:hAnsi="Liberation Sans" w:eastAsia="Liberation Sans"/>
                <w:b w:val="0"/>
                <w:color w:val="2E2A2C"/>
                <w:sz w:val="17"/>
              </w:rPr>
              <w:t>Kernfelder, Bewertungslogik, Datenfelder, FinalScore, Sonderfälle.</w:t>
            </w:r>
          </w:p>
        </w:tc>
      </w:tr>
      <w:tr>
        <w:tc>
          <w:tcPr>
            <w:tcW w:type="dxa" w:w="3389"/>
            <w:tcBorders>
              <w:top w:val="single" w:sz="4" w:space="0" w:color="D8D1C5"/>
              <w:left w:val="single" w:sz="4" w:space="0" w:color="D8D1C5"/>
              <w:bottom w:val="single" w:sz="4" w:space="0" w:color="D8D1C5"/>
              <w:right w:val="single" w:sz="4" w:space="0" w:color="D8D1C5"/>
            </w:tcBorders>
            <w:shd w:fill="F6F1E8"/>
          </w:tcPr>
          <w:p>
            <w:r>
              <w:rPr>
                <w:rFonts w:ascii="Liberation Sans" w:hAnsi="Liberation Sans" w:eastAsia="Liberation Sans"/>
                <w:b/>
                <w:color w:val="2E2A2C"/>
                <w:sz w:val="17"/>
              </w:rPr>
              <w:t>5</w:t>
            </w:r>
          </w:p>
        </w:tc>
        <w:tc>
          <w:tcPr>
            <w:tcW w:type="dxa" w:w="3389"/>
            <w:tcBorders>
              <w:top w:val="single" w:sz="4" w:space="0" w:color="D8D1C5"/>
              <w:left w:val="single" w:sz="4" w:space="0" w:color="D8D1C5"/>
              <w:bottom w:val="single" w:sz="4" w:space="0" w:color="D8D1C5"/>
              <w:right w:val="single" w:sz="4" w:space="0" w:color="D8D1C5"/>
            </w:tcBorders>
          </w:tcPr>
          <w:p>
            <w:r>
              <w:rPr>
                <w:rFonts w:ascii="Liberation Sans" w:hAnsi="Liberation Sans" w:eastAsia="Liberation Sans"/>
                <w:b w:val="0"/>
                <w:color w:val="2E2A2C"/>
                <w:sz w:val="17"/>
              </w:rPr>
              <w:t>WÖk-IDs im Produktbereich</w:t>
            </w:r>
          </w:p>
        </w:tc>
        <w:tc>
          <w:tcPr>
            <w:tcW w:type="dxa" w:w="3389"/>
            <w:tcBorders>
              <w:top w:val="single" w:sz="4" w:space="0" w:color="D8D1C5"/>
              <w:left w:val="single" w:sz="4" w:space="0" w:color="D8D1C5"/>
              <w:bottom w:val="single" w:sz="4" w:space="0" w:color="D8D1C5"/>
              <w:right w:val="single" w:sz="4" w:space="0" w:color="D8D1C5"/>
            </w:tcBorders>
          </w:tcPr>
          <w:p>
            <w:r>
              <w:rPr>
                <w:rFonts w:ascii="Liberation Sans" w:hAnsi="Liberation Sans" w:eastAsia="Liberation Sans"/>
                <w:b w:val="0"/>
                <w:color w:val="2E2A2C"/>
                <w:sz w:val="17"/>
              </w:rPr>
              <w:t>Indikatorregister, SDG-/SDG+-Mapping, NACE, ESRS, GRI, Datenqualität.</w:t>
            </w:r>
          </w:p>
        </w:tc>
      </w:tr>
      <w:tr>
        <w:tc>
          <w:tcPr>
            <w:tcW w:type="dxa" w:w="3389"/>
            <w:tcBorders>
              <w:top w:val="single" w:sz="4" w:space="0" w:color="D8D1C5"/>
              <w:left w:val="single" w:sz="4" w:space="0" w:color="D8D1C5"/>
              <w:bottom w:val="single" w:sz="4" w:space="0" w:color="D8D1C5"/>
              <w:right w:val="single" w:sz="4" w:space="0" w:color="D8D1C5"/>
            </w:tcBorders>
            <w:shd w:fill="F6F1E8"/>
          </w:tcPr>
          <w:p>
            <w:r>
              <w:rPr>
                <w:rFonts w:ascii="Liberation Sans" w:hAnsi="Liberation Sans" w:eastAsia="Liberation Sans"/>
                <w:b/>
                <w:color w:val="2E2A2C"/>
                <w:sz w:val="17"/>
              </w:rPr>
              <w:t>6</w:t>
            </w:r>
          </w:p>
        </w:tc>
        <w:tc>
          <w:tcPr>
            <w:tcW w:type="dxa" w:w="3389"/>
            <w:tcBorders>
              <w:top w:val="single" w:sz="4" w:space="0" w:color="D8D1C5"/>
              <w:left w:val="single" w:sz="4" w:space="0" w:color="D8D1C5"/>
              <w:bottom w:val="single" w:sz="4" w:space="0" w:color="D8D1C5"/>
              <w:right w:val="single" w:sz="4" w:space="0" w:color="D8D1C5"/>
            </w:tcBorders>
          </w:tcPr>
          <w:p>
            <w:r>
              <w:rPr>
                <w:rFonts w:ascii="Liberation Sans" w:hAnsi="Liberation Sans" w:eastAsia="Liberation Sans"/>
                <w:b w:val="0"/>
                <w:color w:val="2E2A2C"/>
                <w:sz w:val="17"/>
              </w:rPr>
              <w:t>Reverse Merit Order</w:t>
            </w:r>
          </w:p>
        </w:tc>
        <w:tc>
          <w:tcPr>
            <w:tcW w:type="dxa" w:w="3389"/>
            <w:tcBorders>
              <w:top w:val="single" w:sz="4" w:space="0" w:color="D8D1C5"/>
              <w:left w:val="single" w:sz="4" w:space="0" w:color="D8D1C5"/>
              <w:bottom w:val="single" w:sz="4" w:space="0" w:color="D8D1C5"/>
              <w:right w:val="single" w:sz="4" w:space="0" w:color="D8D1C5"/>
            </w:tcBorders>
          </w:tcPr>
          <w:p>
            <w:r>
              <w:rPr>
                <w:rFonts w:ascii="Liberation Sans" w:hAnsi="Liberation Sans" w:eastAsia="Liberation Sans"/>
                <w:b w:val="0"/>
                <w:color w:val="2E2A2C"/>
                <w:sz w:val="17"/>
              </w:rPr>
              <w:t>Nicht-Kompensation, schwächstes Wirkungsfeld, rote Linien, Schutz vor Ablasshandel.</w:t>
            </w:r>
          </w:p>
        </w:tc>
      </w:tr>
      <w:tr>
        <w:tc>
          <w:tcPr>
            <w:tcW w:type="dxa" w:w="3389"/>
            <w:tcBorders>
              <w:top w:val="single" w:sz="4" w:space="0" w:color="D8D1C5"/>
              <w:left w:val="single" w:sz="4" w:space="0" w:color="D8D1C5"/>
              <w:bottom w:val="single" w:sz="4" w:space="0" w:color="D8D1C5"/>
              <w:right w:val="single" w:sz="4" w:space="0" w:color="D8D1C5"/>
            </w:tcBorders>
            <w:shd w:fill="F6F1E8"/>
          </w:tcPr>
          <w:p>
            <w:r>
              <w:rPr>
                <w:rFonts w:ascii="Liberation Sans" w:hAnsi="Liberation Sans" w:eastAsia="Liberation Sans"/>
                <w:b/>
                <w:color w:val="2E2A2C"/>
                <w:sz w:val="17"/>
              </w:rPr>
              <w:t>7</w:t>
            </w:r>
          </w:p>
        </w:tc>
        <w:tc>
          <w:tcPr>
            <w:tcW w:type="dxa" w:w="3389"/>
            <w:tcBorders>
              <w:top w:val="single" w:sz="4" w:space="0" w:color="D8D1C5"/>
              <w:left w:val="single" w:sz="4" w:space="0" w:color="D8D1C5"/>
              <w:bottom w:val="single" w:sz="4" w:space="0" w:color="D8D1C5"/>
              <w:right w:val="single" w:sz="4" w:space="0" w:color="D8D1C5"/>
            </w:tcBorders>
          </w:tcPr>
          <w:p>
            <w:r>
              <w:rPr>
                <w:rFonts w:ascii="Liberation Sans" w:hAnsi="Liberation Sans" w:eastAsia="Liberation Sans"/>
                <w:b w:val="0"/>
                <w:color w:val="2E2A2C"/>
                <w:sz w:val="17"/>
              </w:rPr>
              <w:t>Apfelbeispiel</w:t>
            </w:r>
          </w:p>
        </w:tc>
        <w:tc>
          <w:tcPr>
            <w:tcW w:type="dxa" w:w="3389"/>
            <w:tcBorders>
              <w:top w:val="single" w:sz="4" w:space="0" w:color="D8D1C5"/>
              <w:left w:val="single" w:sz="4" w:space="0" w:color="D8D1C5"/>
              <w:bottom w:val="single" w:sz="4" w:space="0" w:color="D8D1C5"/>
              <w:right w:val="single" w:sz="4" w:space="0" w:color="D8D1C5"/>
            </w:tcBorders>
          </w:tcPr>
          <w:p>
            <w:r>
              <w:rPr>
                <w:rFonts w:ascii="Liberation Sans" w:hAnsi="Liberation Sans" w:eastAsia="Liberation Sans"/>
                <w:b w:val="0"/>
                <w:color w:val="2E2A2C"/>
                <w:sz w:val="17"/>
              </w:rPr>
              <w:t>Regionaler Bio-Apfel vs. Importapfel, NACE 01.24, SDGs, Scorecard, Steuerklasse.</w:t>
            </w:r>
          </w:p>
        </w:tc>
      </w:tr>
      <w:tr>
        <w:tc>
          <w:tcPr>
            <w:tcW w:type="dxa" w:w="3389"/>
            <w:tcBorders>
              <w:top w:val="single" w:sz="4" w:space="0" w:color="D8D1C5"/>
              <w:left w:val="single" w:sz="4" w:space="0" w:color="D8D1C5"/>
              <w:bottom w:val="single" w:sz="4" w:space="0" w:color="D8D1C5"/>
              <w:right w:val="single" w:sz="4" w:space="0" w:color="D8D1C5"/>
            </w:tcBorders>
            <w:shd w:fill="F6F1E8"/>
          </w:tcPr>
          <w:p>
            <w:r>
              <w:rPr>
                <w:rFonts w:ascii="Liberation Sans" w:hAnsi="Liberation Sans" w:eastAsia="Liberation Sans"/>
                <w:b/>
                <w:color w:val="2E2A2C"/>
                <w:sz w:val="17"/>
              </w:rPr>
              <w:t>8</w:t>
            </w:r>
          </w:p>
        </w:tc>
        <w:tc>
          <w:tcPr>
            <w:tcW w:type="dxa" w:w="3389"/>
            <w:tcBorders>
              <w:top w:val="single" w:sz="4" w:space="0" w:color="D8D1C5"/>
              <w:left w:val="single" w:sz="4" w:space="0" w:color="D8D1C5"/>
              <w:bottom w:val="single" w:sz="4" w:space="0" w:color="D8D1C5"/>
              <w:right w:val="single" w:sz="4" w:space="0" w:color="D8D1C5"/>
            </w:tcBorders>
          </w:tcPr>
          <w:p>
            <w:r>
              <w:rPr>
                <w:rFonts w:ascii="Liberation Sans" w:hAnsi="Liberation Sans" w:eastAsia="Liberation Sans"/>
                <w:b w:val="0"/>
                <w:color w:val="2E2A2C"/>
                <w:sz w:val="17"/>
              </w:rPr>
              <w:t>Lieferkettenwirkung</w:t>
            </w:r>
          </w:p>
        </w:tc>
        <w:tc>
          <w:tcPr>
            <w:tcW w:type="dxa" w:w="3389"/>
            <w:tcBorders>
              <w:top w:val="single" w:sz="4" w:space="0" w:color="D8D1C5"/>
              <w:left w:val="single" w:sz="4" w:space="0" w:color="D8D1C5"/>
              <w:bottom w:val="single" w:sz="4" w:space="0" w:color="D8D1C5"/>
              <w:right w:val="single" w:sz="4" w:space="0" w:color="D8D1C5"/>
            </w:tcBorders>
          </w:tcPr>
          <w:p>
            <w:r>
              <w:rPr>
                <w:rFonts w:ascii="Liberation Sans" w:hAnsi="Liberation Sans" w:eastAsia="Liberation Sans"/>
                <w:b w:val="0"/>
                <w:color w:val="2E2A2C"/>
                <w:sz w:val="17"/>
              </w:rPr>
              <w:t>Vorleistungen, Lieferanten-Scorecards, Vorsteuerfähigkeit, globale Wirkungsketten.</w:t>
            </w:r>
          </w:p>
        </w:tc>
      </w:tr>
      <w:tr>
        <w:tc>
          <w:tcPr>
            <w:tcW w:type="dxa" w:w="3389"/>
            <w:tcBorders>
              <w:top w:val="single" w:sz="4" w:space="0" w:color="D8D1C5"/>
              <w:left w:val="single" w:sz="4" w:space="0" w:color="D8D1C5"/>
              <w:bottom w:val="single" w:sz="4" w:space="0" w:color="D8D1C5"/>
              <w:right w:val="single" w:sz="4" w:space="0" w:color="D8D1C5"/>
            </w:tcBorders>
            <w:shd w:fill="F6F1E8"/>
          </w:tcPr>
          <w:p>
            <w:r>
              <w:rPr>
                <w:rFonts w:ascii="Liberation Sans" w:hAnsi="Liberation Sans" w:eastAsia="Liberation Sans"/>
                <w:b/>
                <w:color w:val="2E2A2C"/>
                <w:sz w:val="17"/>
              </w:rPr>
              <w:t>9</w:t>
            </w:r>
          </w:p>
        </w:tc>
        <w:tc>
          <w:tcPr>
            <w:tcW w:type="dxa" w:w="3389"/>
            <w:tcBorders>
              <w:top w:val="single" w:sz="4" w:space="0" w:color="D8D1C5"/>
              <w:left w:val="single" w:sz="4" w:space="0" w:color="D8D1C5"/>
              <w:bottom w:val="single" w:sz="4" w:space="0" w:color="D8D1C5"/>
              <w:right w:val="single" w:sz="4" w:space="0" w:color="D8D1C5"/>
            </w:tcBorders>
          </w:tcPr>
          <w:p>
            <w:r>
              <w:rPr>
                <w:rFonts w:ascii="Liberation Sans" w:hAnsi="Liberation Sans" w:eastAsia="Liberation Sans"/>
                <w:b w:val="0"/>
                <w:color w:val="2E2A2C"/>
                <w:sz w:val="17"/>
              </w:rPr>
              <w:t>Konzernbeispiel / BASF Polyamid</w:t>
            </w:r>
          </w:p>
        </w:tc>
        <w:tc>
          <w:tcPr>
            <w:tcW w:type="dxa" w:w="3389"/>
            <w:tcBorders>
              <w:top w:val="single" w:sz="4" w:space="0" w:color="D8D1C5"/>
              <w:left w:val="single" w:sz="4" w:space="0" w:color="D8D1C5"/>
              <w:bottom w:val="single" w:sz="4" w:space="0" w:color="D8D1C5"/>
              <w:right w:val="single" w:sz="4" w:space="0" w:color="D8D1C5"/>
            </w:tcBorders>
          </w:tcPr>
          <w:p>
            <w:r>
              <w:rPr>
                <w:rFonts w:ascii="Liberation Sans" w:hAnsi="Liberation Sans" w:eastAsia="Liberation Sans"/>
                <w:b w:val="0"/>
                <w:color w:val="2E2A2C"/>
                <w:sz w:val="17"/>
              </w:rPr>
              <w:t>CSRD/ESRS-Daten auf Produktgruppen, Anlagen und Benchmarks herunterbrechen.</w:t>
            </w:r>
          </w:p>
        </w:tc>
      </w:tr>
      <w:tr>
        <w:tc>
          <w:tcPr>
            <w:tcW w:type="dxa" w:w="3389"/>
            <w:tcBorders>
              <w:top w:val="single" w:sz="4" w:space="0" w:color="D8D1C5"/>
              <w:left w:val="single" w:sz="4" w:space="0" w:color="D8D1C5"/>
              <w:bottom w:val="single" w:sz="4" w:space="0" w:color="D8D1C5"/>
              <w:right w:val="single" w:sz="4" w:space="0" w:color="D8D1C5"/>
            </w:tcBorders>
            <w:shd w:fill="F6F1E8"/>
          </w:tcPr>
          <w:p>
            <w:r>
              <w:rPr>
                <w:rFonts w:ascii="Liberation Sans" w:hAnsi="Liberation Sans" w:eastAsia="Liberation Sans"/>
                <w:b/>
                <w:color w:val="2E2A2C"/>
                <w:sz w:val="17"/>
              </w:rPr>
              <w:t>10</w:t>
            </w:r>
          </w:p>
        </w:tc>
        <w:tc>
          <w:tcPr>
            <w:tcW w:type="dxa" w:w="3389"/>
            <w:tcBorders>
              <w:top w:val="single" w:sz="4" w:space="0" w:color="D8D1C5"/>
              <w:left w:val="single" w:sz="4" w:space="0" w:color="D8D1C5"/>
              <w:bottom w:val="single" w:sz="4" w:space="0" w:color="D8D1C5"/>
              <w:right w:val="single" w:sz="4" w:space="0" w:color="D8D1C5"/>
            </w:tcBorders>
          </w:tcPr>
          <w:p>
            <w:r>
              <w:rPr>
                <w:rFonts w:ascii="Liberation Sans" w:hAnsi="Liberation Sans" w:eastAsia="Liberation Sans"/>
                <w:b w:val="0"/>
                <w:color w:val="2E2A2C"/>
                <w:sz w:val="17"/>
              </w:rPr>
              <w:t>Verbraucherinformation und Wirkungspunkte</w:t>
            </w:r>
          </w:p>
        </w:tc>
        <w:tc>
          <w:tcPr>
            <w:tcW w:type="dxa" w:w="3389"/>
            <w:tcBorders>
              <w:top w:val="single" w:sz="4" w:space="0" w:color="D8D1C5"/>
              <w:left w:val="single" w:sz="4" w:space="0" w:color="D8D1C5"/>
              <w:bottom w:val="single" w:sz="4" w:space="0" w:color="D8D1C5"/>
              <w:right w:val="single" w:sz="4" w:space="0" w:color="D8D1C5"/>
            </w:tcBorders>
          </w:tcPr>
          <w:p>
            <w:r>
              <w:rPr>
                <w:rFonts w:ascii="Liberation Sans" w:hAnsi="Liberation Sans" w:eastAsia="Liberation Sans"/>
                <w:b w:val="0"/>
                <w:color w:val="2E2A2C"/>
                <w:sz w:val="17"/>
              </w:rPr>
              <w:t>Regaltransparenz, Label, Bonuslogik, Freiheit ohne moralische Überforderung.</w:t>
            </w:r>
          </w:p>
        </w:tc>
      </w:tr>
      <w:tr>
        <w:tc>
          <w:tcPr>
            <w:tcW w:type="dxa" w:w="3389"/>
            <w:tcBorders>
              <w:top w:val="single" w:sz="4" w:space="0" w:color="D8D1C5"/>
              <w:left w:val="single" w:sz="4" w:space="0" w:color="D8D1C5"/>
              <w:bottom w:val="single" w:sz="4" w:space="0" w:color="D8D1C5"/>
              <w:right w:val="single" w:sz="4" w:space="0" w:color="D8D1C5"/>
            </w:tcBorders>
            <w:shd w:fill="F6F1E8"/>
          </w:tcPr>
          <w:p>
            <w:r>
              <w:rPr>
                <w:rFonts w:ascii="Liberation Sans" w:hAnsi="Liberation Sans" w:eastAsia="Liberation Sans"/>
                <w:b/>
                <w:color w:val="2E2A2C"/>
                <w:sz w:val="17"/>
              </w:rPr>
              <w:t>11</w:t>
            </w:r>
          </w:p>
        </w:tc>
        <w:tc>
          <w:tcPr>
            <w:tcW w:type="dxa" w:w="3389"/>
            <w:tcBorders>
              <w:top w:val="single" w:sz="4" w:space="0" w:color="D8D1C5"/>
              <w:left w:val="single" w:sz="4" w:space="0" w:color="D8D1C5"/>
              <w:bottom w:val="single" w:sz="4" w:space="0" w:color="D8D1C5"/>
              <w:right w:val="single" w:sz="4" w:space="0" w:color="D8D1C5"/>
            </w:tcBorders>
          </w:tcPr>
          <w:p>
            <w:r>
              <w:rPr>
                <w:rFonts w:ascii="Liberation Sans" w:hAnsi="Liberation Sans" w:eastAsia="Liberation Sans"/>
                <w:b w:val="0"/>
                <w:color w:val="2E2A2C"/>
                <w:sz w:val="17"/>
              </w:rPr>
              <w:t>Politische Rahmenbedingungen</w:t>
            </w:r>
          </w:p>
        </w:tc>
        <w:tc>
          <w:tcPr>
            <w:tcW w:type="dxa" w:w="3389"/>
            <w:tcBorders>
              <w:top w:val="single" w:sz="4" w:space="0" w:color="D8D1C5"/>
              <w:left w:val="single" w:sz="4" w:space="0" w:color="D8D1C5"/>
              <w:bottom w:val="single" w:sz="4" w:space="0" w:color="D8D1C5"/>
              <w:right w:val="single" w:sz="4" w:space="0" w:color="D8D1C5"/>
            </w:tcBorders>
          </w:tcPr>
          <w:p>
            <w:r>
              <w:rPr>
                <w:rFonts w:ascii="Liberation Sans" w:hAnsi="Liberation Sans" w:eastAsia="Liberation Sans"/>
                <w:b w:val="0"/>
                <w:color w:val="2E2A2C"/>
                <w:sz w:val="17"/>
              </w:rPr>
              <w:t>WStG, WUStG, Wirkungsrat, Datenschutz, Prüfpflichten, Übergänge und sozialer Schutz.</w:t>
            </w:r>
          </w:p>
        </w:tc>
      </w:tr>
    </w:tbl>
    <w:p/>
    <w:p>
      <w:pPr>
        <w:pStyle w:val="Heading1"/>
      </w:pPr>
      <w:r>
        <w:t>Detailkonzepte</w:t>
      </w:r>
    </w:p>
    <w:p>
      <w:pPr>
        <w:pStyle w:val="Heading2"/>
      </w:pPr>
      <w:r>
        <w:t>Produktwirkung und Produktlebenszyklus</w:t>
      </w:r>
    </w:p>
    <w:p>
      <w:pPr>
        <w:spacing w:after="120" w:line="259" w:lineRule="auto"/>
      </w:pPr>
      <w:r>
        <w:rPr>
          <w:rFonts w:ascii="Liberation Sans" w:hAnsi="Liberation Sans" w:eastAsia="Liberation Sans"/>
          <w:color w:val="2E2A2C"/>
          <w:sz w:val="21"/>
        </w:rPr>
        <w:t>Dieses Detailkonzept vertieft den Unterbereich „Produktwirkung und Produktlebenszyklus“ innerhalb des Portals „Produkte &amp; Konsum / Wirkungsumsatzsteuer“. Rohstoffe, Herstellung, Nutzung, Ende, Produktdaten statt Produktimage, Produktverantwortung. Es ist als öffentliche Arbeitsfassung angelegt und bildet die fachliche Grundlage für Online-Volltext, Einzeldossier, Toolbezug und politische Anschlussfähigkeit.</w:t>
      </w:r>
    </w:p>
    <w:p>
      <w:pPr>
        <w:pStyle w:val="Heading3"/>
      </w:pPr>
      <w:r>
        <w:t>1. Ausgangslage und alte Logik</w:t>
      </w:r>
    </w:p>
    <w:p>
      <w:pPr>
        <w:spacing w:after="120" w:line="259" w:lineRule="auto"/>
      </w:pPr>
      <w:r>
        <w:rPr>
          <w:rFonts w:ascii="Liberation Sans" w:hAnsi="Liberation Sans" w:eastAsia="Liberation Sans"/>
          <w:color w:val="2E2A2C"/>
          <w:sz w:val="21"/>
        </w:rP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spacing w:after="120" w:line="259" w:lineRule="auto"/>
      </w:pPr>
      <w:r>
        <w:rPr>
          <w:rFonts w:ascii="Liberation Sans" w:hAnsi="Liberation Sans" w:eastAsia="Liberation Sans"/>
          <w:color w:val="2E2A2C"/>
          <w:sz w:val="21"/>
        </w:rPr>
        <w:t>Im Unterbereich „Produktwirkung und Produktlebenszyklus“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Heading3"/>
      </w:pPr>
      <w:r>
        <w:t>2. Wirkungsökonomischer Perspektivwechsel</w:t>
      </w:r>
    </w:p>
    <w:p>
      <w:pPr>
        <w:spacing w:after="120" w:line="259" w:lineRule="auto"/>
      </w:pPr>
      <w:r>
        <w:rPr>
          <w:rFonts w:ascii="Liberation Sans" w:hAnsi="Liberation Sans" w:eastAsia="Liberation Sans"/>
          <w:color w:val="2E2A2C"/>
          <w:sz w:val="21"/>
        </w:rP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spacing w:after="120" w:line="259" w:lineRule="auto"/>
      </w:pPr>
      <w:r>
        <w:rPr>
          <w:rFonts w:ascii="Liberation Sans" w:hAnsi="Liberation Sans" w:eastAsia="Liberation Sans"/>
          <w:color w:val="2E2A2C"/>
          <w:sz w:val="21"/>
        </w:rP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Heading3"/>
      </w:pPr>
      <w:r>
        <w:t>3. Systemarchitektur</w:t>
      </w:r>
    </w:p>
    <w:p>
      <w:pPr>
        <w:pStyle w:val="ListBullet"/>
        <w:spacing w:after="60"/>
      </w:pPr>
      <w:r>
        <w:rPr>
          <w:rFonts w:ascii="Liberation Sans" w:hAnsi="Liberation Sans" w:eastAsia="Liberation Sans"/>
          <w:color w:val="2E2A2C"/>
          <w:sz w:val="20"/>
        </w:rPr>
        <w:t>Akteure: Bürger:innen, Unternehmen, Verwaltung, Politik, Wissenschaft, Zivilgesellschaft und betroffene Gruppen.</w:t>
      </w:r>
    </w:p>
    <w:p>
      <w:pPr>
        <w:pStyle w:val="ListBullet"/>
        <w:spacing w:after="60"/>
      </w:pPr>
      <w:r>
        <w:rPr>
          <w:rFonts w:ascii="Liberation Sans" w:hAnsi="Liberation Sans" w:eastAsia="Liberation Sans"/>
          <w:color w:val="2E2A2C"/>
          <w:sz w:val="20"/>
        </w:rPr>
        <w:t>Wirkungsträger: Produkte, Regeln, Preise, Daten, Räume, Prozesse, Organisationen, Narrative oder Investitionen.</w:t>
      </w:r>
    </w:p>
    <w:p>
      <w:pPr>
        <w:pStyle w:val="ListBullet"/>
        <w:spacing w:after="60"/>
      </w:pPr>
      <w:r>
        <w:rPr>
          <w:rFonts w:ascii="Liberation Sans" w:hAnsi="Liberation Sans" w:eastAsia="Liberation Sans"/>
          <w:color w:val="2E2A2C"/>
          <w:sz w:val="20"/>
        </w:rPr>
        <w:t>Wirkungsempfänger: Menschen, Ökosysteme, demokratische Institutionen, künftige Generationen und lokale Gemeinschaften.</w:t>
      </w:r>
    </w:p>
    <w:p>
      <w:pPr>
        <w:pStyle w:val="ListBullet"/>
        <w:spacing w:after="60"/>
      </w:pPr>
      <w:r>
        <w:rPr>
          <w:rFonts w:ascii="Liberation Sans" w:hAnsi="Liberation Sans" w:eastAsia="Liberation Sans"/>
          <w:color w:val="2E2A2C"/>
          <w:sz w:val="20"/>
        </w:rPr>
        <w:t>Rückkopplungen: Steuern, Preise, Budgets, Förderlogiken, Beschaffung, Veröffentlichung, Rechtsschutz und öffentliche Debatte.</w:t>
      </w:r>
    </w:p>
    <w:p>
      <w:pPr>
        <w:pStyle w:val="ListBullet"/>
        <w:spacing w:after="60"/>
      </w:pPr>
      <w:r>
        <w:rPr>
          <w:rFonts w:ascii="Liberation Sans" w:hAnsi="Liberation Sans" w:eastAsia="Liberation Sans"/>
          <w:color w:val="2E2A2C"/>
          <w:sz w:val="20"/>
        </w:rPr>
        <w:t>Schutzmechanismen: Transparenz, Datenqualität, Nicht-Kompensation, Verhältnismäßigkeit, Rechtsschutz und demokratische Kontrolle.</w:t>
      </w:r>
    </w:p>
    <w:p>
      <w:pPr>
        <w:pStyle w:val="Heading3"/>
      </w:pPr>
      <w:r>
        <w:t>4. Mess-, Daten- und Bewertungslogik</w:t>
      </w:r>
    </w:p>
    <w:p>
      <w:pPr>
        <w:spacing w:after="120" w:line="259" w:lineRule="auto"/>
      </w:pPr>
      <w:r>
        <w:rPr>
          <w:rFonts w:ascii="Liberation Sans" w:hAnsi="Liberation Sans" w:eastAsia="Liberation Sans"/>
          <w:color w:val="2E2A2C"/>
          <w:sz w:val="21"/>
        </w:rP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spacing w:after="120" w:line="259" w:lineRule="auto"/>
      </w:pPr>
      <w:r>
        <w:rPr>
          <w:rFonts w:ascii="Liberation Sans" w:hAnsi="Liberation Sans" w:eastAsia="Liberation Sans"/>
          <w:color w:val="2E2A2C"/>
          <w:sz w:val="21"/>
        </w:rP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Heading3"/>
      </w:pPr>
      <w:r>
        <w:t>5. Politische Anschlussfähigkeit</w:t>
      </w:r>
    </w:p>
    <w:p>
      <w:pPr>
        <w:spacing w:after="120" w:line="259" w:lineRule="auto"/>
      </w:pPr>
      <w:r>
        <w:rPr>
          <w:rFonts w:ascii="Liberation Sans" w:hAnsi="Liberation Sans" w:eastAsia="Liberation Sans"/>
          <w:color w:val="2E2A2C"/>
          <w:sz w:val="21"/>
        </w:rP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pStyle w:val="ListBullet"/>
        <w:spacing w:after="60"/>
      </w:pPr>
      <w:r>
        <w:rPr>
          <w:rFonts w:ascii="Liberation Sans" w:hAnsi="Liberation Sans" w:eastAsia="Liberation Sans"/>
          <w:color w:val="2E2A2C"/>
          <w:sz w:val="20"/>
        </w:rPr>
        <w:t>Mindestaufgabe: Wirkungen sichtbar und vergleichbar machen, ohne Grundrechte oder Pluralität einzuschränken.</w:t>
      </w:r>
    </w:p>
    <w:p>
      <w:pPr>
        <w:pStyle w:val="ListBullet"/>
        <w:spacing w:after="60"/>
      </w:pPr>
      <w:r>
        <w:rPr>
          <w:rFonts w:ascii="Liberation Sans" w:hAnsi="Liberation Sans" w:eastAsia="Liberation Sans"/>
          <w:color w:val="2E2A2C"/>
          <w:sz w:val="20"/>
        </w:rPr>
        <w:t>Ausgestaltungsoption Markt: Preise, Steuern, Förderungen und Beschaffung nach Wirkung ausrichten.</w:t>
      </w:r>
    </w:p>
    <w:p>
      <w:pPr>
        <w:pStyle w:val="ListBullet"/>
        <w:spacing w:after="60"/>
      </w:pPr>
      <w:r>
        <w:rPr>
          <w:rFonts w:ascii="Liberation Sans" w:hAnsi="Liberation Sans" w:eastAsia="Liberation Sans"/>
          <w:color w:val="2E2A2C"/>
          <w:sz w:val="20"/>
        </w:rPr>
        <w:t>Ausgestaltungsoption Staat: öffentliche Infrastruktur, Regulierung, Standards, Rechtsschutz und Evaluation stärken.</w:t>
      </w:r>
    </w:p>
    <w:p>
      <w:pPr>
        <w:pStyle w:val="ListBullet"/>
        <w:spacing w:after="60"/>
      </w:pPr>
      <w:r>
        <w:rPr>
          <w:rFonts w:ascii="Liberation Sans" w:hAnsi="Liberation Sans" w:eastAsia="Liberation Sans"/>
          <w:color w:val="2E2A2C"/>
          <w:sz w:val="20"/>
        </w:rPr>
        <w:t>Ausgestaltungsoption Kommune: lokale Piloträume, Beteiligung, Wirkungsbudgets und sozialräumliche Indikatoren nutzen.</w:t>
      </w:r>
    </w:p>
    <w:p>
      <w:pPr>
        <w:pStyle w:val="ListBullet"/>
        <w:spacing w:after="60"/>
      </w:pPr>
      <w:r>
        <w:rPr>
          <w:rFonts w:ascii="Liberation Sans" w:hAnsi="Liberation Sans" w:eastAsia="Liberation Sans"/>
          <w:color w:val="2E2A2C"/>
          <w:sz w:val="20"/>
        </w:rPr>
        <w:t>Ausgestaltungsoption sozial: Übergänge abfedern, Kaufkraftschutz, Teilhabe und Nicht-Diskriminierung sichern.</w:t>
      </w:r>
    </w:p>
    <w:p>
      <w:pPr>
        <w:pStyle w:val="ListBullet"/>
        <w:spacing w:after="60"/>
      </w:pPr>
      <w:r>
        <w:rPr>
          <w:rFonts w:ascii="Liberation Sans" w:hAnsi="Liberation Sans" w:eastAsia="Liberation Sans"/>
          <w:color w:val="2E2A2C"/>
          <w:sz w:val="20"/>
        </w:rPr>
        <w:t>Demokratische Offenheit: Parteien können unterschiedliche Gewichtungen, Zeithorizonte und Instrumente wählen, solange Wirkungsdaten transparent bleiben.</w:t>
      </w:r>
    </w:p>
    <w:p>
      <w:pPr>
        <w:pStyle w:val="Heading3"/>
      </w:pPr>
      <w:r>
        <w:t>6. Risiken, Nebenwirkungen und Schutz</w:t>
      </w:r>
    </w:p>
    <w:p>
      <w:pPr>
        <w:spacing w:after="120" w:line="259" w:lineRule="auto"/>
      </w:pPr>
      <w:r>
        <w:rPr>
          <w:rFonts w:ascii="Liberation Sans" w:hAnsi="Liberation Sans" w:eastAsia="Liberation Sans"/>
          <w:color w:val="2E2A2C"/>
          <w:sz w:val="21"/>
        </w:rP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pStyle w:val="ListBullet"/>
        <w:spacing w:after="60"/>
      </w:pPr>
      <w:r>
        <w:rPr>
          <w:rFonts w:ascii="Liberation Sans" w:hAnsi="Liberation Sans" w:eastAsia="Liberation Sans"/>
          <w:color w:val="2E2A2C"/>
          <w:sz w:val="20"/>
        </w:rPr>
        <w:t>Keine Personenbewertung und kein Social-Credit-System.</w:t>
      </w:r>
    </w:p>
    <w:p>
      <w:pPr>
        <w:pStyle w:val="ListBullet"/>
        <w:spacing w:after="60"/>
      </w:pPr>
      <w:r>
        <w:rPr>
          <w:rFonts w:ascii="Liberation Sans" w:hAnsi="Liberation Sans" w:eastAsia="Liberation Sans"/>
          <w:color w:val="2E2A2C"/>
          <w:sz w:val="20"/>
        </w:rPr>
        <w:t>Öffentliche Begründungspflicht für Bewertungskriterien.</w:t>
      </w:r>
    </w:p>
    <w:p>
      <w:pPr>
        <w:pStyle w:val="ListBullet"/>
        <w:spacing w:after="60"/>
      </w:pPr>
      <w:r>
        <w:rPr>
          <w:rFonts w:ascii="Liberation Sans" w:hAnsi="Liberation Sans" w:eastAsia="Liberation Sans"/>
          <w:color w:val="2E2A2C"/>
          <w:sz w:val="20"/>
        </w:rPr>
        <w:t>Einspruchs- und Korrekturverfahren.</w:t>
      </w:r>
    </w:p>
    <w:p>
      <w:pPr>
        <w:pStyle w:val="ListBullet"/>
        <w:spacing w:after="60"/>
      </w:pPr>
      <w:r>
        <w:rPr>
          <w:rFonts w:ascii="Liberation Sans" w:hAnsi="Liberation Sans" w:eastAsia="Liberation Sans"/>
          <w:color w:val="2E2A2C"/>
          <w:sz w:val="20"/>
        </w:rPr>
        <w:t>Verhältnismäßigkeit für kleine Akteure und Übergangsfristen.</w:t>
      </w:r>
    </w:p>
    <w:p>
      <w:pPr>
        <w:pStyle w:val="ListBullet"/>
        <w:spacing w:after="60"/>
      </w:pPr>
      <w:r>
        <w:rPr>
          <w:rFonts w:ascii="Liberation Sans" w:hAnsi="Liberation Sans" w:eastAsia="Liberation Sans"/>
          <w:color w:val="2E2A2C"/>
          <w:sz w:val="20"/>
        </w:rPr>
        <w:t>Unabhängige Evaluation durch geeignete Institutionen.</w:t>
      </w:r>
    </w:p>
    <w:p>
      <w:pPr>
        <w:pStyle w:val="ListBullet"/>
        <w:spacing w:after="60"/>
      </w:pPr>
      <w:r>
        <w:rPr>
          <w:rFonts w:ascii="Liberation Sans" w:hAnsi="Liberation Sans" w:eastAsia="Liberation Sans"/>
          <w:color w:val="2E2A2C"/>
          <w:sz w:val="20"/>
        </w:rPr>
        <w:t>Regelmäßige Überprüfung der Indikatoren und Benchmarks.</w:t>
      </w:r>
    </w:p>
    <w:p>
      <w:pPr>
        <w:pStyle w:val="Heading3"/>
      </w:pPr>
      <w:r>
        <w:t>7. Umsetzung und Pilotierung</w:t>
      </w:r>
    </w:p>
    <w:p>
      <w:pPr>
        <w:spacing w:after="120" w:line="259" w:lineRule="auto"/>
      </w:pPr>
      <w:r>
        <w:rPr>
          <w:rFonts w:ascii="Liberation Sans" w:hAnsi="Liberation Sans" w:eastAsia="Liberation Sans"/>
          <w:color w:val="2E2A2C"/>
          <w:sz w:val="21"/>
        </w:rP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Heading3"/>
      </w:pPr>
      <w:r>
        <w:t>8. Online-, Dossier- und Toolbezug</w:t>
      </w:r>
    </w:p>
    <w:p>
      <w:pPr>
        <w:spacing w:after="120" w:line="259" w:lineRule="auto"/>
      </w:pPr>
      <w:r>
        <w:rPr>
          <w:rFonts w:ascii="Liberation Sans" w:hAnsi="Liberation Sans" w:eastAsia="Liberation Sans"/>
          <w:color w:val="2E2A2C"/>
          <w:sz w:val="21"/>
        </w:rP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tbl>
      <w:tblPr>
        <w:tblW w:type="auto" w:w="0"/>
        <w:tblLook w:firstColumn="1" w:firstRow="1" w:lastColumn="0" w:lastRow="0" w:noHBand="0" w:noVBand="1" w:val="04A0"/>
      </w:tblPr>
      <w:tblGrid>
        <w:gridCol w:w="10166"/>
      </w:tblGrid>
      <w:tr>
        <w:tc>
          <w:tcPr>
            <w:tcW w:type="dxa" w:w="10166"/>
            <w:shd w:fill="F7F4ED"/>
            <w:tcBorders>
              <w:top w:val="single" w:sz="8" w:space="0" w:color="2B7D5C"/>
              <w:left w:val="single" w:sz="8" w:space="0" w:color="2B7D5C"/>
              <w:bottom w:val="single" w:sz="8" w:space="0" w:color="2B7D5C"/>
              <w:right w:val="single" w:sz="8" w:space="0" w:color="2B7D5C"/>
            </w:tcBorders>
          </w:tcPr>
          <w:p>
            <w:r>
              <w:rPr>
                <w:rFonts w:ascii="Liberation Sans" w:hAnsi="Liberation Sans" w:eastAsia="Liberation Sans"/>
                <w:b/>
                <w:color w:val="2B7D5C"/>
                <w:sz w:val="20"/>
              </w:rPr>
              <w:t>Kernformel</w:t>
              <w:br/>
            </w:r>
            <w:r>
              <w:rPr>
                <w:rFonts w:ascii="Liberation Sans" w:hAnsi="Liberation Sans" w:eastAsia="Liberation Sans"/>
                <w:color w:val="2E2A2C"/>
                <w:sz w:val="20"/>
              </w:rPr>
              <w:t>Produktwirkung und Produktlebenszyklus: Nicht die Aktivität allein zählt, sondern ihre positive Netto-Wirkung, ihre Risiken und ihre demokratisch überprüfbare Rückkopplung.</w:t>
            </w:r>
          </w:p>
        </w:tc>
      </w:tr>
    </w:tbl>
    <w:p/>
    <w:p>
      <w:pPr>
        <w:pStyle w:val="Heading2"/>
      </w:pPr>
      <w:r>
        <w:t>Produktbesteuerung durch Wirkung</w:t>
      </w:r>
    </w:p>
    <w:p>
      <w:pPr>
        <w:spacing w:after="120" w:line="259" w:lineRule="auto"/>
      </w:pPr>
      <w:r>
        <w:rPr>
          <w:rFonts w:ascii="Liberation Sans" w:hAnsi="Liberation Sans" w:eastAsia="Liberation Sans"/>
          <w:color w:val="2E2A2C"/>
          <w:sz w:val="21"/>
        </w:rPr>
        <w:t>Dieses Detailkonzept vertieft den Unterbereich „Produktbesteuerung durch Wirkung“ innerhalb des Portals „Produkte &amp; Konsum / Wirkungsumsatzsteuer“. FinalScore, Steuerklasse, Preisumkehr, Sozial- und Kaufkraftschutz, Übergang. Es ist als öffentliche Arbeitsfassung angelegt und bildet die fachliche Grundlage für Online-Volltext, Einzeldossier, Toolbezug und politische Anschlussfähigkeit.</w:t>
      </w:r>
    </w:p>
    <w:p>
      <w:pPr>
        <w:pStyle w:val="Heading3"/>
      </w:pPr>
      <w:r>
        <w:t>1. Ausgangslage und alte Logik</w:t>
      </w:r>
    </w:p>
    <w:p>
      <w:pPr>
        <w:spacing w:after="120" w:line="259" w:lineRule="auto"/>
      </w:pPr>
      <w:r>
        <w:rPr>
          <w:rFonts w:ascii="Liberation Sans" w:hAnsi="Liberation Sans" w:eastAsia="Liberation Sans"/>
          <w:color w:val="2E2A2C"/>
          <w:sz w:val="21"/>
        </w:rP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spacing w:after="120" w:line="259" w:lineRule="auto"/>
      </w:pPr>
      <w:r>
        <w:rPr>
          <w:rFonts w:ascii="Liberation Sans" w:hAnsi="Liberation Sans" w:eastAsia="Liberation Sans"/>
          <w:color w:val="2E2A2C"/>
          <w:sz w:val="21"/>
        </w:rPr>
        <w:t>Im Unterbereich „Produktbesteuerung durch Wirkung“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Heading3"/>
      </w:pPr>
      <w:r>
        <w:t>2. Wirkungsökonomischer Perspektivwechsel</w:t>
      </w:r>
    </w:p>
    <w:p>
      <w:pPr>
        <w:spacing w:after="120" w:line="259" w:lineRule="auto"/>
      </w:pPr>
      <w:r>
        <w:rPr>
          <w:rFonts w:ascii="Liberation Sans" w:hAnsi="Liberation Sans" w:eastAsia="Liberation Sans"/>
          <w:color w:val="2E2A2C"/>
          <w:sz w:val="21"/>
        </w:rP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spacing w:after="120" w:line="259" w:lineRule="auto"/>
      </w:pPr>
      <w:r>
        <w:rPr>
          <w:rFonts w:ascii="Liberation Sans" w:hAnsi="Liberation Sans" w:eastAsia="Liberation Sans"/>
          <w:color w:val="2E2A2C"/>
          <w:sz w:val="21"/>
        </w:rP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Heading3"/>
      </w:pPr>
      <w:r>
        <w:t>3. Systemarchitektur</w:t>
      </w:r>
    </w:p>
    <w:p>
      <w:pPr>
        <w:pStyle w:val="ListBullet"/>
        <w:spacing w:after="60"/>
      </w:pPr>
      <w:r>
        <w:rPr>
          <w:rFonts w:ascii="Liberation Sans" w:hAnsi="Liberation Sans" w:eastAsia="Liberation Sans"/>
          <w:color w:val="2E2A2C"/>
          <w:sz w:val="20"/>
        </w:rPr>
        <w:t>Akteure: Bürger:innen, Unternehmen, Verwaltung, Politik, Wissenschaft, Zivilgesellschaft und betroffene Gruppen.</w:t>
      </w:r>
    </w:p>
    <w:p>
      <w:pPr>
        <w:pStyle w:val="ListBullet"/>
        <w:spacing w:after="60"/>
      </w:pPr>
      <w:r>
        <w:rPr>
          <w:rFonts w:ascii="Liberation Sans" w:hAnsi="Liberation Sans" w:eastAsia="Liberation Sans"/>
          <w:color w:val="2E2A2C"/>
          <w:sz w:val="20"/>
        </w:rPr>
        <w:t>Wirkungsträger: Produkte, Regeln, Preise, Daten, Räume, Prozesse, Organisationen, Narrative oder Investitionen.</w:t>
      </w:r>
    </w:p>
    <w:p>
      <w:pPr>
        <w:pStyle w:val="ListBullet"/>
        <w:spacing w:after="60"/>
      </w:pPr>
      <w:r>
        <w:rPr>
          <w:rFonts w:ascii="Liberation Sans" w:hAnsi="Liberation Sans" w:eastAsia="Liberation Sans"/>
          <w:color w:val="2E2A2C"/>
          <w:sz w:val="20"/>
        </w:rPr>
        <w:t>Wirkungsempfänger: Menschen, Ökosysteme, demokratische Institutionen, künftige Generationen und lokale Gemeinschaften.</w:t>
      </w:r>
    </w:p>
    <w:p>
      <w:pPr>
        <w:pStyle w:val="ListBullet"/>
        <w:spacing w:after="60"/>
      </w:pPr>
      <w:r>
        <w:rPr>
          <w:rFonts w:ascii="Liberation Sans" w:hAnsi="Liberation Sans" w:eastAsia="Liberation Sans"/>
          <w:color w:val="2E2A2C"/>
          <w:sz w:val="20"/>
        </w:rPr>
        <w:t>Rückkopplungen: Steuern, Preise, Budgets, Förderlogiken, Beschaffung, Veröffentlichung, Rechtsschutz und öffentliche Debatte.</w:t>
      </w:r>
    </w:p>
    <w:p>
      <w:pPr>
        <w:pStyle w:val="ListBullet"/>
        <w:spacing w:after="60"/>
      </w:pPr>
      <w:r>
        <w:rPr>
          <w:rFonts w:ascii="Liberation Sans" w:hAnsi="Liberation Sans" w:eastAsia="Liberation Sans"/>
          <w:color w:val="2E2A2C"/>
          <w:sz w:val="20"/>
        </w:rPr>
        <w:t>Schutzmechanismen: Transparenz, Datenqualität, Nicht-Kompensation, Verhältnismäßigkeit, Rechtsschutz und demokratische Kontrolle.</w:t>
      </w:r>
    </w:p>
    <w:p>
      <w:pPr>
        <w:pStyle w:val="Heading3"/>
      </w:pPr>
      <w:r>
        <w:t>4. Mess-, Daten- und Bewertungslogik</w:t>
      </w:r>
    </w:p>
    <w:p>
      <w:pPr>
        <w:spacing w:after="120" w:line="259" w:lineRule="auto"/>
      </w:pPr>
      <w:r>
        <w:rPr>
          <w:rFonts w:ascii="Liberation Sans" w:hAnsi="Liberation Sans" w:eastAsia="Liberation Sans"/>
          <w:color w:val="2E2A2C"/>
          <w:sz w:val="21"/>
        </w:rP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spacing w:after="120" w:line="259" w:lineRule="auto"/>
      </w:pPr>
      <w:r>
        <w:rPr>
          <w:rFonts w:ascii="Liberation Sans" w:hAnsi="Liberation Sans" w:eastAsia="Liberation Sans"/>
          <w:color w:val="2E2A2C"/>
          <w:sz w:val="21"/>
        </w:rP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Heading3"/>
      </w:pPr>
      <w:r>
        <w:t>5. Politische Anschlussfähigkeit</w:t>
      </w:r>
    </w:p>
    <w:p>
      <w:pPr>
        <w:spacing w:after="120" w:line="259" w:lineRule="auto"/>
      </w:pPr>
      <w:r>
        <w:rPr>
          <w:rFonts w:ascii="Liberation Sans" w:hAnsi="Liberation Sans" w:eastAsia="Liberation Sans"/>
          <w:color w:val="2E2A2C"/>
          <w:sz w:val="21"/>
        </w:rP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pStyle w:val="ListBullet"/>
        <w:spacing w:after="60"/>
      </w:pPr>
      <w:r>
        <w:rPr>
          <w:rFonts w:ascii="Liberation Sans" w:hAnsi="Liberation Sans" w:eastAsia="Liberation Sans"/>
          <w:color w:val="2E2A2C"/>
          <w:sz w:val="20"/>
        </w:rPr>
        <w:t>Mindestaufgabe: Wirkungen sichtbar und vergleichbar machen, ohne Grundrechte oder Pluralität einzuschränken.</w:t>
      </w:r>
    </w:p>
    <w:p>
      <w:pPr>
        <w:pStyle w:val="ListBullet"/>
        <w:spacing w:after="60"/>
      </w:pPr>
      <w:r>
        <w:rPr>
          <w:rFonts w:ascii="Liberation Sans" w:hAnsi="Liberation Sans" w:eastAsia="Liberation Sans"/>
          <w:color w:val="2E2A2C"/>
          <w:sz w:val="20"/>
        </w:rPr>
        <w:t>Ausgestaltungsoption Markt: Preise, Steuern, Förderungen und Beschaffung nach Wirkung ausrichten.</w:t>
      </w:r>
    </w:p>
    <w:p>
      <w:pPr>
        <w:pStyle w:val="ListBullet"/>
        <w:spacing w:after="60"/>
      </w:pPr>
      <w:r>
        <w:rPr>
          <w:rFonts w:ascii="Liberation Sans" w:hAnsi="Liberation Sans" w:eastAsia="Liberation Sans"/>
          <w:color w:val="2E2A2C"/>
          <w:sz w:val="20"/>
        </w:rPr>
        <w:t>Ausgestaltungsoption Staat: öffentliche Infrastruktur, Regulierung, Standards, Rechtsschutz und Evaluation stärken.</w:t>
      </w:r>
    </w:p>
    <w:p>
      <w:pPr>
        <w:pStyle w:val="ListBullet"/>
        <w:spacing w:after="60"/>
      </w:pPr>
      <w:r>
        <w:rPr>
          <w:rFonts w:ascii="Liberation Sans" w:hAnsi="Liberation Sans" w:eastAsia="Liberation Sans"/>
          <w:color w:val="2E2A2C"/>
          <w:sz w:val="20"/>
        </w:rPr>
        <w:t>Ausgestaltungsoption Kommune: lokale Piloträume, Beteiligung, Wirkungsbudgets und sozialräumliche Indikatoren nutzen.</w:t>
      </w:r>
    </w:p>
    <w:p>
      <w:pPr>
        <w:pStyle w:val="ListBullet"/>
        <w:spacing w:after="60"/>
      </w:pPr>
      <w:r>
        <w:rPr>
          <w:rFonts w:ascii="Liberation Sans" w:hAnsi="Liberation Sans" w:eastAsia="Liberation Sans"/>
          <w:color w:val="2E2A2C"/>
          <w:sz w:val="20"/>
        </w:rPr>
        <w:t>Ausgestaltungsoption sozial: Übergänge abfedern, Kaufkraftschutz, Teilhabe und Nicht-Diskriminierung sichern.</w:t>
      </w:r>
    </w:p>
    <w:p>
      <w:pPr>
        <w:pStyle w:val="ListBullet"/>
        <w:spacing w:after="60"/>
      </w:pPr>
      <w:r>
        <w:rPr>
          <w:rFonts w:ascii="Liberation Sans" w:hAnsi="Liberation Sans" w:eastAsia="Liberation Sans"/>
          <w:color w:val="2E2A2C"/>
          <w:sz w:val="20"/>
        </w:rPr>
        <w:t>Demokratische Offenheit: Parteien können unterschiedliche Gewichtungen, Zeithorizonte und Instrumente wählen, solange Wirkungsdaten transparent bleiben.</w:t>
      </w:r>
    </w:p>
    <w:p>
      <w:pPr>
        <w:pStyle w:val="Heading3"/>
      </w:pPr>
      <w:r>
        <w:t>6. Risiken, Nebenwirkungen und Schutz</w:t>
      </w:r>
    </w:p>
    <w:p>
      <w:pPr>
        <w:spacing w:after="120" w:line="259" w:lineRule="auto"/>
      </w:pPr>
      <w:r>
        <w:rPr>
          <w:rFonts w:ascii="Liberation Sans" w:hAnsi="Liberation Sans" w:eastAsia="Liberation Sans"/>
          <w:color w:val="2E2A2C"/>
          <w:sz w:val="21"/>
        </w:rP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pStyle w:val="ListBullet"/>
        <w:spacing w:after="60"/>
      </w:pPr>
      <w:r>
        <w:rPr>
          <w:rFonts w:ascii="Liberation Sans" w:hAnsi="Liberation Sans" w:eastAsia="Liberation Sans"/>
          <w:color w:val="2E2A2C"/>
          <w:sz w:val="20"/>
        </w:rPr>
        <w:t>Keine Personenbewertung und kein Social-Credit-System.</w:t>
      </w:r>
    </w:p>
    <w:p>
      <w:pPr>
        <w:pStyle w:val="ListBullet"/>
        <w:spacing w:after="60"/>
      </w:pPr>
      <w:r>
        <w:rPr>
          <w:rFonts w:ascii="Liberation Sans" w:hAnsi="Liberation Sans" w:eastAsia="Liberation Sans"/>
          <w:color w:val="2E2A2C"/>
          <w:sz w:val="20"/>
        </w:rPr>
        <w:t>Öffentliche Begründungspflicht für Bewertungskriterien.</w:t>
      </w:r>
    </w:p>
    <w:p>
      <w:pPr>
        <w:pStyle w:val="ListBullet"/>
        <w:spacing w:after="60"/>
      </w:pPr>
      <w:r>
        <w:rPr>
          <w:rFonts w:ascii="Liberation Sans" w:hAnsi="Liberation Sans" w:eastAsia="Liberation Sans"/>
          <w:color w:val="2E2A2C"/>
          <w:sz w:val="20"/>
        </w:rPr>
        <w:t>Einspruchs- und Korrekturverfahren.</w:t>
      </w:r>
    </w:p>
    <w:p>
      <w:pPr>
        <w:pStyle w:val="ListBullet"/>
        <w:spacing w:after="60"/>
      </w:pPr>
      <w:r>
        <w:rPr>
          <w:rFonts w:ascii="Liberation Sans" w:hAnsi="Liberation Sans" w:eastAsia="Liberation Sans"/>
          <w:color w:val="2E2A2C"/>
          <w:sz w:val="20"/>
        </w:rPr>
        <w:t>Verhältnismäßigkeit für kleine Akteure und Übergangsfristen.</w:t>
      </w:r>
    </w:p>
    <w:p>
      <w:pPr>
        <w:pStyle w:val="ListBullet"/>
        <w:spacing w:after="60"/>
      </w:pPr>
      <w:r>
        <w:rPr>
          <w:rFonts w:ascii="Liberation Sans" w:hAnsi="Liberation Sans" w:eastAsia="Liberation Sans"/>
          <w:color w:val="2E2A2C"/>
          <w:sz w:val="20"/>
        </w:rPr>
        <w:t>Unabhängige Evaluation durch geeignete Institutionen.</w:t>
      </w:r>
    </w:p>
    <w:p>
      <w:pPr>
        <w:pStyle w:val="ListBullet"/>
        <w:spacing w:after="60"/>
      </w:pPr>
      <w:r>
        <w:rPr>
          <w:rFonts w:ascii="Liberation Sans" w:hAnsi="Liberation Sans" w:eastAsia="Liberation Sans"/>
          <w:color w:val="2E2A2C"/>
          <w:sz w:val="20"/>
        </w:rPr>
        <w:t>Regelmäßige Überprüfung der Indikatoren und Benchmarks.</w:t>
      </w:r>
    </w:p>
    <w:p>
      <w:pPr>
        <w:pStyle w:val="Heading3"/>
      </w:pPr>
      <w:r>
        <w:t>7. Umsetzung und Pilotierung</w:t>
      </w:r>
    </w:p>
    <w:p>
      <w:pPr>
        <w:spacing w:after="120" w:line="259" w:lineRule="auto"/>
      </w:pPr>
      <w:r>
        <w:rPr>
          <w:rFonts w:ascii="Liberation Sans" w:hAnsi="Liberation Sans" w:eastAsia="Liberation Sans"/>
          <w:color w:val="2E2A2C"/>
          <w:sz w:val="21"/>
        </w:rP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Heading3"/>
      </w:pPr>
      <w:r>
        <w:t>8. Online-, Dossier- und Toolbezug</w:t>
      </w:r>
    </w:p>
    <w:p>
      <w:pPr>
        <w:spacing w:after="120" w:line="259" w:lineRule="auto"/>
      </w:pPr>
      <w:r>
        <w:rPr>
          <w:rFonts w:ascii="Liberation Sans" w:hAnsi="Liberation Sans" w:eastAsia="Liberation Sans"/>
          <w:color w:val="2E2A2C"/>
          <w:sz w:val="21"/>
        </w:rP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tbl>
      <w:tblPr>
        <w:tblW w:type="auto" w:w="0"/>
        <w:tblLook w:firstColumn="1" w:firstRow="1" w:lastColumn="0" w:lastRow="0" w:noHBand="0" w:noVBand="1" w:val="04A0"/>
      </w:tblPr>
      <w:tblGrid>
        <w:gridCol w:w="10166"/>
      </w:tblGrid>
      <w:tr>
        <w:tc>
          <w:tcPr>
            <w:tcW w:type="dxa" w:w="10166"/>
            <w:shd w:fill="F7F4ED"/>
            <w:tcBorders>
              <w:top w:val="single" w:sz="8" w:space="0" w:color="2B7D5C"/>
              <w:left w:val="single" w:sz="8" w:space="0" w:color="2B7D5C"/>
              <w:bottom w:val="single" w:sz="8" w:space="0" w:color="2B7D5C"/>
              <w:right w:val="single" w:sz="8" w:space="0" w:color="2B7D5C"/>
            </w:tcBorders>
          </w:tcPr>
          <w:p>
            <w:r>
              <w:rPr>
                <w:rFonts w:ascii="Liberation Sans" w:hAnsi="Liberation Sans" w:eastAsia="Liberation Sans"/>
                <w:b/>
                <w:color w:val="2B7D5C"/>
                <w:sz w:val="20"/>
              </w:rPr>
              <w:t>Kernformel</w:t>
              <w:br/>
            </w:r>
            <w:r>
              <w:rPr>
                <w:rFonts w:ascii="Liberation Sans" w:hAnsi="Liberation Sans" w:eastAsia="Liberation Sans"/>
                <w:color w:val="2E2A2C"/>
                <w:sz w:val="20"/>
              </w:rPr>
              <w:t>Produktbesteuerung durch Wirkung: Nicht die Aktivität allein zählt, sondern ihre positive Netto-Wirkung, ihre Risiken und ihre demokratisch überprüfbare Rückkopplung.</w:t>
            </w:r>
          </w:p>
        </w:tc>
      </w:tr>
    </w:tbl>
    <w:p/>
    <w:p>
      <w:pPr>
        <w:pStyle w:val="Heading2"/>
      </w:pPr>
      <w:r>
        <w:t>Wirkungsumsatzsteuer / Produktwirkungssteuer</w:t>
      </w:r>
    </w:p>
    <w:p>
      <w:pPr>
        <w:spacing w:after="120" w:line="259" w:lineRule="auto"/>
      </w:pPr>
      <w:r>
        <w:rPr>
          <w:rFonts w:ascii="Liberation Sans" w:hAnsi="Liberation Sans" w:eastAsia="Liberation Sans"/>
          <w:color w:val="2E2A2C"/>
          <w:sz w:val="21"/>
        </w:rPr>
        <w:t>Dieses Detailkonzept vertieft den Unterbereich „Wirkungsumsatzsteuer / Produktwirkungssteuer“ innerhalb des Portals „Produkte &amp; Konsum / Wirkungsumsatzsteuer“. Umsatzsteuerlogik als Rückkopplungsarchitektur, Vorsteuer, Bonus-Malus, WUStG-Anschluss. Es ist als öffentliche Arbeitsfassung angelegt und bildet die fachliche Grundlage für Online-Volltext, Einzeldossier, Toolbezug und politische Anschlussfähigkeit.</w:t>
      </w:r>
    </w:p>
    <w:p>
      <w:pPr>
        <w:pStyle w:val="Heading3"/>
      </w:pPr>
      <w:r>
        <w:t>1. Ausgangslage und alte Logik</w:t>
      </w:r>
    </w:p>
    <w:p>
      <w:pPr>
        <w:spacing w:after="120" w:line="259" w:lineRule="auto"/>
      </w:pPr>
      <w:r>
        <w:rPr>
          <w:rFonts w:ascii="Liberation Sans" w:hAnsi="Liberation Sans" w:eastAsia="Liberation Sans"/>
          <w:color w:val="2E2A2C"/>
          <w:sz w:val="21"/>
        </w:rP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spacing w:after="120" w:line="259" w:lineRule="auto"/>
      </w:pPr>
      <w:r>
        <w:rPr>
          <w:rFonts w:ascii="Liberation Sans" w:hAnsi="Liberation Sans" w:eastAsia="Liberation Sans"/>
          <w:color w:val="2E2A2C"/>
          <w:sz w:val="21"/>
        </w:rPr>
        <w:t>Im Unterbereich „Wirkungsumsatzsteuer / Produktwirkungssteuer“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Heading3"/>
      </w:pPr>
      <w:r>
        <w:t>2. Wirkungsökonomischer Perspektivwechsel</w:t>
      </w:r>
    </w:p>
    <w:p>
      <w:pPr>
        <w:spacing w:after="120" w:line="259" w:lineRule="auto"/>
      </w:pPr>
      <w:r>
        <w:rPr>
          <w:rFonts w:ascii="Liberation Sans" w:hAnsi="Liberation Sans" w:eastAsia="Liberation Sans"/>
          <w:color w:val="2E2A2C"/>
          <w:sz w:val="21"/>
        </w:rP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spacing w:after="120" w:line="259" w:lineRule="auto"/>
      </w:pPr>
      <w:r>
        <w:rPr>
          <w:rFonts w:ascii="Liberation Sans" w:hAnsi="Liberation Sans" w:eastAsia="Liberation Sans"/>
          <w:color w:val="2E2A2C"/>
          <w:sz w:val="21"/>
        </w:rP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Heading3"/>
      </w:pPr>
      <w:r>
        <w:t>3. Systemarchitektur</w:t>
      </w:r>
    </w:p>
    <w:p>
      <w:pPr>
        <w:pStyle w:val="ListBullet"/>
        <w:spacing w:after="60"/>
      </w:pPr>
      <w:r>
        <w:rPr>
          <w:rFonts w:ascii="Liberation Sans" w:hAnsi="Liberation Sans" w:eastAsia="Liberation Sans"/>
          <w:color w:val="2E2A2C"/>
          <w:sz w:val="20"/>
        </w:rPr>
        <w:t>Akteure: Bürger:innen, Unternehmen, Verwaltung, Politik, Wissenschaft, Zivilgesellschaft und betroffene Gruppen.</w:t>
      </w:r>
    </w:p>
    <w:p>
      <w:pPr>
        <w:pStyle w:val="ListBullet"/>
        <w:spacing w:after="60"/>
      </w:pPr>
      <w:r>
        <w:rPr>
          <w:rFonts w:ascii="Liberation Sans" w:hAnsi="Liberation Sans" w:eastAsia="Liberation Sans"/>
          <w:color w:val="2E2A2C"/>
          <w:sz w:val="20"/>
        </w:rPr>
        <w:t>Wirkungsträger: Produkte, Regeln, Preise, Daten, Räume, Prozesse, Organisationen, Narrative oder Investitionen.</w:t>
      </w:r>
    </w:p>
    <w:p>
      <w:pPr>
        <w:pStyle w:val="ListBullet"/>
        <w:spacing w:after="60"/>
      </w:pPr>
      <w:r>
        <w:rPr>
          <w:rFonts w:ascii="Liberation Sans" w:hAnsi="Liberation Sans" w:eastAsia="Liberation Sans"/>
          <w:color w:val="2E2A2C"/>
          <w:sz w:val="20"/>
        </w:rPr>
        <w:t>Wirkungsempfänger: Menschen, Ökosysteme, demokratische Institutionen, künftige Generationen und lokale Gemeinschaften.</w:t>
      </w:r>
    </w:p>
    <w:p>
      <w:pPr>
        <w:pStyle w:val="ListBullet"/>
        <w:spacing w:after="60"/>
      </w:pPr>
      <w:r>
        <w:rPr>
          <w:rFonts w:ascii="Liberation Sans" w:hAnsi="Liberation Sans" w:eastAsia="Liberation Sans"/>
          <w:color w:val="2E2A2C"/>
          <w:sz w:val="20"/>
        </w:rPr>
        <w:t>Rückkopplungen: Steuern, Preise, Budgets, Förderlogiken, Beschaffung, Veröffentlichung, Rechtsschutz und öffentliche Debatte.</w:t>
      </w:r>
    </w:p>
    <w:p>
      <w:pPr>
        <w:pStyle w:val="ListBullet"/>
        <w:spacing w:after="60"/>
      </w:pPr>
      <w:r>
        <w:rPr>
          <w:rFonts w:ascii="Liberation Sans" w:hAnsi="Liberation Sans" w:eastAsia="Liberation Sans"/>
          <w:color w:val="2E2A2C"/>
          <w:sz w:val="20"/>
        </w:rPr>
        <w:t>Schutzmechanismen: Transparenz, Datenqualität, Nicht-Kompensation, Verhältnismäßigkeit, Rechtsschutz und demokratische Kontrolle.</w:t>
      </w:r>
    </w:p>
    <w:p>
      <w:pPr>
        <w:pStyle w:val="Heading3"/>
      </w:pPr>
      <w:r>
        <w:t>4. Mess-, Daten- und Bewertungslogik</w:t>
      </w:r>
    </w:p>
    <w:p>
      <w:pPr>
        <w:spacing w:after="120" w:line="259" w:lineRule="auto"/>
      </w:pPr>
      <w:r>
        <w:rPr>
          <w:rFonts w:ascii="Liberation Sans" w:hAnsi="Liberation Sans" w:eastAsia="Liberation Sans"/>
          <w:color w:val="2E2A2C"/>
          <w:sz w:val="21"/>
        </w:rP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spacing w:after="120" w:line="259" w:lineRule="auto"/>
      </w:pPr>
      <w:r>
        <w:rPr>
          <w:rFonts w:ascii="Liberation Sans" w:hAnsi="Liberation Sans" w:eastAsia="Liberation Sans"/>
          <w:color w:val="2E2A2C"/>
          <w:sz w:val="21"/>
        </w:rP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Heading3"/>
      </w:pPr>
      <w:r>
        <w:t>5. Politische Anschlussfähigkeit</w:t>
      </w:r>
    </w:p>
    <w:p>
      <w:pPr>
        <w:spacing w:after="120" w:line="259" w:lineRule="auto"/>
      </w:pPr>
      <w:r>
        <w:rPr>
          <w:rFonts w:ascii="Liberation Sans" w:hAnsi="Liberation Sans" w:eastAsia="Liberation Sans"/>
          <w:color w:val="2E2A2C"/>
          <w:sz w:val="21"/>
        </w:rP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pStyle w:val="ListBullet"/>
        <w:spacing w:after="60"/>
      </w:pPr>
      <w:r>
        <w:rPr>
          <w:rFonts w:ascii="Liberation Sans" w:hAnsi="Liberation Sans" w:eastAsia="Liberation Sans"/>
          <w:color w:val="2E2A2C"/>
          <w:sz w:val="20"/>
        </w:rPr>
        <w:t>Mindestaufgabe: Wirkungen sichtbar und vergleichbar machen, ohne Grundrechte oder Pluralität einzuschränken.</w:t>
      </w:r>
    </w:p>
    <w:p>
      <w:pPr>
        <w:pStyle w:val="ListBullet"/>
        <w:spacing w:after="60"/>
      </w:pPr>
      <w:r>
        <w:rPr>
          <w:rFonts w:ascii="Liberation Sans" w:hAnsi="Liberation Sans" w:eastAsia="Liberation Sans"/>
          <w:color w:val="2E2A2C"/>
          <w:sz w:val="20"/>
        </w:rPr>
        <w:t>Ausgestaltungsoption Markt: Preise, Steuern, Förderungen und Beschaffung nach Wirkung ausrichten.</w:t>
      </w:r>
    </w:p>
    <w:p>
      <w:pPr>
        <w:pStyle w:val="ListBullet"/>
        <w:spacing w:after="60"/>
      </w:pPr>
      <w:r>
        <w:rPr>
          <w:rFonts w:ascii="Liberation Sans" w:hAnsi="Liberation Sans" w:eastAsia="Liberation Sans"/>
          <w:color w:val="2E2A2C"/>
          <w:sz w:val="20"/>
        </w:rPr>
        <w:t>Ausgestaltungsoption Staat: öffentliche Infrastruktur, Regulierung, Standards, Rechtsschutz und Evaluation stärken.</w:t>
      </w:r>
    </w:p>
    <w:p>
      <w:pPr>
        <w:pStyle w:val="ListBullet"/>
        <w:spacing w:after="60"/>
      </w:pPr>
      <w:r>
        <w:rPr>
          <w:rFonts w:ascii="Liberation Sans" w:hAnsi="Liberation Sans" w:eastAsia="Liberation Sans"/>
          <w:color w:val="2E2A2C"/>
          <w:sz w:val="20"/>
        </w:rPr>
        <w:t>Ausgestaltungsoption Kommune: lokale Piloträume, Beteiligung, Wirkungsbudgets und sozialräumliche Indikatoren nutzen.</w:t>
      </w:r>
    </w:p>
    <w:p>
      <w:pPr>
        <w:pStyle w:val="ListBullet"/>
        <w:spacing w:after="60"/>
      </w:pPr>
      <w:r>
        <w:rPr>
          <w:rFonts w:ascii="Liberation Sans" w:hAnsi="Liberation Sans" w:eastAsia="Liberation Sans"/>
          <w:color w:val="2E2A2C"/>
          <w:sz w:val="20"/>
        </w:rPr>
        <w:t>Ausgestaltungsoption sozial: Übergänge abfedern, Kaufkraftschutz, Teilhabe und Nicht-Diskriminierung sichern.</w:t>
      </w:r>
    </w:p>
    <w:p>
      <w:pPr>
        <w:pStyle w:val="ListBullet"/>
        <w:spacing w:after="60"/>
      </w:pPr>
      <w:r>
        <w:rPr>
          <w:rFonts w:ascii="Liberation Sans" w:hAnsi="Liberation Sans" w:eastAsia="Liberation Sans"/>
          <w:color w:val="2E2A2C"/>
          <w:sz w:val="20"/>
        </w:rPr>
        <w:t>Demokratische Offenheit: Parteien können unterschiedliche Gewichtungen, Zeithorizonte und Instrumente wählen, solange Wirkungsdaten transparent bleiben.</w:t>
      </w:r>
    </w:p>
    <w:p>
      <w:pPr>
        <w:pStyle w:val="Heading3"/>
      </w:pPr>
      <w:r>
        <w:t>6. Risiken, Nebenwirkungen und Schutz</w:t>
      </w:r>
    </w:p>
    <w:p>
      <w:pPr>
        <w:spacing w:after="120" w:line="259" w:lineRule="auto"/>
      </w:pPr>
      <w:r>
        <w:rPr>
          <w:rFonts w:ascii="Liberation Sans" w:hAnsi="Liberation Sans" w:eastAsia="Liberation Sans"/>
          <w:color w:val="2E2A2C"/>
          <w:sz w:val="21"/>
        </w:rP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pStyle w:val="ListBullet"/>
        <w:spacing w:after="60"/>
      </w:pPr>
      <w:r>
        <w:rPr>
          <w:rFonts w:ascii="Liberation Sans" w:hAnsi="Liberation Sans" w:eastAsia="Liberation Sans"/>
          <w:color w:val="2E2A2C"/>
          <w:sz w:val="20"/>
        </w:rPr>
        <w:t>Keine Personenbewertung und kein Social-Credit-System.</w:t>
      </w:r>
    </w:p>
    <w:p>
      <w:pPr>
        <w:pStyle w:val="ListBullet"/>
        <w:spacing w:after="60"/>
      </w:pPr>
      <w:r>
        <w:rPr>
          <w:rFonts w:ascii="Liberation Sans" w:hAnsi="Liberation Sans" w:eastAsia="Liberation Sans"/>
          <w:color w:val="2E2A2C"/>
          <w:sz w:val="20"/>
        </w:rPr>
        <w:t>Öffentliche Begründungspflicht für Bewertungskriterien.</w:t>
      </w:r>
    </w:p>
    <w:p>
      <w:pPr>
        <w:pStyle w:val="ListBullet"/>
        <w:spacing w:after="60"/>
      </w:pPr>
      <w:r>
        <w:rPr>
          <w:rFonts w:ascii="Liberation Sans" w:hAnsi="Liberation Sans" w:eastAsia="Liberation Sans"/>
          <w:color w:val="2E2A2C"/>
          <w:sz w:val="20"/>
        </w:rPr>
        <w:t>Einspruchs- und Korrekturverfahren.</w:t>
      </w:r>
    </w:p>
    <w:p>
      <w:pPr>
        <w:pStyle w:val="ListBullet"/>
        <w:spacing w:after="60"/>
      </w:pPr>
      <w:r>
        <w:rPr>
          <w:rFonts w:ascii="Liberation Sans" w:hAnsi="Liberation Sans" w:eastAsia="Liberation Sans"/>
          <w:color w:val="2E2A2C"/>
          <w:sz w:val="20"/>
        </w:rPr>
        <w:t>Verhältnismäßigkeit für kleine Akteure und Übergangsfristen.</w:t>
      </w:r>
    </w:p>
    <w:p>
      <w:pPr>
        <w:pStyle w:val="ListBullet"/>
        <w:spacing w:after="60"/>
      </w:pPr>
      <w:r>
        <w:rPr>
          <w:rFonts w:ascii="Liberation Sans" w:hAnsi="Liberation Sans" w:eastAsia="Liberation Sans"/>
          <w:color w:val="2E2A2C"/>
          <w:sz w:val="20"/>
        </w:rPr>
        <w:t>Unabhängige Evaluation durch geeignete Institutionen.</w:t>
      </w:r>
    </w:p>
    <w:p>
      <w:pPr>
        <w:pStyle w:val="ListBullet"/>
        <w:spacing w:after="60"/>
      </w:pPr>
      <w:r>
        <w:rPr>
          <w:rFonts w:ascii="Liberation Sans" w:hAnsi="Liberation Sans" w:eastAsia="Liberation Sans"/>
          <w:color w:val="2E2A2C"/>
          <w:sz w:val="20"/>
        </w:rPr>
        <w:t>Regelmäßige Überprüfung der Indikatoren und Benchmarks.</w:t>
      </w:r>
    </w:p>
    <w:p>
      <w:pPr>
        <w:pStyle w:val="Heading3"/>
      </w:pPr>
      <w:r>
        <w:t>7. Umsetzung und Pilotierung</w:t>
      </w:r>
    </w:p>
    <w:p>
      <w:pPr>
        <w:spacing w:after="120" w:line="259" w:lineRule="auto"/>
      </w:pPr>
      <w:r>
        <w:rPr>
          <w:rFonts w:ascii="Liberation Sans" w:hAnsi="Liberation Sans" w:eastAsia="Liberation Sans"/>
          <w:color w:val="2E2A2C"/>
          <w:sz w:val="21"/>
        </w:rP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Heading3"/>
      </w:pPr>
      <w:r>
        <w:t>8. Online-, Dossier- und Toolbezug</w:t>
      </w:r>
    </w:p>
    <w:p>
      <w:pPr>
        <w:spacing w:after="120" w:line="259" w:lineRule="auto"/>
      </w:pPr>
      <w:r>
        <w:rPr>
          <w:rFonts w:ascii="Liberation Sans" w:hAnsi="Liberation Sans" w:eastAsia="Liberation Sans"/>
          <w:color w:val="2E2A2C"/>
          <w:sz w:val="21"/>
        </w:rP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tbl>
      <w:tblPr>
        <w:tblW w:type="auto" w:w="0"/>
        <w:tblLook w:firstColumn="1" w:firstRow="1" w:lastColumn="0" w:lastRow="0" w:noHBand="0" w:noVBand="1" w:val="04A0"/>
      </w:tblPr>
      <w:tblGrid>
        <w:gridCol w:w="10166"/>
      </w:tblGrid>
      <w:tr>
        <w:tc>
          <w:tcPr>
            <w:tcW w:type="dxa" w:w="10166"/>
            <w:shd w:fill="F7F4ED"/>
            <w:tcBorders>
              <w:top w:val="single" w:sz="8" w:space="0" w:color="2B7D5C"/>
              <w:left w:val="single" w:sz="8" w:space="0" w:color="2B7D5C"/>
              <w:bottom w:val="single" w:sz="8" w:space="0" w:color="2B7D5C"/>
              <w:right w:val="single" w:sz="8" w:space="0" w:color="2B7D5C"/>
            </w:tcBorders>
          </w:tcPr>
          <w:p>
            <w:r>
              <w:rPr>
                <w:rFonts w:ascii="Liberation Sans" w:hAnsi="Liberation Sans" w:eastAsia="Liberation Sans"/>
                <w:b/>
                <w:color w:val="2B7D5C"/>
                <w:sz w:val="20"/>
              </w:rPr>
              <w:t>Kernformel</w:t>
              <w:br/>
            </w:r>
            <w:r>
              <w:rPr>
                <w:rFonts w:ascii="Liberation Sans" w:hAnsi="Liberation Sans" w:eastAsia="Liberation Sans"/>
                <w:color w:val="2E2A2C"/>
                <w:sz w:val="20"/>
              </w:rPr>
              <w:t>Wirkungsumsatzsteuer / Produktwirkungssteuer: Nicht die Aktivität allein zählt, sondern ihre positive Netto-Wirkung, ihre Risiken und ihre demokratisch überprüfbare Rückkopplung.</w:t>
            </w:r>
          </w:p>
        </w:tc>
      </w:tr>
    </w:tbl>
    <w:p/>
    <w:p>
      <w:pPr>
        <w:pStyle w:val="Heading2"/>
      </w:pPr>
      <w:r>
        <w:t>Produktscorecards</w:t>
      </w:r>
    </w:p>
    <w:p>
      <w:pPr>
        <w:spacing w:after="120" w:line="259" w:lineRule="auto"/>
      </w:pPr>
      <w:r>
        <w:rPr>
          <w:rFonts w:ascii="Liberation Sans" w:hAnsi="Liberation Sans" w:eastAsia="Liberation Sans"/>
          <w:color w:val="2E2A2C"/>
          <w:sz w:val="21"/>
        </w:rPr>
        <w:t>Dieses Detailkonzept vertieft den Unterbereich „Produktscorecards“ innerhalb des Portals „Produkte &amp; Konsum / Wirkungsumsatzsteuer“. Kernfelder, Bewertungslogik, Datenfelder, FinalScore, Sonderfälle. Es ist als öffentliche Arbeitsfassung angelegt und bildet die fachliche Grundlage für Online-Volltext, Einzeldossier, Toolbezug und politische Anschlussfähigkeit.</w:t>
      </w:r>
    </w:p>
    <w:p>
      <w:pPr>
        <w:pStyle w:val="Heading3"/>
      </w:pPr>
      <w:r>
        <w:t>1. Ausgangslage und alte Logik</w:t>
      </w:r>
    </w:p>
    <w:p>
      <w:pPr>
        <w:spacing w:after="120" w:line="259" w:lineRule="auto"/>
      </w:pPr>
      <w:r>
        <w:rPr>
          <w:rFonts w:ascii="Liberation Sans" w:hAnsi="Liberation Sans" w:eastAsia="Liberation Sans"/>
          <w:color w:val="2E2A2C"/>
          <w:sz w:val="21"/>
        </w:rP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spacing w:after="120" w:line="259" w:lineRule="auto"/>
      </w:pPr>
      <w:r>
        <w:rPr>
          <w:rFonts w:ascii="Liberation Sans" w:hAnsi="Liberation Sans" w:eastAsia="Liberation Sans"/>
          <w:color w:val="2E2A2C"/>
          <w:sz w:val="21"/>
        </w:rPr>
        <w:t>Im Unterbereich „Produktscorecards“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Heading3"/>
      </w:pPr>
      <w:r>
        <w:t>2. Wirkungsökonomischer Perspektivwechsel</w:t>
      </w:r>
    </w:p>
    <w:p>
      <w:pPr>
        <w:spacing w:after="120" w:line="259" w:lineRule="auto"/>
      </w:pPr>
      <w:r>
        <w:rPr>
          <w:rFonts w:ascii="Liberation Sans" w:hAnsi="Liberation Sans" w:eastAsia="Liberation Sans"/>
          <w:color w:val="2E2A2C"/>
          <w:sz w:val="21"/>
        </w:rP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spacing w:after="120" w:line="259" w:lineRule="auto"/>
      </w:pPr>
      <w:r>
        <w:rPr>
          <w:rFonts w:ascii="Liberation Sans" w:hAnsi="Liberation Sans" w:eastAsia="Liberation Sans"/>
          <w:color w:val="2E2A2C"/>
          <w:sz w:val="21"/>
        </w:rP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Heading3"/>
      </w:pPr>
      <w:r>
        <w:t>3. Systemarchitektur</w:t>
      </w:r>
    </w:p>
    <w:p>
      <w:pPr>
        <w:pStyle w:val="ListBullet"/>
        <w:spacing w:after="60"/>
      </w:pPr>
      <w:r>
        <w:rPr>
          <w:rFonts w:ascii="Liberation Sans" w:hAnsi="Liberation Sans" w:eastAsia="Liberation Sans"/>
          <w:color w:val="2E2A2C"/>
          <w:sz w:val="20"/>
        </w:rPr>
        <w:t>Akteure: Bürger:innen, Unternehmen, Verwaltung, Politik, Wissenschaft, Zivilgesellschaft und betroffene Gruppen.</w:t>
      </w:r>
    </w:p>
    <w:p>
      <w:pPr>
        <w:pStyle w:val="ListBullet"/>
        <w:spacing w:after="60"/>
      </w:pPr>
      <w:r>
        <w:rPr>
          <w:rFonts w:ascii="Liberation Sans" w:hAnsi="Liberation Sans" w:eastAsia="Liberation Sans"/>
          <w:color w:val="2E2A2C"/>
          <w:sz w:val="20"/>
        </w:rPr>
        <w:t>Wirkungsträger: Produkte, Regeln, Preise, Daten, Räume, Prozesse, Organisationen, Narrative oder Investitionen.</w:t>
      </w:r>
    </w:p>
    <w:p>
      <w:pPr>
        <w:pStyle w:val="ListBullet"/>
        <w:spacing w:after="60"/>
      </w:pPr>
      <w:r>
        <w:rPr>
          <w:rFonts w:ascii="Liberation Sans" w:hAnsi="Liberation Sans" w:eastAsia="Liberation Sans"/>
          <w:color w:val="2E2A2C"/>
          <w:sz w:val="20"/>
        </w:rPr>
        <w:t>Wirkungsempfänger: Menschen, Ökosysteme, demokratische Institutionen, künftige Generationen und lokale Gemeinschaften.</w:t>
      </w:r>
    </w:p>
    <w:p>
      <w:pPr>
        <w:pStyle w:val="ListBullet"/>
        <w:spacing w:after="60"/>
      </w:pPr>
      <w:r>
        <w:rPr>
          <w:rFonts w:ascii="Liberation Sans" w:hAnsi="Liberation Sans" w:eastAsia="Liberation Sans"/>
          <w:color w:val="2E2A2C"/>
          <w:sz w:val="20"/>
        </w:rPr>
        <w:t>Rückkopplungen: Steuern, Preise, Budgets, Förderlogiken, Beschaffung, Veröffentlichung, Rechtsschutz und öffentliche Debatte.</w:t>
      </w:r>
    </w:p>
    <w:p>
      <w:pPr>
        <w:pStyle w:val="ListBullet"/>
        <w:spacing w:after="60"/>
      </w:pPr>
      <w:r>
        <w:rPr>
          <w:rFonts w:ascii="Liberation Sans" w:hAnsi="Liberation Sans" w:eastAsia="Liberation Sans"/>
          <w:color w:val="2E2A2C"/>
          <w:sz w:val="20"/>
        </w:rPr>
        <w:t>Schutzmechanismen: Transparenz, Datenqualität, Nicht-Kompensation, Verhältnismäßigkeit, Rechtsschutz und demokratische Kontrolle.</w:t>
      </w:r>
    </w:p>
    <w:p>
      <w:pPr>
        <w:pStyle w:val="Heading3"/>
      </w:pPr>
      <w:r>
        <w:t>4. Mess-, Daten- und Bewertungslogik</w:t>
      </w:r>
    </w:p>
    <w:p>
      <w:pPr>
        <w:spacing w:after="120" w:line="259" w:lineRule="auto"/>
      </w:pPr>
      <w:r>
        <w:rPr>
          <w:rFonts w:ascii="Liberation Sans" w:hAnsi="Liberation Sans" w:eastAsia="Liberation Sans"/>
          <w:color w:val="2E2A2C"/>
          <w:sz w:val="21"/>
        </w:rP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spacing w:after="120" w:line="259" w:lineRule="auto"/>
      </w:pPr>
      <w:r>
        <w:rPr>
          <w:rFonts w:ascii="Liberation Sans" w:hAnsi="Liberation Sans" w:eastAsia="Liberation Sans"/>
          <w:color w:val="2E2A2C"/>
          <w:sz w:val="21"/>
        </w:rP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Heading3"/>
      </w:pPr>
      <w:r>
        <w:t>5. Politische Anschlussfähigkeit</w:t>
      </w:r>
    </w:p>
    <w:p>
      <w:pPr>
        <w:spacing w:after="120" w:line="259" w:lineRule="auto"/>
      </w:pPr>
      <w:r>
        <w:rPr>
          <w:rFonts w:ascii="Liberation Sans" w:hAnsi="Liberation Sans" w:eastAsia="Liberation Sans"/>
          <w:color w:val="2E2A2C"/>
          <w:sz w:val="21"/>
        </w:rP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pStyle w:val="ListBullet"/>
        <w:spacing w:after="60"/>
      </w:pPr>
      <w:r>
        <w:rPr>
          <w:rFonts w:ascii="Liberation Sans" w:hAnsi="Liberation Sans" w:eastAsia="Liberation Sans"/>
          <w:color w:val="2E2A2C"/>
          <w:sz w:val="20"/>
        </w:rPr>
        <w:t>Mindestaufgabe: Wirkungen sichtbar und vergleichbar machen, ohne Grundrechte oder Pluralität einzuschränken.</w:t>
      </w:r>
    </w:p>
    <w:p>
      <w:pPr>
        <w:pStyle w:val="ListBullet"/>
        <w:spacing w:after="60"/>
      </w:pPr>
      <w:r>
        <w:rPr>
          <w:rFonts w:ascii="Liberation Sans" w:hAnsi="Liberation Sans" w:eastAsia="Liberation Sans"/>
          <w:color w:val="2E2A2C"/>
          <w:sz w:val="20"/>
        </w:rPr>
        <w:t>Ausgestaltungsoption Markt: Preise, Steuern, Förderungen und Beschaffung nach Wirkung ausrichten.</w:t>
      </w:r>
    </w:p>
    <w:p>
      <w:pPr>
        <w:pStyle w:val="ListBullet"/>
        <w:spacing w:after="60"/>
      </w:pPr>
      <w:r>
        <w:rPr>
          <w:rFonts w:ascii="Liberation Sans" w:hAnsi="Liberation Sans" w:eastAsia="Liberation Sans"/>
          <w:color w:val="2E2A2C"/>
          <w:sz w:val="20"/>
        </w:rPr>
        <w:t>Ausgestaltungsoption Staat: öffentliche Infrastruktur, Regulierung, Standards, Rechtsschutz und Evaluation stärken.</w:t>
      </w:r>
    </w:p>
    <w:p>
      <w:pPr>
        <w:pStyle w:val="ListBullet"/>
        <w:spacing w:after="60"/>
      </w:pPr>
      <w:r>
        <w:rPr>
          <w:rFonts w:ascii="Liberation Sans" w:hAnsi="Liberation Sans" w:eastAsia="Liberation Sans"/>
          <w:color w:val="2E2A2C"/>
          <w:sz w:val="20"/>
        </w:rPr>
        <w:t>Ausgestaltungsoption Kommune: lokale Piloträume, Beteiligung, Wirkungsbudgets und sozialräumliche Indikatoren nutzen.</w:t>
      </w:r>
    </w:p>
    <w:p>
      <w:pPr>
        <w:pStyle w:val="ListBullet"/>
        <w:spacing w:after="60"/>
      </w:pPr>
      <w:r>
        <w:rPr>
          <w:rFonts w:ascii="Liberation Sans" w:hAnsi="Liberation Sans" w:eastAsia="Liberation Sans"/>
          <w:color w:val="2E2A2C"/>
          <w:sz w:val="20"/>
        </w:rPr>
        <w:t>Ausgestaltungsoption sozial: Übergänge abfedern, Kaufkraftschutz, Teilhabe und Nicht-Diskriminierung sichern.</w:t>
      </w:r>
    </w:p>
    <w:p>
      <w:pPr>
        <w:pStyle w:val="ListBullet"/>
        <w:spacing w:after="60"/>
      </w:pPr>
      <w:r>
        <w:rPr>
          <w:rFonts w:ascii="Liberation Sans" w:hAnsi="Liberation Sans" w:eastAsia="Liberation Sans"/>
          <w:color w:val="2E2A2C"/>
          <w:sz w:val="20"/>
        </w:rPr>
        <w:t>Demokratische Offenheit: Parteien können unterschiedliche Gewichtungen, Zeithorizonte und Instrumente wählen, solange Wirkungsdaten transparent bleiben.</w:t>
      </w:r>
    </w:p>
    <w:p>
      <w:pPr>
        <w:pStyle w:val="Heading3"/>
      </w:pPr>
      <w:r>
        <w:t>6. Risiken, Nebenwirkungen und Schutz</w:t>
      </w:r>
    </w:p>
    <w:p>
      <w:pPr>
        <w:spacing w:after="120" w:line="259" w:lineRule="auto"/>
      </w:pPr>
      <w:r>
        <w:rPr>
          <w:rFonts w:ascii="Liberation Sans" w:hAnsi="Liberation Sans" w:eastAsia="Liberation Sans"/>
          <w:color w:val="2E2A2C"/>
          <w:sz w:val="21"/>
        </w:rP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pStyle w:val="ListBullet"/>
        <w:spacing w:after="60"/>
      </w:pPr>
      <w:r>
        <w:rPr>
          <w:rFonts w:ascii="Liberation Sans" w:hAnsi="Liberation Sans" w:eastAsia="Liberation Sans"/>
          <w:color w:val="2E2A2C"/>
          <w:sz w:val="20"/>
        </w:rPr>
        <w:t>Keine Personenbewertung und kein Social-Credit-System.</w:t>
      </w:r>
    </w:p>
    <w:p>
      <w:pPr>
        <w:pStyle w:val="ListBullet"/>
        <w:spacing w:after="60"/>
      </w:pPr>
      <w:r>
        <w:rPr>
          <w:rFonts w:ascii="Liberation Sans" w:hAnsi="Liberation Sans" w:eastAsia="Liberation Sans"/>
          <w:color w:val="2E2A2C"/>
          <w:sz w:val="20"/>
        </w:rPr>
        <w:t>Öffentliche Begründungspflicht für Bewertungskriterien.</w:t>
      </w:r>
    </w:p>
    <w:p>
      <w:pPr>
        <w:pStyle w:val="ListBullet"/>
        <w:spacing w:after="60"/>
      </w:pPr>
      <w:r>
        <w:rPr>
          <w:rFonts w:ascii="Liberation Sans" w:hAnsi="Liberation Sans" w:eastAsia="Liberation Sans"/>
          <w:color w:val="2E2A2C"/>
          <w:sz w:val="20"/>
        </w:rPr>
        <w:t>Einspruchs- und Korrekturverfahren.</w:t>
      </w:r>
    </w:p>
    <w:p>
      <w:pPr>
        <w:pStyle w:val="ListBullet"/>
        <w:spacing w:after="60"/>
      </w:pPr>
      <w:r>
        <w:rPr>
          <w:rFonts w:ascii="Liberation Sans" w:hAnsi="Liberation Sans" w:eastAsia="Liberation Sans"/>
          <w:color w:val="2E2A2C"/>
          <w:sz w:val="20"/>
        </w:rPr>
        <w:t>Verhältnismäßigkeit für kleine Akteure und Übergangsfristen.</w:t>
      </w:r>
    </w:p>
    <w:p>
      <w:pPr>
        <w:pStyle w:val="ListBullet"/>
        <w:spacing w:after="60"/>
      </w:pPr>
      <w:r>
        <w:rPr>
          <w:rFonts w:ascii="Liberation Sans" w:hAnsi="Liberation Sans" w:eastAsia="Liberation Sans"/>
          <w:color w:val="2E2A2C"/>
          <w:sz w:val="20"/>
        </w:rPr>
        <w:t>Unabhängige Evaluation durch geeignete Institutionen.</w:t>
      </w:r>
    </w:p>
    <w:p>
      <w:pPr>
        <w:pStyle w:val="ListBullet"/>
        <w:spacing w:after="60"/>
      </w:pPr>
      <w:r>
        <w:rPr>
          <w:rFonts w:ascii="Liberation Sans" w:hAnsi="Liberation Sans" w:eastAsia="Liberation Sans"/>
          <w:color w:val="2E2A2C"/>
          <w:sz w:val="20"/>
        </w:rPr>
        <w:t>Regelmäßige Überprüfung der Indikatoren und Benchmarks.</w:t>
      </w:r>
    </w:p>
    <w:p>
      <w:pPr>
        <w:pStyle w:val="Heading3"/>
      </w:pPr>
      <w:r>
        <w:t>7. Umsetzung und Pilotierung</w:t>
      </w:r>
    </w:p>
    <w:p>
      <w:pPr>
        <w:spacing w:after="120" w:line="259" w:lineRule="auto"/>
      </w:pPr>
      <w:r>
        <w:rPr>
          <w:rFonts w:ascii="Liberation Sans" w:hAnsi="Liberation Sans" w:eastAsia="Liberation Sans"/>
          <w:color w:val="2E2A2C"/>
          <w:sz w:val="21"/>
        </w:rP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Heading3"/>
      </w:pPr>
      <w:r>
        <w:t>8. Online-, Dossier- und Toolbezug</w:t>
      </w:r>
    </w:p>
    <w:p>
      <w:pPr>
        <w:spacing w:after="120" w:line="259" w:lineRule="auto"/>
      </w:pPr>
      <w:r>
        <w:rPr>
          <w:rFonts w:ascii="Liberation Sans" w:hAnsi="Liberation Sans" w:eastAsia="Liberation Sans"/>
          <w:color w:val="2E2A2C"/>
          <w:sz w:val="21"/>
        </w:rP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tbl>
      <w:tblPr>
        <w:tblW w:type="auto" w:w="0"/>
        <w:tblLook w:firstColumn="1" w:firstRow="1" w:lastColumn="0" w:lastRow="0" w:noHBand="0" w:noVBand="1" w:val="04A0"/>
      </w:tblPr>
      <w:tblGrid>
        <w:gridCol w:w="10166"/>
      </w:tblGrid>
      <w:tr>
        <w:tc>
          <w:tcPr>
            <w:tcW w:type="dxa" w:w="10166"/>
            <w:shd w:fill="F7F4ED"/>
            <w:tcBorders>
              <w:top w:val="single" w:sz="8" w:space="0" w:color="2B7D5C"/>
              <w:left w:val="single" w:sz="8" w:space="0" w:color="2B7D5C"/>
              <w:bottom w:val="single" w:sz="8" w:space="0" w:color="2B7D5C"/>
              <w:right w:val="single" w:sz="8" w:space="0" w:color="2B7D5C"/>
            </w:tcBorders>
          </w:tcPr>
          <w:p>
            <w:r>
              <w:rPr>
                <w:rFonts w:ascii="Liberation Sans" w:hAnsi="Liberation Sans" w:eastAsia="Liberation Sans"/>
                <w:b/>
                <w:color w:val="2B7D5C"/>
                <w:sz w:val="20"/>
              </w:rPr>
              <w:t>Kernformel</w:t>
              <w:br/>
            </w:r>
            <w:r>
              <w:rPr>
                <w:rFonts w:ascii="Liberation Sans" w:hAnsi="Liberation Sans" w:eastAsia="Liberation Sans"/>
                <w:color w:val="2E2A2C"/>
                <w:sz w:val="20"/>
              </w:rPr>
              <w:t>Produktscorecards: Nicht die Aktivität allein zählt, sondern ihre positive Netto-Wirkung, ihre Risiken und ihre demokratisch überprüfbare Rückkopplung.</w:t>
            </w:r>
          </w:p>
        </w:tc>
      </w:tr>
    </w:tbl>
    <w:p/>
    <w:p>
      <w:pPr>
        <w:pStyle w:val="Heading2"/>
      </w:pPr>
      <w:r>
        <w:t>WÖk-IDs im Produktbereich</w:t>
      </w:r>
    </w:p>
    <w:p>
      <w:pPr>
        <w:spacing w:after="120" w:line="259" w:lineRule="auto"/>
      </w:pPr>
      <w:r>
        <w:rPr>
          <w:rFonts w:ascii="Liberation Sans" w:hAnsi="Liberation Sans" w:eastAsia="Liberation Sans"/>
          <w:color w:val="2E2A2C"/>
          <w:sz w:val="21"/>
        </w:rPr>
        <w:t>Dieses Detailkonzept vertieft den Unterbereich „WÖk-IDs im Produktbereich“ innerhalb des Portals „Produkte &amp; Konsum / Wirkungsumsatzsteuer“. Indikatorregister, SDG-/SDG+-Mapping, NACE, ESRS, GRI, Datenqualität. Es ist als öffentliche Arbeitsfassung angelegt und bildet die fachliche Grundlage für Online-Volltext, Einzeldossier, Toolbezug und politische Anschlussfähigkeit.</w:t>
      </w:r>
    </w:p>
    <w:p>
      <w:pPr>
        <w:pStyle w:val="Heading3"/>
      </w:pPr>
      <w:r>
        <w:t>1. Ausgangslage und alte Logik</w:t>
      </w:r>
    </w:p>
    <w:p>
      <w:pPr>
        <w:spacing w:after="120" w:line="259" w:lineRule="auto"/>
      </w:pPr>
      <w:r>
        <w:rPr>
          <w:rFonts w:ascii="Liberation Sans" w:hAnsi="Liberation Sans" w:eastAsia="Liberation Sans"/>
          <w:color w:val="2E2A2C"/>
          <w:sz w:val="21"/>
        </w:rP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spacing w:after="120" w:line="259" w:lineRule="auto"/>
      </w:pPr>
      <w:r>
        <w:rPr>
          <w:rFonts w:ascii="Liberation Sans" w:hAnsi="Liberation Sans" w:eastAsia="Liberation Sans"/>
          <w:color w:val="2E2A2C"/>
          <w:sz w:val="21"/>
        </w:rPr>
        <w:t>Im Unterbereich „WÖk-IDs im Produktbereich“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Heading3"/>
      </w:pPr>
      <w:r>
        <w:t>2. Wirkungsökonomischer Perspektivwechsel</w:t>
      </w:r>
    </w:p>
    <w:p>
      <w:pPr>
        <w:spacing w:after="120" w:line="259" w:lineRule="auto"/>
      </w:pPr>
      <w:r>
        <w:rPr>
          <w:rFonts w:ascii="Liberation Sans" w:hAnsi="Liberation Sans" w:eastAsia="Liberation Sans"/>
          <w:color w:val="2E2A2C"/>
          <w:sz w:val="21"/>
        </w:rP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spacing w:after="120" w:line="259" w:lineRule="auto"/>
      </w:pPr>
      <w:r>
        <w:rPr>
          <w:rFonts w:ascii="Liberation Sans" w:hAnsi="Liberation Sans" w:eastAsia="Liberation Sans"/>
          <w:color w:val="2E2A2C"/>
          <w:sz w:val="21"/>
        </w:rP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Heading3"/>
      </w:pPr>
      <w:r>
        <w:t>3. Systemarchitektur</w:t>
      </w:r>
    </w:p>
    <w:p>
      <w:pPr>
        <w:pStyle w:val="ListBullet"/>
        <w:spacing w:after="60"/>
      </w:pPr>
      <w:r>
        <w:rPr>
          <w:rFonts w:ascii="Liberation Sans" w:hAnsi="Liberation Sans" w:eastAsia="Liberation Sans"/>
          <w:color w:val="2E2A2C"/>
          <w:sz w:val="20"/>
        </w:rPr>
        <w:t>Akteure: Bürger:innen, Unternehmen, Verwaltung, Politik, Wissenschaft, Zivilgesellschaft und betroffene Gruppen.</w:t>
      </w:r>
    </w:p>
    <w:p>
      <w:pPr>
        <w:pStyle w:val="ListBullet"/>
        <w:spacing w:after="60"/>
      </w:pPr>
      <w:r>
        <w:rPr>
          <w:rFonts w:ascii="Liberation Sans" w:hAnsi="Liberation Sans" w:eastAsia="Liberation Sans"/>
          <w:color w:val="2E2A2C"/>
          <w:sz w:val="20"/>
        </w:rPr>
        <w:t>Wirkungsträger: Produkte, Regeln, Preise, Daten, Räume, Prozesse, Organisationen, Narrative oder Investitionen.</w:t>
      </w:r>
    </w:p>
    <w:p>
      <w:pPr>
        <w:pStyle w:val="ListBullet"/>
        <w:spacing w:after="60"/>
      </w:pPr>
      <w:r>
        <w:rPr>
          <w:rFonts w:ascii="Liberation Sans" w:hAnsi="Liberation Sans" w:eastAsia="Liberation Sans"/>
          <w:color w:val="2E2A2C"/>
          <w:sz w:val="20"/>
        </w:rPr>
        <w:t>Wirkungsempfänger: Menschen, Ökosysteme, demokratische Institutionen, künftige Generationen und lokale Gemeinschaften.</w:t>
      </w:r>
    </w:p>
    <w:p>
      <w:pPr>
        <w:pStyle w:val="ListBullet"/>
        <w:spacing w:after="60"/>
      </w:pPr>
      <w:r>
        <w:rPr>
          <w:rFonts w:ascii="Liberation Sans" w:hAnsi="Liberation Sans" w:eastAsia="Liberation Sans"/>
          <w:color w:val="2E2A2C"/>
          <w:sz w:val="20"/>
        </w:rPr>
        <w:t>Rückkopplungen: Steuern, Preise, Budgets, Förderlogiken, Beschaffung, Veröffentlichung, Rechtsschutz und öffentliche Debatte.</w:t>
      </w:r>
    </w:p>
    <w:p>
      <w:pPr>
        <w:pStyle w:val="ListBullet"/>
        <w:spacing w:after="60"/>
      </w:pPr>
      <w:r>
        <w:rPr>
          <w:rFonts w:ascii="Liberation Sans" w:hAnsi="Liberation Sans" w:eastAsia="Liberation Sans"/>
          <w:color w:val="2E2A2C"/>
          <w:sz w:val="20"/>
        </w:rPr>
        <w:t>Schutzmechanismen: Transparenz, Datenqualität, Nicht-Kompensation, Verhältnismäßigkeit, Rechtsschutz und demokratische Kontrolle.</w:t>
      </w:r>
    </w:p>
    <w:p>
      <w:pPr>
        <w:pStyle w:val="Heading3"/>
      </w:pPr>
      <w:r>
        <w:t>4. Mess-, Daten- und Bewertungslogik</w:t>
      </w:r>
    </w:p>
    <w:p>
      <w:pPr>
        <w:spacing w:after="120" w:line="259" w:lineRule="auto"/>
      </w:pPr>
      <w:r>
        <w:rPr>
          <w:rFonts w:ascii="Liberation Sans" w:hAnsi="Liberation Sans" w:eastAsia="Liberation Sans"/>
          <w:color w:val="2E2A2C"/>
          <w:sz w:val="21"/>
        </w:rP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spacing w:after="120" w:line="259" w:lineRule="auto"/>
      </w:pPr>
      <w:r>
        <w:rPr>
          <w:rFonts w:ascii="Liberation Sans" w:hAnsi="Liberation Sans" w:eastAsia="Liberation Sans"/>
          <w:color w:val="2E2A2C"/>
          <w:sz w:val="21"/>
        </w:rP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Heading3"/>
      </w:pPr>
      <w:r>
        <w:t>5. Politische Anschlussfähigkeit</w:t>
      </w:r>
    </w:p>
    <w:p>
      <w:pPr>
        <w:spacing w:after="120" w:line="259" w:lineRule="auto"/>
      </w:pPr>
      <w:r>
        <w:rPr>
          <w:rFonts w:ascii="Liberation Sans" w:hAnsi="Liberation Sans" w:eastAsia="Liberation Sans"/>
          <w:color w:val="2E2A2C"/>
          <w:sz w:val="21"/>
        </w:rP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pStyle w:val="ListBullet"/>
        <w:spacing w:after="60"/>
      </w:pPr>
      <w:r>
        <w:rPr>
          <w:rFonts w:ascii="Liberation Sans" w:hAnsi="Liberation Sans" w:eastAsia="Liberation Sans"/>
          <w:color w:val="2E2A2C"/>
          <w:sz w:val="20"/>
        </w:rPr>
        <w:t>Mindestaufgabe: Wirkungen sichtbar und vergleichbar machen, ohne Grundrechte oder Pluralität einzuschränken.</w:t>
      </w:r>
    </w:p>
    <w:p>
      <w:pPr>
        <w:pStyle w:val="ListBullet"/>
        <w:spacing w:after="60"/>
      </w:pPr>
      <w:r>
        <w:rPr>
          <w:rFonts w:ascii="Liberation Sans" w:hAnsi="Liberation Sans" w:eastAsia="Liberation Sans"/>
          <w:color w:val="2E2A2C"/>
          <w:sz w:val="20"/>
        </w:rPr>
        <w:t>Ausgestaltungsoption Markt: Preise, Steuern, Förderungen und Beschaffung nach Wirkung ausrichten.</w:t>
      </w:r>
    </w:p>
    <w:p>
      <w:pPr>
        <w:pStyle w:val="ListBullet"/>
        <w:spacing w:after="60"/>
      </w:pPr>
      <w:r>
        <w:rPr>
          <w:rFonts w:ascii="Liberation Sans" w:hAnsi="Liberation Sans" w:eastAsia="Liberation Sans"/>
          <w:color w:val="2E2A2C"/>
          <w:sz w:val="20"/>
        </w:rPr>
        <w:t>Ausgestaltungsoption Staat: öffentliche Infrastruktur, Regulierung, Standards, Rechtsschutz und Evaluation stärken.</w:t>
      </w:r>
    </w:p>
    <w:p>
      <w:pPr>
        <w:pStyle w:val="ListBullet"/>
        <w:spacing w:after="60"/>
      </w:pPr>
      <w:r>
        <w:rPr>
          <w:rFonts w:ascii="Liberation Sans" w:hAnsi="Liberation Sans" w:eastAsia="Liberation Sans"/>
          <w:color w:val="2E2A2C"/>
          <w:sz w:val="20"/>
        </w:rPr>
        <w:t>Ausgestaltungsoption Kommune: lokale Piloträume, Beteiligung, Wirkungsbudgets und sozialräumliche Indikatoren nutzen.</w:t>
      </w:r>
    </w:p>
    <w:p>
      <w:pPr>
        <w:pStyle w:val="ListBullet"/>
        <w:spacing w:after="60"/>
      </w:pPr>
      <w:r>
        <w:rPr>
          <w:rFonts w:ascii="Liberation Sans" w:hAnsi="Liberation Sans" w:eastAsia="Liberation Sans"/>
          <w:color w:val="2E2A2C"/>
          <w:sz w:val="20"/>
        </w:rPr>
        <w:t>Ausgestaltungsoption sozial: Übergänge abfedern, Kaufkraftschutz, Teilhabe und Nicht-Diskriminierung sichern.</w:t>
      </w:r>
    </w:p>
    <w:p>
      <w:pPr>
        <w:pStyle w:val="ListBullet"/>
        <w:spacing w:after="60"/>
      </w:pPr>
      <w:r>
        <w:rPr>
          <w:rFonts w:ascii="Liberation Sans" w:hAnsi="Liberation Sans" w:eastAsia="Liberation Sans"/>
          <w:color w:val="2E2A2C"/>
          <w:sz w:val="20"/>
        </w:rPr>
        <w:t>Demokratische Offenheit: Parteien können unterschiedliche Gewichtungen, Zeithorizonte und Instrumente wählen, solange Wirkungsdaten transparent bleiben.</w:t>
      </w:r>
    </w:p>
    <w:p>
      <w:pPr>
        <w:pStyle w:val="Heading3"/>
      </w:pPr>
      <w:r>
        <w:t>6. Risiken, Nebenwirkungen und Schutz</w:t>
      </w:r>
    </w:p>
    <w:p>
      <w:pPr>
        <w:spacing w:after="120" w:line="259" w:lineRule="auto"/>
      </w:pPr>
      <w:r>
        <w:rPr>
          <w:rFonts w:ascii="Liberation Sans" w:hAnsi="Liberation Sans" w:eastAsia="Liberation Sans"/>
          <w:color w:val="2E2A2C"/>
          <w:sz w:val="21"/>
        </w:rP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pStyle w:val="ListBullet"/>
        <w:spacing w:after="60"/>
      </w:pPr>
      <w:r>
        <w:rPr>
          <w:rFonts w:ascii="Liberation Sans" w:hAnsi="Liberation Sans" w:eastAsia="Liberation Sans"/>
          <w:color w:val="2E2A2C"/>
          <w:sz w:val="20"/>
        </w:rPr>
        <w:t>Keine Personenbewertung und kein Social-Credit-System.</w:t>
      </w:r>
    </w:p>
    <w:p>
      <w:pPr>
        <w:pStyle w:val="ListBullet"/>
        <w:spacing w:after="60"/>
      </w:pPr>
      <w:r>
        <w:rPr>
          <w:rFonts w:ascii="Liberation Sans" w:hAnsi="Liberation Sans" w:eastAsia="Liberation Sans"/>
          <w:color w:val="2E2A2C"/>
          <w:sz w:val="20"/>
        </w:rPr>
        <w:t>Öffentliche Begründungspflicht für Bewertungskriterien.</w:t>
      </w:r>
    </w:p>
    <w:p>
      <w:pPr>
        <w:pStyle w:val="ListBullet"/>
        <w:spacing w:after="60"/>
      </w:pPr>
      <w:r>
        <w:rPr>
          <w:rFonts w:ascii="Liberation Sans" w:hAnsi="Liberation Sans" w:eastAsia="Liberation Sans"/>
          <w:color w:val="2E2A2C"/>
          <w:sz w:val="20"/>
        </w:rPr>
        <w:t>Einspruchs- und Korrekturverfahren.</w:t>
      </w:r>
    </w:p>
    <w:p>
      <w:pPr>
        <w:pStyle w:val="ListBullet"/>
        <w:spacing w:after="60"/>
      </w:pPr>
      <w:r>
        <w:rPr>
          <w:rFonts w:ascii="Liberation Sans" w:hAnsi="Liberation Sans" w:eastAsia="Liberation Sans"/>
          <w:color w:val="2E2A2C"/>
          <w:sz w:val="20"/>
        </w:rPr>
        <w:t>Verhältnismäßigkeit für kleine Akteure und Übergangsfristen.</w:t>
      </w:r>
    </w:p>
    <w:p>
      <w:pPr>
        <w:pStyle w:val="ListBullet"/>
        <w:spacing w:after="60"/>
      </w:pPr>
      <w:r>
        <w:rPr>
          <w:rFonts w:ascii="Liberation Sans" w:hAnsi="Liberation Sans" w:eastAsia="Liberation Sans"/>
          <w:color w:val="2E2A2C"/>
          <w:sz w:val="20"/>
        </w:rPr>
        <w:t>Unabhängige Evaluation durch geeignete Institutionen.</w:t>
      </w:r>
    </w:p>
    <w:p>
      <w:pPr>
        <w:pStyle w:val="ListBullet"/>
        <w:spacing w:after="60"/>
      </w:pPr>
      <w:r>
        <w:rPr>
          <w:rFonts w:ascii="Liberation Sans" w:hAnsi="Liberation Sans" w:eastAsia="Liberation Sans"/>
          <w:color w:val="2E2A2C"/>
          <w:sz w:val="20"/>
        </w:rPr>
        <w:t>Regelmäßige Überprüfung der Indikatoren und Benchmarks.</w:t>
      </w:r>
    </w:p>
    <w:p>
      <w:pPr>
        <w:pStyle w:val="Heading3"/>
      </w:pPr>
      <w:r>
        <w:t>7. Umsetzung und Pilotierung</w:t>
      </w:r>
    </w:p>
    <w:p>
      <w:pPr>
        <w:spacing w:after="120" w:line="259" w:lineRule="auto"/>
      </w:pPr>
      <w:r>
        <w:rPr>
          <w:rFonts w:ascii="Liberation Sans" w:hAnsi="Liberation Sans" w:eastAsia="Liberation Sans"/>
          <w:color w:val="2E2A2C"/>
          <w:sz w:val="21"/>
        </w:rP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Heading3"/>
      </w:pPr>
      <w:r>
        <w:t>8. Online-, Dossier- und Toolbezug</w:t>
      </w:r>
    </w:p>
    <w:p>
      <w:pPr>
        <w:spacing w:after="120" w:line="259" w:lineRule="auto"/>
      </w:pPr>
      <w:r>
        <w:rPr>
          <w:rFonts w:ascii="Liberation Sans" w:hAnsi="Liberation Sans" w:eastAsia="Liberation Sans"/>
          <w:color w:val="2E2A2C"/>
          <w:sz w:val="21"/>
        </w:rP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tbl>
      <w:tblPr>
        <w:tblW w:type="auto" w:w="0"/>
        <w:tblLook w:firstColumn="1" w:firstRow="1" w:lastColumn="0" w:lastRow="0" w:noHBand="0" w:noVBand="1" w:val="04A0"/>
      </w:tblPr>
      <w:tblGrid>
        <w:gridCol w:w="10166"/>
      </w:tblGrid>
      <w:tr>
        <w:tc>
          <w:tcPr>
            <w:tcW w:type="dxa" w:w="10166"/>
            <w:shd w:fill="F7F4ED"/>
            <w:tcBorders>
              <w:top w:val="single" w:sz="8" w:space="0" w:color="2B7D5C"/>
              <w:left w:val="single" w:sz="8" w:space="0" w:color="2B7D5C"/>
              <w:bottom w:val="single" w:sz="8" w:space="0" w:color="2B7D5C"/>
              <w:right w:val="single" w:sz="8" w:space="0" w:color="2B7D5C"/>
            </w:tcBorders>
          </w:tcPr>
          <w:p>
            <w:r>
              <w:rPr>
                <w:rFonts w:ascii="Liberation Sans" w:hAnsi="Liberation Sans" w:eastAsia="Liberation Sans"/>
                <w:b/>
                <w:color w:val="2B7D5C"/>
                <w:sz w:val="20"/>
              </w:rPr>
              <w:t>Kernformel</w:t>
              <w:br/>
            </w:r>
            <w:r>
              <w:rPr>
                <w:rFonts w:ascii="Liberation Sans" w:hAnsi="Liberation Sans" w:eastAsia="Liberation Sans"/>
                <w:color w:val="2E2A2C"/>
                <w:sz w:val="20"/>
              </w:rPr>
              <w:t>WÖk-IDs im Produktbereich: Nicht die Aktivität allein zählt, sondern ihre positive Netto-Wirkung, ihre Risiken und ihre demokratisch überprüfbare Rückkopplung.</w:t>
            </w:r>
          </w:p>
        </w:tc>
      </w:tr>
    </w:tbl>
    <w:p/>
    <w:p>
      <w:pPr>
        <w:pStyle w:val="Heading2"/>
      </w:pPr>
      <w:r>
        <w:t>Reverse Merit Order</w:t>
      </w:r>
    </w:p>
    <w:p>
      <w:pPr>
        <w:spacing w:after="120" w:line="259" w:lineRule="auto"/>
      </w:pPr>
      <w:r>
        <w:rPr>
          <w:rFonts w:ascii="Liberation Sans" w:hAnsi="Liberation Sans" w:eastAsia="Liberation Sans"/>
          <w:color w:val="2E2A2C"/>
          <w:sz w:val="21"/>
        </w:rPr>
        <w:t>Dieses Detailkonzept vertieft den Unterbereich „Reverse Merit Order“ innerhalb des Portals „Produkte &amp; Konsum / Wirkungsumsatzsteuer“. Nicht-Kompensation, schwächstes Wirkungsfeld, rote Linien, Schutz vor Ablasshandel. Es ist als öffentliche Arbeitsfassung angelegt und bildet die fachliche Grundlage für Online-Volltext, Einzeldossier, Toolbezug und politische Anschlussfähigkeit.</w:t>
      </w:r>
    </w:p>
    <w:p>
      <w:pPr>
        <w:pStyle w:val="Heading3"/>
      </w:pPr>
      <w:r>
        <w:t>1. Ausgangslage und alte Logik</w:t>
      </w:r>
    </w:p>
    <w:p>
      <w:pPr>
        <w:spacing w:after="120" w:line="259" w:lineRule="auto"/>
      </w:pPr>
      <w:r>
        <w:rPr>
          <w:rFonts w:ascii="Liberation Sans" w:hAnsi="Liberation Sans" w:eastAsia="Liberation Sans"/>
          <w:color w:val="2E2A2C"/>
          <w:sz w:val="21"/>
        </w:rP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spacing w:after="120" w:line="259" w:lineRule="auto"/>
      </w:pPr>
      <w:r>
        <w:rPr>
          <w:rFonts w:ascii="Liberation Sans" w:hAnsi="Liberation Sans" w:eastAsia="Liberation Sans"/>
          <w:color w:val="2E2A2C"/>
          <w:sz w:val="21"/>
        </w:rPr>
        <w:t>Im Unterbereich „Reverse Merit Order“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Heading3"/>
      </w:pPr>
      <w:r>
        <w:t>2. Wirkungsökonomischer Perspektivwechsel</w:t>
      </w:r>
    </w:p>
    <w:p>
      <w:pPr>
        <w:spacing w:after="120" w:line="259" w:lineRule="auto"/>
      </w:pPr>
      <w:r>
        <w:rPr>
          <w:rFonts w:ascii="Liberation Sans" w:hAnsi="Liberation Sans" w:eastAsia="Liberation Sans"/>
          <w:color w:val="2E2A2C"/>
          <w:sz w:val="21"/>
        </w:rP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spacing w:after="120" w:line="259" w:lineRule="auto"/>
      </w:pPr>
      <w:r>
        <w:rPr>
          <w:rFonts w:ascii="Liberation Sans" w:hAnsi="Liberation Sans" w:eastAsia="Liberation Sans"/>
          <w:color w:val="2E2A2C"/>
          <w:sz w:val="21"/>
        </w:rP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Heading3"/>
      </w:pPr>
      <w:r>
        <w:t>3. Systemarchitektur</w:t>
      </w:r>
    </w:p>
    <w:p>
      <w:pPr>
        <w:pStyle w:val="ListBullet"/>
        <w:spacing w:after="60"/>
      </w:pPr>
      <w:r>
        <w:rPr>
          <w:rFonts w:ascii="Liberation Sans" w:hAnsi="Liberation Sans" w:eastAsia="Liberation Sans"/>
          <w:color w:val="2E2A2C"/>
          <w:sz w:val="20"/>
        </w:rPr>
        <w:t>Akteure: Bürger:innen, Unternehmen, Verwaltung, Politik, Wissenschaft, Zivilgesellschaft und betroffene Gruppen.</w:t>
      </w:r>
    </w:p>
    <w:p>
      <w:pPr>
        <w:pStyle w:val="ListBullet"/>
        <w:spacing w:after="60"/>
      </w:pPr>
      <w:r>
        <w:rPr>
          <w:rFonts w:ascii="Liberation Sans" w:hAnsi="Liberation Sans" w:eastAsia="Liberation Sans"/>
          <w:color w:val="2E2A2C"/>
          <w:sz w:val="20"/>
        </w:rPr>
        <w:t>Wirkungsträger: Produkte, Regeln, Preise, Daten, Räume, Prozesse, Organisationen, Narrative oder Investitionen.</w:t>
      </w:r>
    </w:p>
    <w:p>
      <w:pPr>
        <w:pStyle w:val="ListBullet"/>
        <w:spacing w:after="60"/>
      </w:pPr>
      <w:r>
        <w:rPr>
          <w:rFonts w:ascii="Liberation Sans" w:hAnsi="Liberation Sans" w:eastAsia="Liberation Sans"/>
          <w:color w:val="2E2A2C"/>
          <w:sz w:val="20"/>
        </w:rPr>
        <w:t>Wirkungsempfänger: Menschen, Ökosysteme, demokratische Institutionen, künftige Generationen und lokale Gemeinschaften.</w:t>
      </w:r>
    </w:p>
    <w:p>
      <w:pPr>
        <w:pStyle w:val="ListBullet"/>
        <w:spacing w:after="60"/>
      </w:pPr>
      <w:r>
        <w:rPr>
          <w:rFonts w:ascii="Liberation Sans" w:hAnsi="Liberation Sans" w:eastAsia="Liberation Sans"/>
          <w:color w:val="2E2A2C"/>
          <w:sz w:val="20"/>
        </w:rPr>
        <w:t>Rückkopplungen: Steuern, Preise, Budgets, Förderlogiken, Beschaffung, Veröffentlichung, Rechtsschutz und öffentliche Debatte.</w:t>
      </w:r>
    </w:p>
    <w:p>
      <w:pPr>
        <w:pStyle w:val="ListBullet"/>
        <w:spacing w:after="60"/>
      </w:pPr>
      <w:r>
        <w:rPr>
          <w:rFonts w:ascii="Liberation Sans" w:hAnsi="Liberation Sans" w:eastAsia="Liberation Sans"/>
          <w:color w:val="2E2A2C"/>
          <w:sz w:val="20"/>
        </w:rPr>
        <w:t>Schutzmechanismen: Transparenz, Datenqualität, Nicht-Kompensation, Verhältnismäßigkeit, Rechtsschutz und demokratische Kontrolle.</w:t>
      </w:r>
    </w:p>
    <w:p>
      <w:pPr>
        <w:pStyle w:val="Heading3"/>
      </w:pPr>
      <w:r>
        <w:t>4. Mess-, Daten- und Bewertungslogik</w:t>
      </w:r>
    </w:p>
    <w:p>
      <w:pPr>
        <w:spacing w:after="120" w:line="259" w:lineRule="auto"/>
      </w:pPr>
      <w:r>
        <w:rPr>
          <w:rFonts w:ascii="Liberation Sans" w:hAnsi="Liberation Sans" w:eastAsia="Liberation Sans"/>
          <w:color w:val="2E2A2C"/>
          <w:sz w:val="21"/>
        </w:rP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spacing w:after="120" w:line="259" w:lineRule="auto"/>
      </w:pPr>
      <w:r>
        <w:rPr>
          <w:rFonts w:ascii="Liberation Sans" w:hAnsi="Liberation Sans" w:eastAsia="Liberation Sans"/>
          <w:color w:val="2E2A2C"/>
          <w:sz w:val="21"/>
        </w:rP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Heading3"/>
      </w:pPr>
      <w:r>
        <w:t>5. Politische Anschlussfähigkeit</w:t>
      </w:r>
    </w:p>
    <w:p>
      <w:pPr>
        <w:spacing w:after="120" w:line="259" w:lineRule="auto"/>
      </w:pPr>
      <w:r>
        <w:rPr>
          <w:rFonts w:ascii="Liberation Sans" w:hAnsi="Liberation Sans" w:eastAsia="Liberation Sans"/>
          <w:color w:val="2E2A2C"/>
          <w:sz w:val="21"/>
        </w:rP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pStyle w:val="ListBullet"/>
        <w:spacing w:after="60"/>
      </w:pPr>
      <w:r>
        <w:rPr>
          <w:rFonts w:ascii="Liberation Sans" w:hAnsi="Liberation Sans" w:eastAsia="Liberation Sans"/>
          <w:color w:val="2E2A2C"/>
          <w:sz w:val="20"/>
        </w:rPr>
        <w:t>Mindestaufgabe: Wirkungen sichtbar und vergleichbar machen, ohne Grundrechte oder Pluralität einzuschränken.</w:t>
      </w:r>
    </w:p>
    <w:p>
      <w:pPr>
        <w:pStyle w:val="ListBullet"/>
        <w:spacing w:after="60"/>
      </w:pPr>
      <w:r>
        <w:rPr>
          <w:rFonts w:ascii="Liberation Sans" w:hAnsi="Liberation Sans" w:eastAsia="Liberation Sans"/>
          <w:color w:val="2E2A2C"/>
          <w:sz w:val="20"/>
        </w:rPr>
        <w:t>Ausgestaltungsoption Markt: Preise, Steuern, Förderungen und Beschaffung nach Wirkung ausrichten.</w:t>
      </w:r>
    </w:p>
    <w:p>
      <w:pPr>
        <w:pStyle w:val="ListBullet"/>
        <w:spacing w:after="60"/>
      </w:pPr>
      <w:r>
        <w:rPr>
          <w:rFonts w:ascii="Liberation Sans" w:hAnsi="Liberation Sans" w:eastAsia="Liberation Sans"/>
          <w:color w:val="2E2A2C"/>
          <w:sz w:val="20"/>
        </w:rPr>
        <w:t>Ausgestaltungsoption Staat: öffentliche Infrastruktur, Regulierung, Standards, Rechtsschutz und Evaluation stärken.</w:t>
      </w:r>
    </w:p>
    <w:p>
      <w:pPr>
        <w:pStyle w:val="ListBullet"/>
        <w:spacing w:after="60"/>
      </w:pPr>
      <w:r>
        <w:rPr>
          <w:rFonts w:ascii="Liberation Sans" w:hAnsi="Liberation Sans" w:eastAsia="Liberation Sans"/>
          <w:color w:val="2E2A2C"/>
          <w:sz w:val="20"/>
        </w:rPr>
        <w:t>Ausgestaltungsoption Kommune: lokale Piloträume, Beteiligung, Wirkungsbudgets und sozialräumliche Indikatoren nutzen.</w:t>
      </w:r>
    </w:p>
    <w:p>
      <w:pPr>
        <w:pStyle w:val="ListBullet"/>
        <w:spacing w:after="60"/>
      </w:pPr>
      <w:r>
        <w:rPr>
          <w:rFonts w:ascii="Liberation Sans" w:hAnsi="Liberation Sans" w:eastAsia="Liberation Sans"/>
          <w:color w:val="2E2A2C"/>
          <w:sz w:val="20"/>
        </w:rPr>
        <w:t>Ausgestaltungsoption sozial: Übergänge abfedern, Kaufkraftschutz, Teilhabe und Nicht-Diskriminierung sichern.</w:t>
      </w:r>
    </w:p>
    <w:p>
      <w:pPr>
        <w:pStyle w:val="ListBullet"/>
        <w:spacing w:after="60"/>
      </w:pPr>
      <w:r>
        <w:rPr>
          <w:rFonts w:ascii="Liberation Sans" w:hAnsi="Liberation Sans" w:eastAsia="Liberation Sans"/>
          <w:color w:val="2E2A2C"/>
          <w:sz w:val="20"/>
        </w:rPr>
        <w:t>Demokratische Offenheit: Parteien können unterschiedliche Gewichtungen, Zeithorizonte und Instrumente wählen, solange Wirkungsdaten transparent bleiben.</w:t>
      </w:r>
    </w:p>
    <w:p>
      <w:pPr>
        <w:pStyle w:val="Heading3"/>
      </w:pPr>
      <w:r>
        <w:t>6. Risiken, Nebenwirkungen und Schutz</w:t>
      </w:r>
    </w:p>
    <w:p>
      <w:pPr>
        <w:spacing w:after="120" w:line="259" w:lineRule="auto"/>
      </w:pPr>
      <w:r>
        <w:rPr>
          <w:rFonts w:ascii="Liberation Sans" w:hAnsi="Liberation Sans" w:eastAsia="Liberation Sans"/>
          <w:color w:val="2E2A2C"/>
          <w:sz w:val="21"/>
        </w:rP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pStyle w:val="ListBullet"/>
        <w:spacing w:after="60"/>
      </w:pPr>
      <w:r>
        <w:rPr>
          <w:rFonts w:ascii="Liberation Sans" w:hAnsi="Liberation Sans" w:eastAsia="Liberation Sans"/>
          <w:color w:val="2E2A2C"/>
          <w:sz w:val="20"/>
        </w:rPr>
        <w:t>Keine Personenbewertung und kein Social-Credit-System.</w:t>
      </w:r>
    </w:p>
    <w:p>
      <w:pPr>
        <w:pStyle w:val="ListBullet"/>
        <w:spacing w:after="60"/>
      </w:pPr>
      <w:r>
        <w:rPr>
          <w:rFonts w:ascii="Liberation Sans" w:hAnsi="Liberation Sans" w:eastAsia="Liberation Sans"/>
          <w:color w:val="2E2A2C"/>
          <w:sz w:val="20"/>
        </w:rPr>
        <w:t>Öffentliche Begründungspflicht für Bewertungskriterien.</w:t>
      </w:r>
    </w:p>
    <w:p>
      <w:pPr>
        <w:pStyle w:val="ListBullet"/>
        <w:spacing w:after="60"/>
      </w:pPr>
      <w:r>
        <w:rPr>
          <w:rFonts w:ascii="Liberation Sans" w:hAnsi="Liberation Sans" w:eastAsia="Liberation Sans"/>
          <w:color w:val="2E2A2C"/>
          <w:sz w:val="20"/>
        </w:rPr>
        <w:t>Einspruchs- und Korrekturverfahren.</w:t>
      </w:r>
    </w:p>
    <w:p>
      <w:pPr>
        <w:pStyle w:val="ListBullet"/>
        <w:spacing w:after="60"/>
      </w:pPr>
      <w:r>
        <w:rPr>
          <w:rFonts w:ascii="Liberation Sans" w:hAnsi="Liberation Sans" w:eastAsia="Liberation Sans"/>
          <w:color w:val="2E2A2C"/>
          <w:sz w:val="20"/>
        </w:rPr>
        <w:t>Verhältnismäßigkeit für kleine Akteure und Übergangsfristen.</w:t>
      </w:r>
    </w:p>
    <w:p>
      <w:pPr>
        <w:pStyle w:val="ListBullet"/>
        <w:spacing w:after="60"/>
      </w:pPr>
      <w:r>
        <w:rPr>
          <w:rFonts w:ascii="Liberation Sans" w:hAnsi="Liberation Sans" w:eastAsia="Liberation Sans"/>
          <w:color w:val="2E2A2C"/>
          <w:sz w:val="20"/>
        </w:rPr>
        <w:t>Unabhängige Evaluation durch geeignete Institutionen.</w:t>
      </w:r>
    </w:p>
    <w:p>
      <w:pPr>
        <w:pStyle w:val="ListBullet"/>
        <w:spacing w:after="60"/>
      </w:pPr>
      <w:r>
        <w:rPr>
          <w:rFonts w:ascii="Liberation Sans" w:hAnsi="Liberation Sans" w:eastAsia="Liberation Sans"/>
          <w:color w:val="2E2A2C"/>
          <w:sz w:val="20"/>
        </w:rPr>
        <w:t>Regelmäßige Überprüfung der Indikatoren und Benchmarks.</w:t>
      </w:r>
    </w:p>
    <w:p>
      <w:pPr>
        <w:pStyle w:val="Heading3"/>
      </w:pPr>
      <w:r>
        <w:t>7. Umsetzung und Pilotierung</w:t>
      </w:r>
    </w:p>
    <w:p>
      <w:pPr>
        <w:spacing w:after="120" w:line="259" w:lineRule="auto"/>
      </w:pPr>
      <w:r>
        <w:rPr>
          <w:rFonts w:ascii="Liberation Sans" w:hAnsi="Liberation Sans" w:eastAsia="Liberation Sans"/>
          <w:color w:val="2E2A2C"/>
          <w:sz w:val="21"/>
        </w:rP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Heading3"/>
      </w:pPr>
      <w:r>
        <w:t>8. Online-, Dossier- und Toolbezug</w:t>
      </w:r>
    </w:p>
    <w:p>
      <w:pPr>
        <w:spacing w:after="120" w:line="259" w:lineRule="auto"/>
      </w:pPr>
      <w:r>
        <w:rPr>
          <w:rFonts w:ascii="Liberation Sans" w:hAnsi="Liberation Sans" w:eastAsia="Liberation Sans"/>
          <w:color w:val="2E2A2C"/>
          <w:sz w:val="21"/>
        </w:rP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tbl>
      <w:tblPr>
        <w:tblW w:type="auto" w:w="0"/>
        <w:tblLook w:firstColumn="1" w:firstRow="1" w:lastColumn="0" w:lastRow="0" w:noHBand="0" w:noVBand="1" w:val="04A0"/>
      </w:tblPr>
      <w:tblGrid>
        <w:gridCol w:w="10166"/>
      </w:tblGrid>
      <w:tr>
        <w:tc>
          <w:tcPr>
            <w:tcW w:type="dxa" w:w="10166"/>
            <w:shd w:fill="F7F4ED"/>
            <w:tcBorders>
              <w:top w:val="single" w:sz="8" w:space="0" w:color="2B7D5C"/>
              <w:left w:val="single" w:sz="8" w:space="0" w:color="2B7D5C"/>
              <w:bottom w:val="single" w:sz="8" w:space="0" w:color="2B7D5C"/>
              <w:right w:val="single" w:sz="8" w:space="0" w:color="2B7D5C"/>
            </w:tcBorders>
          </w:tcPr>
          <w:p>
            <w:r>
              <w:rPr>
                <w:rFonts w:ascii="Liberation Sans" w:hAnsi="Liberation Sans" w:eastAsia="Liberation Sans"/>
                <w:b/>
                <w:color w:val="2B7D5C"/>
                <w:sz w:val="20"/>
              </w:rPr>
              <w:t>Kernformel</w:t>
              <w:br/>
            </w:r>
            <w:r>
              <w:rPr>
                <w:rFonts w:ascii="Liberation Sans" w:hAnsi="Liberation Sans" w:eastAsia="Liberation Sans"/>
                <w:color w:val="2E2A2C"/>
                <w:sz w:val="20"/>
              </w:rPr>
              <w:t>Reverse Merit Order: Nicht die Aktivität allein zählt, sondern ihre positive Netto-Wirkung, ihre Risiken und ihre demokratisch überprüfbare Rückkopplung.</w:t>
            </w:r>
          </w:p>
        </w:tc>
      </w:tr>
    </w:tbl>
    <w:p/>
    <w:p>
      <w:pPr>
        <w:pStyle w:val="Heading2"/>
      </w:pPr>
      <w:r>
        <w:t>Apfelbeispiel</w:t>
      </w:r>
    </w:p>
    <w:p>
      <w:pPr>
        <w:spacing w:after="120" w:line="259" w:lineRule="auto"/>
      </w:pPr>
      <w:r>
        <w:rPr>
          <w:rFonts w:ascii="Liberation Sans" w:hAnsi="Liberation Sans" w:eastAsia="Liberation Sans"/>
          <w:color w:val="2E2A2C"/>
          <w:sz w:val="21"/>
        </w:rPr>
        <w:t>Dieses Detailkonzept vertieft den Unterbereich „Apfelbeispiel“ innerhalb des Portals „Produkte &amp; Konsum / Wirkungsumsatzsteuer“. Regionaler Bio-Apfel vs. Importapfel, NACE 01.24, SDGs, Scorecard, Steuerklasse. Es ist als öffentliche Arbeitsfassung angelegt und bildet die fachliche Grundlage für Online-Volltext, Einzeldossier, Toolbezug und politische Anschlussfähigkeit.</w:t>
      </w:r>
    </w:p>
    <w:p>
      <w:pPr>
        <w:pStyle w:val="Heading3"/>
      </w:pPr>
      <w:r>
        <w:t>1. Ausgangslage und alte Logik</w:t>
      </w:r>
    </w:p>
    <w:p>
      <w:pPr>
        <w:spacing w:after="120" w:line="259" w:lineRule="auto"/>
      </w:pPr>
      <w:r>
        <w:rPr>
          <w:rFonts w:ascii="Liberation Sans" w:hAnsi="Liberation Sans" w:eastAsia="Liberation Sans"/>
          <w:color w:val="2E2A2C"/>
          <w:sz w:val="21"/>
        </w:rP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spacing w:after="120" w:line="259" w:lineRule="auto"/>
      </w:pPr>
      <w:r>
        <w:rPr>
          <w:rFonts w:ascii="Liberation Sans" w:hAnsi="Liberation Sans" w:eastAsia="Liberation Sans"/>
          <w:color w:val="2E2A2C"/>
          <w:sz w:val="21"/>
        </w:rPr>
        <w:t>Im Unterbereich „Apfelbeispiel“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Heading3"/>
      </w:pPr>
      <w:r>
        <w:t>2. Wirkungsökonomischer Perspektivwechsel</w:t>
      </w:r>
    </w:p>
    <w:p>
      <w:pPr>
        <w:spacing w:after="120" w:line="259" w:lineRule="auto"/>
      </w:pPr>
      <w:r>
        <w:rPr>
          <w:rFonts w:ascii="Liberation Sans" w:hAnsi="Liberation Sans" w:eastAsia="Liberation Sans"/>
          <w:color w:val="2E2A2C"/>
          <w:sz w:val="21"/>
        </w:rP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spacing w:after="120" w:line="259" w:lineRule="auto"/>
      </w:pPr>
      <w:r>
        <w:rPr>
          <w:rFonts w:ascii="Liberation Sans" w:hAnsi="Liberation Sans" w:eastAsia="Liberation Sans"/>
          <w:color w:val="2E2A2C"/>
          <w:sz w:val="21"/>
        </w:rP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Heading3"/>
      </w:pPr>
      <w:r>
        <w:t>3. Systemarchitektur</w:t>
      </w:r>
    </w:p>
    <w:p>
      <w:pPr>
        <w:pStyle w:val="ListBullet"/>
        <w:spacing w:after="60"/>
      </w:pPr>
      <w:r>
        <w:rPr>
          <w:rFonts w:ascii="Liberation Sans" w:hAnsi="Liberation Sans" w:eastAsia="Liberation Sans"/>
          <w:color w:val="2E2A2C"/>
          <w:sz w:val="20"/>
        </w:rPr>
        <w:t>Akteure: Bürger:innen, Unternehmen, Verwaltung, Politik, Wissenschaft, Zivilgesellschaft und betroffene Gruppen.</w:t>
      </w:r>
    </w:p>
    <w:p>
      <w:pPr>
        <w:pStyle w:val="ListBullet"/>
        <w:spacing w:after="60"/>
      </w:pPr>
      <w:r>
        <w:rPr>
          <w:rFonts w:ascii="Liberation Sans" w:hAnsi="Liberation Sans" w:eastAsia="Liberation Sans"/>
          <w:color w:val="2E2A2C"/>
          <w:sz w:val="20"/>
        </w:rPr>
        <w:t>Wirkungsträger: Produkte, Regeln, Preise, Daten, Räume, Prozesse, Organisationen, Narrative oder Investitionen.</w:t>
      </w:r>
    </w:p>
    <w:p>
      <w:pPr>
        <w:pStyle w:val="ListBullet"/>
        <w:spacing w:after="60"/>
      </w:pPr>
      <w:r>
        <w:rPr>
          <w:rFonts w:ascii="Liberation Sans" w:hAnsi="Liberation Sans" w:eastAsia="Liberation Sans"/>
          <w:color w:val="2E2A2C"/>
          <w:sz w:val="20"/>
        </w:rPr>
        <w:t>Wirkungsempfänger: Menschen, Ökosysteme, demokratische Institutionen, künftige Generationen und lokale Gemeinschaften.</w:t>
      </w:r>
    </w:p>
    <w:p>
      <w:pPr>
        <w:pStyle w:val="ListBullet"/>
        <w:spacing w:after="60"/>
      </w:pPr>
      <w:r>
        <w:rPr>
          <w:rFonts w:ascii="Liberation Sans" w:hAnsi="Liberation Sans" w:eastAsia="Liberation Sans"/>
          <w:color w:val="2E2A2C"/>
          <w:sz w:val="20"/>
        </w:rPr>
        <w:t>Rückkopplungen: Steuern, Preise, Budgets, Förderlogiken, Beschaffung, Veröffentlichung, Rechtsschutz und öffentliche Debatte.</w:t>
      </w:r>
    </w:p>
    <w:p>
      <w:pPr>
        <w:pStyle w:val="ListBullet"/>
        <w:spacing w:after="60"/>
      </w:pPr>
      <w:r>
        <w:rPr>
          <w:rFonts w:ascii="Liberation Sans" w:hAnsi="Liberation Sans" w:eastAsia="Liberation Sans"/>
          <w:color w:val="2E2A2C"/>
          <w:sz w:val="20"/>
        </w:rPr>
        <w:t>Schutzmechanismen: Transparenz, Datenqualität, Nicht-Kompensation, Verhältnismäßigkeit, Rechtsschutz und demokratische Kontrolle.</w:t>
      </w:r>
    </w:p>
    <w:p>
      <w:pPr>
        <w:pStyle w:val="Heading3"/>
      </w:pPr>
      <w:r>
        <w:t>4. Mess-, Daten- und Bewertungslogik</w:t>
      </w:r>
    </w:p>
    <w:p>
      <w:pPr>
        <w:spacing w:after="120" w:line="259" w:lineRule="auto"/>
      </w:pPr>
      <w:r>
        <w:rPr>
          <w:rFonts w:ascii="Liberation Sans" w:hAnsi="Liberation Sans" w:eastAsia="Liberation Sans"/>
          <w:color w:val="2E2A2C"/>
          <w:sz w:val="21"/>
        </w:rP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spacing w:after="120" w:line="259" w:lineRule="auto"/>
      </w:pPr>
      <w:r>
        <w:rPr>
          <w:rFonts w:ascii="Liberation Sans" w:hAnsi="Liberation Sans" w:eastAsia="Liberation Sans"/>
          <w:color w:val="2E2A2C"/>
          <w:sz w:val="21"/>
        </w:rP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Heading3"/>
      </w:pPr>
      <w:r>
        <w:t>5. Politische Anschlussfähigkeit</w:t>
      </w:r>
    </w:p>
    <w:p>
      <w:pPr>
        <w:spacing w:after="120" w:line="259" w:lineRule="auto"/>
      </w:pPr>
      <w:r>
        <w:rPr>
          <w:rFonts w:ascii="Liberation Sans" w:hAnsi="Liberation Sans" w:eastAsia="Liberation Sans"/>
          <w:color w:val="2E2A2C"/>
          <w:sz w:val="21"/>
        </w:rP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pStyle w:val="ListBullet"/>
        <w:spacing w:after="60"/>
      </w:pPr>
      <w:r>
        <w:rPr>
          <w:rFonts w:ascii="Liberation Sans" w:hAnsi="Liberation Sans" w:eastAsia="Liberation Sans"/>
          <w:color w:val="2E2A2C"/>
          <w:sz w:val="20"/>
        </w:rPr>
        <w:t>Mindestaufgabe: Wirkungen sichtbar und vergleichbar machen, ohne Grundrechte oder Pluralität einzuschränken.</w:t>
      </w:r>
    </w:p>
    <w:p>
      <w:pPr>
        <w:pStyle w:val="ListBullet"/>
        <w:spacing w:after="60"/>
      </w:pPr>
      <w:r>
        <w:rPr>
          <w:rFonts w:ascii="Liberation Sans" w:hAnsi="Liberation Sans" w:eastAsia="Liberation Sans"/>
          <w:color w:val="2E2A2C"/>
          <w:sz w:val="20"/>
        </w:rPr>
        <w:t>Ausgestaltungsoption Markt: Preise, Steuern, Förderungen und Beschaffung nach Wirkung ausrichten.</w:t>
      </w:r>
    </w:p>
    <w:p>
      <w:pPr>
        <w:pStyle w:val="ListBullet"/>
        <w:spacing w:after="60"/>
      </w:pPr>
      <w:r>
        <w:rPr>
          <w:rFonts w:ascii="Liberation Sans" w:hAnsi="Liberation Sans" w:eastAsia="Liberation Sans"/>
          <w:color w:val="2E2A2C"/>
          <w:sz w:val="20"/>
        </w:rPr>
        <w:t>Ausgestaltungsoption Staat: öffentliche Infrastruktur, Regulierung, Standards, Rechtsschutz und Evaluation stärken.</w:t>
      </w:r>
    </w:p>
    <w:p>
      <w:pPr>
        <w:pStyle w:val="ListBullet"/>
        <w:spacing w:after="60"/>
      </w:pPr>
      <w:r>
        <w:rPr>
          <w:rFonts w:ascii="Liberation Sans" w:hAnsi="Liberation Sans" w:eastAsia="Liberation Sans"/>
          <w:color w:val="2E2A2C"/>
          <w:sz w:val="20"/>
        </w:rPr>
        <w:t>Ausgestaltungsoption Kommune: lokale Piloträume, Beteiligung, Wirkungsbudgets und sozialräumliche Indikatoren nutzen.</w:t>
      </w:r>
    </w:p>
    <w:p>
      <w:pPr>
        <w:pStyle w:val="ListBullet"/>
        <w:spacing w:after="60"/>
      </w:pPr>
      <w:r>
        <w:rPr>
          <w:rFonts w:ascii="Liberation Sans" w:hAnsi="Liberation Sans" w:eastAsia="Liberation Sans"/>
          <w:color w:val="2E2A2C"/>
          <w:sz w:val="20"/>
        </w:rPr>
        <w:t>Ausgestaltungsoption sozial: Übergänge abfedern, Kaufkraftschutz, Teilhabe und Nicht-Diskriminierung sichern.</w:t>
      </w:r>
    </w:p>
    <w:p>
      <w:pPr>
        <w:pStyle w:val="ListBullet"/>
        <w:spacing w:after="60"/>
      </w:pPr>
      <w:r>
        <w:rPr>
          <w:rFonts w:ascii="Liberation Sans" w:hAnsi="Liberation Sans" w:eastAsia="Liberation Sans"/>
          <w:color w:val="2E2A2C"/>
          <w:sz w:val="20"/>
        </w:rPr>
        <w:t>Demokratische Offenheit: Parteien können unterschiedliche Gewichtungen, Zeithorizonte und Instrumente wählen, solange Wirkungsdaten transparent bleiben.</w:t>
      </w:r>
    </w:p>
    <w:p>
      <w:pPr>
        <w:pStyle w:val="Heading3"/>
      </w:pPr>
      <w:r>
        <w:t>6. Risiken, Nebenwirkungen und Schutz</w:t>
      </w:r>
    </w:p>
    <w:p>
      <w:pPr>
        <w:spacing w:after="120" w:line="259" w:lineRule="auto"/>
      </w:pPr>
      <w:r>
        <w:rPr>
          <w:rFonts w:ascii="Liberation Sans" w:hAnsi="Liberation Sans" w:eastAsia="Liberation Sans"/>
          <w:color w:val="2E2A2C"/>
          <w:sz w:val="21"/>
        </w:rP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pStyle w:val="ListBullet"/>
        <w:spacing w:after="60"/>
      </w:pPr>
      <w:r>
        <w:rPr>
          <w:rFonts w:ascii="Liberation Sans" w:hAnsi="Liberation Sans" w:eastAsia="Liberation Sans"/>
          <w:color w:val="2E2A2C"/>
          <w:sz w:val="20"/>
        </w:rPr>
        <w:t>Keine Personenbewertung und kein Social-Credit-System.</w:t>
      </w:r>
    </w:p>
    <w:p>
      <w:pPr>
        <w:pStyle w:val="ListBullet"/>
        <w:spacing w:after="60"/>
      </w:pPr>
      <w:r>
        <w:rPr>
          <w:rFonts w:ascii="Liberation Sans" w:hAnsi="Liberation Sans" w:eastAsia="Liberation Sans"/>
          <w:color w:val="2E2A2C"/>
          <w:sz w:val="20"/>
        </w:rPr>
        <w:t>Öffentliche Begründungspflicht für Bewertungskriterien.</w:t>
      </w:r>
    </w:p>
    <w:p>
      <w:pPr>
        <w:pStyle w:val="ListBullet"/>
        <w:spacing w:after="60"/>
      </w:pPr>
      <w:r>
        <w:rPr>
          <w:rFonts w:ascii="Liberation Sans" w:hAnsi="Liberation Sans" w:eastAsia="Liberation Sans"/>
          <w:color w:val="2E2A2C"/>
          <w:sz w:val="20"/>
        </w:rPr>
        <w:t>Einspruchs- und Korrekturverfahren.</w:t>
      </w:r>
    </w:p>
    <w:p>
      <w:pPr>
        <w:pStyle w:val="ListBullet"/>
        <w:spacing w:after="60"/>
      </w:pPr>
      <w:r>
        <w:rPr>
          <w:rFonts w:ascii="Liberation Sans" w:hAnsi="Liberation Sans" w:eastAsia="Liberation Sans"/>
          <w:color w:val="2E2A2C"/>
          <w:sz w:val="20"/>
        </w:rPr>
        <w:t>Verhältnismäßigkeit für kleine Akteure und Übergangsfristen.</w:t>
      </w:r>
    </w:p>
    <w:p>
      <w:pPr>
        <w:pStyle w:val="ListBullet"/>
        <w:spacing w:after="60"/>
      </w:pPr>
      <w:r>
        <w:rPr>
          <w:rFonts w:ascii="Liberation Sans" w:hAnsi="Liberation Sans" w:eastAsia="Liberation Sans"/>
          <w:color w:val="2E2A2C"/>
          <w:sz w:val="20"/>
        </w:rPr>
        <w:t>Unabhängige Evaluation durch geeignete Institutionen.</w:t>
      </w:r>
    </w:p>
    <w:p>
      <w:pPr>
        <w:pStyle w:val="ListBullet"/>
        <w:spacing w:after="60"/>
      </w:pPr>
      <w:r>
        <w:rPr>
          <w:rFonts w:ascii="Liberation Sans" w:hAnsi="Liberation Sans" w:eastAsia="Liberation Sans"/>
          <w:color w:val="2E2A2C"/>
          <w:sz w:val="20"/>
        </w:rPr>
        <w:t>Regelmäßige Überprüfung der Indikatoren und Benchmarks.</w:t>
      </w:r>
    </w:p>
    <w:p>
      <w:pPr>
        <w:pStyle w:val="Heading3"/>
      </w:pPr>
      <w:r>
        <w:t>7. Umsetzung und Pilotierung</w:t>
      </w:r>
    </w:p>
    <w:p>
      <w:pPr>
        <w:spacing w:after="120" w:line="259" w:lineRule="auto"/>
      </w:pPr>
      <w:r>
        <w:rPr>
          <w:rFonts w:ascii="Liberation Sans" w:hAnsi="Liberation Sans" w:eastAsia="Liberation Sans"/>
          <w:color w:val="2E2A2C"/>
          <w:sz w:val="21"/>
        </w:rP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Heading3"/>
      </w:pPr>
      <w:r>
        <w:t>8. Online-, Dossier- und Toolbezug</w:t>
      </w:r>
    </w:p>
    <w:p>
      <w:pPr>
        <w:spacing w:after="120" w:line="259" w:lineRule="auto"/>
      </w:pPr>
      <w:r>
        <w:rPr>
          <w:rFonts w:ascii="Liberation Sans" w:hAnsi="Liberation Sans" w:eastAsia="Liberation Sans"/>
          <w:color w:val="2E2A2C"/>
          <w:sz w:val="21"/>
        </w:rP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tbl>
      <w:tblPr>
        <w:tblW w:type="auto" w:w="0"/>
        <w:tblLook w:firstColumn="1" w:firstRow="1" w:lastColumn="0" w:lastRow="0" w:noHBand="0" w:noVBand="1" w:val="04A0"/>
      </w:tblPr>
      <w:tblGrid>
        <w:gridCol w:w="10166"/>
      </w:tblGrid>
      <w:tr>
        <w:tc>
          <w:tcPr>
            <w:tcW w:type="dxa" w:w="10166"/>
            <w:shd w:fill="F7F4ED"/>
            <w:tcBorders>
              <w:top w:val="single" w:sz="8" w:space="0" w:color="2B7D5C"/>
              <w:left w:val="single" w:sz="8" w:space="0" w:color="2B7D5C"/>
              <w:bottom w:val="single" w:sz="8" w:space="0" w:color="2B7D5C"/>
              <w:right w:val="single" w:sz="8" w:space="0" w:color="2B7D5C"/>
            </w:tcBorders>
          </w:tcPr>
          <w:p>
            <w:r>
              <w:rPr>
                <w:rFonts w:ascii="Liberation Sans" w:hAnsi="Liberation Sans" w:eastAsia="Liberation Sans"/>
                <w:b/>
                <w:color w:val="2B7D5C"/>
                <w:sz w:val="20"/>
              </w:rPr>
              <w:t>Kernformel</w:t>
              <w:br/>
            </w:r>
            <w:r>
              <w:rPr>
                <w:rFonts w:ascii="Liberation Sans" w:hAnsi="Liberation Sans" w:eastAsia="Liberation Sans"/>
                <w:color w:val="2E2A2C"/>
                <w:sz w:val="20"/>
              </w:rPr>
              <w:t>Apfelbeispiel: Nicht die Aktivität allein zählt, sondern ihre positive Netto-Wirkung, ihre Risiken und ihre demokratisch überprüfbare Rückkopplung.</w:t>
            </w:r>
          </w:p>
        </w:tc>
      </w:tr>
    </w:tbl>
    <w:p/>
    <w:p>
      <w:pPr>
        <w:pStyle w:val="Heading2"/>
      </w:pPr>
      <w:r>
        <w:t>Lieferkettenwirkung</w:t>
      </w:r>
    </w:p>
    <w:p>
      <w:pPr>
        <w:spacing w:after="120" w:line="259" w:lineRule="auto"/>
      </w:pPr>
      <w:r>
        <w:rPr>
          <w:rFonts w:ascii="Liberation Sans" w:hAnsi="Liberation Sans" w:eastAsia="Liberation Sans"/>
          <w:color w:val="2E2A2C"/>
          <w:sz w:val="21"/>
        </w:rPr>
        <w:t>Dieses Detailkonzept vertieft den Unterbereich „Lieferkettenwirkung“ innerhalb des Portals „Produkte &amp; Konsum / Wirkungsumsatzsteuer“. Vorleistungen, Lieferanten-Scorecards, Vorsteuerfähigkeit, globale Wirkungsketten. Es ist als öffentliche Arbeitsfassung angelegt und bildet die fachliche Grundlage für Online-Volltext, Einzeldossier, Toolbezug und politische Anschlussfähigkeit.</w:t>
      </w:r>
    </w:p>
    <w:p>
      <w:pPr>
        <w:pStyle w:val="Heading3"/>
      </w:pPr>
      <w:r>
        <w:t>1. Ausgangslage und alte Logik</w:t>
      </w:r>
    </w:p>
    <w:p>
      <w:pPr>
        <w:spacing w:after="120" w:line="259" w:lineRule="auto"/>
      </w:pPr>
      <w:r>
        <w:rPr>
          <w:rFonts w:ascii="Liberation Sans" w:hAnsi="Liberation Sans" w:eastAsia="Liberation Sans"/>
          <w:color w:val="2E2A2C"/>
          <w:sz w:val="21"/>
        </w:rP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spacing w:after="120" w:line="259" w:lineRule="auto"/>
      </w:pPr>
      <w:r>
        <w:rPr>
          <w:rFonts w:ascii="Liberation Sans" w:hAnsi="Liberation Sans" w:eastAsia="Liberation Sans"/>
          <w:color w:val="2E2A2C"/>
          <w:sz w:val="21"/>
        </w:rPr>
        <w:t>Im Unterbereich „Lieferkettenwirkung“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Heading3"/>
      </w:pPr>
      <w:r>
        <w:t>2. Wirkungsökonomischer Perspektivwechsel</w:t>
      </w:r>
    </w:p>
    <w:p>
      <w:pPr>
        <w:spacing w:after="120" w:line="259" w:lineRule="auto"/>
      </w:pPr>
      <w:r>
        <w:rPr>
          <w:rFonts w:ascii="Liberation Sans" w:hAnsi="Liberation Sans" w:eastAsia="Liberation Sans"/>
          <w:color w:val="2E2A2C"/>
          <w:sz w:val="21"/>
        </w:rP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spacing w:after="120" w:line="259" w:lineRule="auto"/>
      </w:pPr>
      <w:r>
        <w:rPr>
          <w:rFonts w:ascii="Liberation Sans" w:hAnsi="Liberation Sans" w:eastAsia="Liberation Sans"/>
          <w:color w:val="2E2A2C"/>
          <w:sz w:val="21"/>
        </w:rP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Heading3"/>
      </w:pPr>
      <w:r>
        <w:t>3. Systemarchitektur</w:t>
      </w:r>
    </w:p>
    <w:p>
      <w:pPr>
        <w:pStyle w:val="ListBullet"/>
        <w:spacing w:after="60"/>
      </w:pPr>
      <w:r>
        <w:rPr>
          <w:rFonts w:ascii="Liberation Sans" w:hAnsi="Liberation Sans" w:eastAsia="Liberation Sans"/>
          <w:color w:val="2E2A2C"/>
          <w:sz w:val="20"/>
        </w:rPr>
        <w:t>Akteure: Bürger:innen, Unternehmen, Verwaltung, Politik, Wissenschaft, Zivilgesellschaft und betroffene Gruppen.</w:t>
      </w:r>
    </w:p>
    <w:p>
      <w:pPr>
        <w:pStyle w:val="ListBullet"/>
        <w:spacing w:after="60"/>
      </w:pPr>
      <w:r>
        <w:rPr>
          <w:rFonts w:ascii="Liberation Sans" w:hAnsi="Liberation Sans" w:eastAsia="Liberation Sans"/>
          <w:color w:val="2E2A2C"/>
          <w:sz w:val="20"/>
        </w:rPr>
        <w:t>Wirkungsträger: Produkte, Regeln, Preise, Daten, Räume, Prozesse, Organisationen, Narrative oder Investitionen.</w:t>
      </w:r>
    </w:p>
    <w:p>
      <w:pPr>
        <w:pStyle w:val="ListBullet"/>
        <w:spacing w:after="60"/>
      </w:pPr>
      <w:r>
        <w:rPr>
          <w:rFonts w:ascii="Liberation Sans" w:hAnsi="Liberation Sans" w:eastAsia="Liberation Sans"/>
          <w:color w:val="2E2A2C"/>
          <w:sz w:val="20"/>
        </w:rPr>
        <w:t>Wirkungsempfänger: Menschen, Ökosysteme, demokratische Institutionen, künftige Generationen und lokale Gemeinschaften.</w:t>
      </w:r>
    </w:p>
    <w:p>
      <w:pPr>
        <w:pStyle w:val="ListBullet"/>
        <w:spacing w:after="60"/>
      </w:pPr>
      <w:r>
        <w:rPr>
          <w:rFonts w:ascii="Liberation Sans" w:hAnsi="Liberation Sans" w:eastAsia="Liberation Sans"/>
          <w:color w:val="2E2A2C"/>
          <w:sz w:val="20"/>
        </w:rPr>
        <w:t>Rückkopplungen: Steuern, Preise, Budgets, Förderlogiken, Beschaffung, Veröffentlichung, Rechtsschutz und öffentliche Debatte.</w:t>
      </w:r>
    </w:p>
    <w:p>
      <w:pPr>
        <w:pStyle w:val="ListBullet"/>
        <w:spacing w:after="60"/>
      </w:pPr>
      <w:r>
        <w:rPr>
          <w:rFonts w:ascii="Liberation Sans" w:hAnsi="Liberation Sans" w:eastAsia="Liberation Sans"/>
          <w:color w:val="2E2A2C"/>
          <w:sz w:val="20"/>
        </w:rPr>
        <w:t>Schutzmechanismen: Transparenz, Datenqualität, Nicht-Kompensation, Verhältnismäßigkeit, Rechtsschutz und demokratische Kontrolle.</w:t>
      </w:r>
    </w:p>
    <w:p>
      <w:pPr>
        <w:pStyle w:val="Heading3"/>
      </w:pPr>
      <w:r>
        <w:t>4. Mess-, Daten- und Bewertungslogik</w:t>
      </w:r>
    </w:p>
    <w:p>
      <w:pPr>
        <w:spacing w:after="120" w:line="259" w:lineRule="auto"/>
      </w:pPr>
      <w:r>
        <w:rPr>
          <w:rFonts w:ascii="Liberation Sans" w:hAnsi="Liberation Sans" w:eastAsia="Liberation Sans"/>
          <w:color w:val="2E2A2C"/>
          <w:sz w:val="21"/>
        </w:rP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spacing w:after="120" w:line="259" w:lineRule="auto"/>
      </w:pPr>
      <w:r>
        <w:rPr>
          <w:rFonts w:ascii="Liberation Sans" w:hAnsi="Liberation Sans" w:eastAsia="Liberation Sans"/>
          <w:color w:val="2E2A2C"/>
          <w:sz w:val="21"/>
        </w:rP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Heading3"/>
      </w:pPr>
      <w:r>
        <w:t>5. Politische Anschlussfähigkeit</w:t>
      </w:r>
    </w:p>
    <w:p>
      <w:pPr>
        <w:spacing w:after="120" w:line="259" w:lineRule="auto"/>
      </w:pPr>
      <w:r>
        <w:rPr>
          <w:rFonts w:ascii="Liberation Sans" w:hAnsi="Liberation Sans" w:eastAsia="Liberation Sans"/>
          <w:color w:val="2E2A2C"/>
          <w:sz w:val="21"/>
        </w:rP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pStyle w:val="ListBullet"/>
        <w:spacing w:after="60"/>
      </w:pPr>
      <w:r>
        <w:rPr>
          <w:rFonts w:ascii="Liberation Sans" w:hAnsi="Liberation Sans" w:eastAsia="Liberation Sans"/>
          <w:color w:val="2E2A2C"/>
          <w:sz w:val="20"/>
        </w:rPr>
        <w:t>Mindestaufgabe: Wirkungen sichtbar und vergleichbar machen, ohne Grundrechte oder Pluralität einzuschränken.</w:t>
      </w:r>
    </w:p>
    <w:p>
      <w:pPr>
        <w:pStyle w:val="ListBullet"/>
        <w:spacing w:after="60"/>
      </w:pPr>
      <w:r>
        <w:rPr>
          <w:rFonts w:ascii="Liberation Sans" w:hAnsi="Liberation Sans" w:eastAsia="Liberation Sans"/>
          <w:color w:val="2E2A2C"/>
          <w:sz w:val="20"/>
        </w:rPr>
        <w:t>Ausgestaltungsoption Markt: Preise, Steuern, Förderungen und Beschaffung nach Wirkung ausrichten.</w:t>
      </w:r>
    </w:p>
    <w:p>
      <w:pPr>
        <w:pStyle w:val="ListBullet"/>
        <w:spacing w:after="60"/>
      </w:pPr>
      <w:r>
        <w:rPr>
          <w:rFonts w:ascii="Liberation Sans" w:hAnsi="Liberation Sans" w:eastAsia="Liberation Sans"/>
          <w:color w:val="2E2A2C"/>
          <w:sz w:val="20"/>
        </w:rPr>
        <w:t>Ausgestaltungsoption Staat: öffentliche Infrastruktur, Regulierung, Standards, Rechtsschutz und Evaluation stärken.</w:t>
      </w:r>
    </w:p>
    <w:p>
      <w:pPr>
        <w:pStyle w:val="ListBullet"/>
        <w:spacing w:after="60"/>
      </w:pPr>
      <w:r>
        <w:rPr>
          <w:rFonts w:ascii="Liberation Sans" w:hAnsi="Liberation Sans" w:eastAsia="Liberation Sans"/>
          <w:color w:val="2E2A2C"/>
          <w:sz w:val="20"/>
        </w:rPr>
        <w:t>Ausgestaltungsoption Kommune: lokale Piloträume, Beteiligung, Wirkungsbudgets und sozialräumliche Indikatoren nutzen.</w:t>
      </w:r>
    </w:p>
    <w:p>
      <w:pPr>
        <w:pStyle w:val="ListBullet"/>
        <w:spacing w:after="60"/>
      </w:pPr>
      <w:r>
        <w:rPr>
          <w:rFonts w:ascii="Liberation Sans" w:hAnsi="Liberation Sans" w:eastAsia="Liberation Sans"/>
          <w:color w:val="2E2A2C"/>
          <w:sz w:val="20"/>
        </w:rPr>
        <w:t>Ausgestaltungsoption sozial: Übergänge abfedern, Kaufkraftschutz, Teilhabe und Nicht-Diskriminierung sichern.</w:t>
      </w:r>
    </w:p>
    <w:p>
      <w:pPr>
        <w:pStyle w:val="ListBullet"/>
        <w:spacing w:after="60"/>
      </w:pPr>
      <w:r>
        <w:rPr>
          <w:rFonts w:ascii="Liberation Sans" w:hAnsi="Liberation Sans" w:eastAsia="Liberation Sans"/>
          <w:color w:val="2E2A2C"/>
          <w:sz w:val="20"/>
        </w:rPr>
        <w:t>Demokratische Offenheit: Parteien können unterschiedliche Gewichtungen, Zeithorizonte und Instrumente wählen, solange Wirkungsdaten transparent bleiben.</w:t>
      </w:r>
    </w:p>
    <w:p>
      <w:pPr>
        <w:pStyle w:val="Heading3"/>
      </w:pPr>
      <w:r>
        <w:t>6. Risiken, Nebenwirkungen und Schutz</w:t>
      </w:r>
    </w:p>
    <w:p>
      <w:pPr>
        <w:spacing w:after="120" w:line="259" w:lineRule="auto"/>
      </w:pPr>
      <w:r>
        <w:rPr>
          <w:rFonts w:ascii="Liberation Sans" w:hAnsi="Liberation Sans" w:eastAsia="Liberation Sans"/>
          <w:color w:val="2E2A2C"/>
          <w:sz w:val="21"/>
        </w:rP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pStyle w:val="ListBullet"/>
        <w:spacing w:after="60"/>
      </w:pPr>
      <w:r>
        <w:rPr>
          <w:rFonts w:ascii="Liberation Sans" w:hAnsi="Liberation Sans" w:eastAsia="Liberation Sans"/>
          <w:color w:val="2E2A2C"/>
          <w:sz w:val="20"/>
        </w:rPr>
        <w:t>Keine Personenbewertung und kein Social-Credit-System.</w:t>
      </w:r>
    </w:p>
    <w:p>
      <w:pPr>
        <w:pStyle w:val="ListBullet"/>
        <w:spacing w:after="60"/>
      </w:pPr>
      <w:r>
        <w:rPr>
          <w:rFonts w:ascii="Liberation Sans" w:hAnsi="Liberation Sans" w:eastAsia="Liberation Sans"/>
          <w:color w:val="2E2A2C"/>
          <w:sz w:val="20"/>
        </w:rPr>
        <w:t>Öffentliche Begründungspflicht für Bewertungskriterien.</w:t>
      </w:r>
    </w:p>
    <w:p>
      <w:pPr>
        <w:pStyle w:val="ListBullet"/>
        <w:spacing w:after="60"/>
      </w:pPr>
      <w:r>
        <w:rPr>
          <w:rFonts w:ascii="Liberation Sans" w:hAnsi="Liberation Sans" w:eastAsia="Liberation Sans"/>
          <w:color w:val="2E2A2C"/>
          <w:sz w:val="20"/>
        </w:rPr>
        <w:t>Einspruchs- und Korrekturverfahren.</w:t>
      </w:r>
    </w:p>
    <w:p>
      <w:pPr>
        <w:pStyle w:val="ListBullet"/>
        <w:spacing w:after="60"/>
      </w:pPr>
      <w:r>
        <w:rPr>
          <w:rFonts w:ascii="Liberation Sans" w:hAnsi="Liberation Sans" w:eastAsia="Liberation Sans"/>
          <w:color w:val="2E2A2C"/>
          <w:sz w:val="20"/>
        </w:rPr>
        <w:t>Verhältnismäßigkeit für kleine Akteure und Übergangsfristen.</w:t>
      </w:r>
    </w:p>
    <w:p>
      <w:pPr>
        <w:pStyle w:val="ListBullet"/>
        <w:spacing w:after="60"/>
      </w:pPr>
      <w:r>
        <w:rPr>
          <w:rFonts w:ascii="Liberation Sans" w:hAnsi="Liberation Sans" w:eastAsia="Liberation Sans"/>
          <w:color w:val="2E2A2C"/>
          <w:sz w:val="20"/>
        </w:rPr>
        <w:t>Unabhängige Evaluation durch geeignete Institutionen.</w:t>
      </w:r>
    </w:p>
    <w:p>
      <w:pPr>
        <w:pStyle w:val="ListBullet"/>
        <w:spacing w:after="60"/>
      </w:pPr>
      <w:r>
        <w:rPr>
          <w:rFonts w:ascii="Liberation Sans" w:hAnsi="Liberation Sans" w:eastAsia="Liberation Sans"/>
          <w:color w:val="2E2A2C"/>
          <w:sz w:val="20"/>
        </w:rPr>
        <w:t>Regelmäßige Überprüfung der Indikatoren und Benchmarks.</w:t>
      </w:r>
    </w:p>
    <w:p>
      <w:pPr>
        <w:pStyle w:val="Heading3"/>
      </w:pPr>
      <w:r>
        <w:t>7. Umsetzung und Pilotierung</w:t>
      </w:r>
    </w:p>
    <w:p>
      <w:pPr>
        <w:spacing w:after="120" w:line="259" w:lineRule="auto"/>
      </w:pPr>
      <w:r>
        <w:rPr>
          <w:rFonts w:ascii="Liberation Sans" w:hAnsi="Liberation Sans" w:eastAsia="Liberation Sans"/>
          <w:color w:val="2E2A2C"/>
          <w:sz w:val="21"/>
        </w:rP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Heading3"/>
      </w:pPr>
      <w:r>
        <w:t>8. Online-, Dossier- und Toolbezug</w:t>
      </w:r>
    </w:p>
    <w:p>
      <w:pPr>
        <w:spacing w:after="120" w:line="259" w:lineRule="auto"/>
      </w:pPr>
      <w:r>
        <w:rPr>
          <w:rFonts w:ascii="Liberation Sans" w:hAnsi="Liberation Sans" w:eastAsia="Liberation Sans"/>
          <w:color w:val="2E2A2C"/>
          <w:sz w:val="21"/>
        </w:rP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tbl>
      <w:tblPr>
        <w:tblW w:type="auto" w:w="0"/>
        <w:tblLook w:firstColumn="1" w:firstRow="1" w:lastColumn="0" w:lastRow="0" w:noHBand="0" w:noVBand="1" w:val="04A0"/>
      </w:tblPr>
      <w:tblGrid>
        <w:gridCol w:w="10166"/>
      </w:tblGrid>
      <w:tr>
        <w:tc>
          <w:tcPr>
            <w:tcW w:type="dxa" w:w="10166"/>
            <w:shd w:fill="F7F4ED"/>
            <w:tcBorders>
              <w:top w:val="single" w:sz="8" w:space="0" w:color="2B7D5C"/>
              <w:left w:val="single" w:sz="8" w:space="0" w:color="2B7D5C"/>
              <w:bottom w:val="single" w:sz="8" w:space="0" w:color="2B7D5C"/>
              <w:right w:val="single" w:sz="8" w:space="0" w:color="2B7D5C"/>
            </w:tcBorders>
          </w:tcPr>
          <w:p>
            <w:r>
              <w:rPr>
                <w:rFonts w:ascii="Liberation Sans" w:hAnsi="Liberation Sans" w:eastAsia="Liberation Sans"/>
                <w:b/>
                <w:color w:val="2B7D5C"/>
                <w:sz w:val="20"/>
              </w:rPr>
              <w:t>Kernformel</w:t>
              <w:br/>
            </w:r>
            <w:r>
              <w:rPr>
                <w:rFonts w:ascii="Liberation Sans" w:hAnsi="Liberation Sans" w:eastAsia="Liberation Sans"/>
                <w:color w:val="2E2A2C"/>
                <w:sz w:val="20"/>
              </w:rPr>
              <w:t>Lieferkettenwirkung: Nicht die Aktivität allein zählt, sondern ihre positive Netto-Wirkung, ihre Risiken und ihre demokratisch überprüfbare Rückkopplung.</w:t>
            </w:r>
          </w:p>
        </w:tc>
      </w:tr>
    </w:tbl>
    <w:p/>
    <w:p>
      <w:pPr>
        <w:pStyle w:val="Heading2"/>
      </w:pPr>
      <w:r>
        <w:t>Konzernbeispiel / BASF Polyamid</w:t>
      </w:r>
    </w:p>
    <w:p>
      <w:pPr>
        <w:spacing w:after="120" w:line="259" w:lineRule="auto"/>
      </w:pPr>
      <w:r>
        <w:rPr>
          <w:rFonts w:ascii="Liberation Sans" w:hAnsi="Liberation Sans" w:eastAsia="Liberation Sans"/>
          <w:color w:val="2E2A2C"/>
          <w:sz w:val="21"/>
        </w:rPr>
        <w:t>Dieses Detailkonzept vertieft den Unterbereich „Konzernbeispiel / BASF Polyamid“ innerhalb des Portals „Produkte &amp; Konsum / Wirkungsumsatzsteuer“. CSRD/ESRS-Daten auf Produktgruppen, Anlagen und Benchmarks herunterbrechen. Es ist als öffentliche Arbeitsfassung angelegt und bildet die fachliche Grundlage für Online-Volltext, Einzeldossier, Toolbezug und politische Anschlussfähigkeit.</w:t>
      </w:r>
    </w:p>
    <w:p>
      <w:pPr>
        <w:pStyle w:val="Heading3"/>
      </w:pPr>
      <w:r>
        <w:t>1. Ausgangslage und alte Logik</w:t>
      </w:r>
    </w:p>
    <w:p>
      <w:pPr>
        <w:spacing w:after="120" w:line="259" w:lineRule="auto"/>
      </w:pPr>
      <w:r>
        <w:rPr>
          <w:rFonts w:ascii="Liberation Sans" w:hAnsi="Liberation Sans" w:eastAsia="Liberation Sans"/>
          <w:color w:val="2E2A2C"/>
          <w:sz w:val="21"/>
        </w:rP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spacing w:after="120" w:line="259" w:lineRule="auto"/>
      </w:pPr>
      <w:r>
        <w:rPr>
          <w:rFonts w:ascii="Liberation Sans" w:hAnsi="Liberation Sans" w:eastAsia="Liberation Sans"/>
          <w:color w:val="2E2A2C"/>
          <w:sz w:val="21"/>
        </w:rPr>
        <w:t>Im Unterbereich „Konzernbeispiel / BASF Polyamid“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Heading3"/>
      </w:pPr>
      <w:r>
        <w:t>2. Wirkungsökonomischer Perspektivwechsel</w:t>
      </w:r>
    </w:p>
    <w:p>
      <w:pPr>
        <w:spacing w:after="120" w:line="259" w:lineRule="auto"/>
      </w:pPr>
      <w:r>
        <w:rPr>
          <w:rFonts w:ascii="Liberation Sans" w:hAnsi="Liberation Sans" w:eastAsia="Liberation Sans"/>
          <w:color w:val="2E2A2C"/>
          <w:sz w:val="21"/>
        </w:rP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spacing w:after="120" w:line="259" w:lineRule="auto"/>
      </w:pPr>
      <w:r>
        <w:rPr>
          <w:rFonts w:ascii="Liberation Sans" w:hAnsi="Liberation Sans" w:eastAsia="Liberation Sans"/>
          <w:color w:val="2E2A2C"/>
          <w:sz w:val="21"/>
        </w:rP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Heading3"/>
      </w:pPr>
      <w:r>
        <w:t>3. Systemarchitektur</w:t>
      </w:r>
    </w:p>
    <w:p>
      <w:pPr>
        <w:pStyle w:val="ListBullet"/>
        <w:spacing w:after="60"/>
      </w:pPr>
      <w:r>
        <w:rPr>
          <w:rFonts w:ascii="Liberation Sans" w:hAnsi="Liberation Sans" w:eastAsia="Liberation Sans"/>
          <w:color w:val="2E2A2C"/>
          <w:sz w:val="20"/>
        </w:rPr>
        <w:t>Akteure: Bürger:innen, Unternehmen, Verwaltung, Politik, Wissenschaft, Zivilgesellschaft und betroffene Gruppen.</w:t>
      </w:r>
    </w:p>
    <w:p>
      <w:pPr>
        <w:pStyle w:val="ListBullet"/>
        <w:spacing w:after="60"/>
      </w:pPr>
      <w:r>
        <w:rPr>
          <w:rFonts w:ascii="Liberation Sans" w:hAnsi="Liberation Sans" w:eastAsia="Liberation Sans"/>
          <w:color w:val="2E2A2C"/>
          <w:sz w:val="20"/>
        </w:rPr>
        <w:t>Wirkungsträger: Produkte, Regeln, Preise, Daten, Räume, Prozesse, Organisationen, Narrative oder Investitionen.</w:t>
      </w:r>
    </w:p>
    <w:p>
      <w:pPr>
        <w:pStyle w:val="ListBullet"/>
        <w:spacing w:after="60"/>
      </w:pPr>
      <w:r>
        <w:rPr>
          <w:rFonts w:ascii="Liberation Sans" w:hAnsi="Liberation Sans" w:eastAsia="Liberation Sans"/>
          <w:color w:val="2E2A2C"/>
          <w:sz w:val="20"/>
        </w:rPr>
        <w:t>Wirkungsempfänger: Menschen, Ökosysteme, demokratische Institutionen, künftige Generationen und lokale Gemeinschaften.</w:t>
      </w:r>
    </w:p>
    <w:p>
      <w:pPr>
        <w:pStyle w:val="ListBullet"/>
        <w:spacing w:after="60"/>
      </w:pPr>
      <w:r>
        <w:rPr>
          <w:rFonts w:ascii="Liberation Sans" w:hAnsi="Liberation Sans" w:eastAsia="Liberation Sans"/>
          <w:color w:val="2E2A2C"/>
          <w:sz w:val="20"/>
        </w:rPr>
        <w:t>Rückkopplungen: Steuern, Preise, Budgets, Förderlogiken, Beschaffung, Veröffentlichung, Rechtsschutz und öffentliche Debatte.</w:t>
      </w:r>
    </w:p>
    <w:p>
      <w:pPr>
        <w:pStyle w:val="ListBullet"/>
        <w:spacing w:after="60"/>
      </w:pPr>
      <w:r>
        <w:rPr>
          <w:rFonts w:ascii="Liberation Sans" w:hAnsi="Liberation Sans" w:eastAsia="Liberation Sans"/>
          <w:color w:val="2E2A2C"/>
          <w:sz w:val="20"/>
        </w:rPr>
        <w:t>Schutzmechanismen: Transparenz, Datenqualität, Nicht-Kompensation, Verhältnismäßigkeit, Rechtsschutz und demokratische Kontrolle.</w:t>
      </w:r>
    </w:p>
    <w:p>
      <w:pPr>
        <w:pStyle w:val="Heading3"/>
      </w:pPr>
      <w:r>
        <w:t>4. Mess-, Daten- und Bewertungslogik</w:t>
      </w:r>
    </w:p>
    <w:p>
      <w:pPr>
        <w:spacing w:after="120" w:line="259" w:lineRule="auto"/>
      </w:pPr>
      <w:r>
        <w:rPr>
          <w:rFonts w:ascii="Liberation Sans" w:hAnsi="Liberation Sans" w:eastAsia="Liberation Sans"/>
          <w:color w:val="2E2A2C"/>
          <w:sz w:val="21"/>
        </w:rP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spacing w:after="120" w:line="259" w:lineRule="auto"/>
      </w:pPr>
      <w:r>
        <w:rPr>
          <w:rFonts w:ascii="Liberation Sans" w:hAnsi="Liberation Sans" w:eastAsia="Liberation Sans"/>
          <w:color w:val="2E2A2C"/>
          <w:sz w:val="21"/>
        </w:rP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Heading3"/>
      </w:pPr>
      <w:r>
        <w:t>5. Politische Anschlussfähigkeit</w:t>
      </w:r>
    </w:p>
    <w:p>
      <w:pPr>
        <w:spacing w:after="120" w:line="259" w:lineRule="auto"/>
      </w:pPr>
      <w:r>
        <w:rPr>
          <w:rFonts w:ascii="Liberation Sans" w:hAnsi="Liberation Sans" w:eastAsia="Liberation Sans"/>
          <w:color w:val="2E2A2C"/>
          <w:sz w:val="21"/>
        </w:rP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pStyle w:val="ListBullet"/>
        <w:spacing w:after="60"/>
      </w:pPr>
      <w:r>
        <w:rPr>
          <w:rFonts w:ascii="Liberation Sans" w:hAnsi="Liberation Sans" w:eastAsia="Liberation Sans"/>
          <w:color w:val="2E2A2C"/>
          <w:sz w:val="20"/>
        </w:rPr>
        <w:t>Mindestaufgabe: Wirkungen sichtbar und vergleichbar machen, ohne Grundrechte oder Pluralität einzuschränken.</w:t>
      </w:r>
    </w:p>
    <w:p>
      <w:pPr>
        <w:pStyle w:val="ListBullet"/>
        <w:spacing w:after="60"/>
      </w:pPr>
      <w:r>
        <w:rPr>
          <w:rFonts w:ascii="Liberation Sans" w:hAnsi="Liberation Sans" w:eastAsia="Liberation Sans"/>
          <w:color w:val="2E2A2C"/>
          <w:sz w:val="20"/>
        </w:rPr>
        <w:t>Ausgestaltungsoption Markt: Preise, Steuern, Förderungen und Beschaffung nach Wirkung ausrichten.</w:t>
      </w:r>
    </w:p>
    <w:p>
      <w:pPr>
        <w:pStyle w:val="ListBullet"/>
        <w:spacing w:after="60"/>
      </w:pPr>
      <w:r>
        <w:rPr>
          <w:rFonts w:ascii="Liberation Sans" w:hAnsi="Liberation Sans" w:eastAsia="Liberation Sans"/>
          <w:color w:val="2E2A2C"/>
          <w:sz w:val="20"/>
        </w:rPr>
        <w:t>Ausgestaltungsoption Staat: öffentliche Infrastruktur, Regulierung, Standards, Rechtsschutz und Evaluation stärken.</w:t>
      </w:r>
    </w:p>
    <w:p>
      <w:pPr>
        <w:pStyle w:val="ListBullet"/>
        <w:spacing w:after="60"/>
      </w:pPr>
      <w:r>
        <w:rPr>
          <w:rFonts w:ascii="Liberation Sans" w:hAnsi="Liberation Sans" w:eastAsia="Liberation Sans"/>
          <w:color w:val="2E2A2C"/>
          <w:sz w:val="20"/>
        </w:rPr>
        <w:t>Ausgestaltungsoption Kommune: lokale Piloträume, Beteiligung, Wirkungsbudgets und sozialräumliche Indikatoren nutzen.</w:t>
      </w:r>
    </w:p>
    <w:p>
      <w:pPr>
        <w:pStyle w:val="ListBullet"/>
        <w:spacing w:after="60"/>
      </w:pPr>
      <w:r>
        <w:rPr>
          <w:rFonts w:ascii="Liberation Sans" w:hAnsi="Liberation Sans" w:eastAsia="Liberation Sans"/>
          <w:color w:val="2E2A2C"/>
          <w:sz w:val="20"/>
        </w:rPr>
        <w:t>Ausgestaltungsoption sozial: Übergänge abfedern, Kaufkraftschutz, Teilhabe und Nicht-Diskriminierung sichern.</w:t>
      </w:r>
    </w:p>
    <w:p>
      <w:pPr>
        <w:pStyle w:val="ListBullet"/>
        <w:spacing w:after="60"/>
      </w:pPr>
      <w:r>
        <w:rPr>
          <w:rFonts w:ascii="Liberation Sans" w:hAnsi="Liberation Sans" w:eastAsia="Liberation Sans"/>
          <w:color w:val="2E2A2C"/>
          <w:sz w:val="20"/>
        </w:rPr>
        <w:t>Demokratische Offenheit: Parteien können unterschiedliche Gewichtungen, Zeithorizonte und Instrumente wählen, solange Wirkungsdaten transparent bleiben.</w:t>
      </w:r>
    </w:p>
    <w:p>
      <w:pPr>
        <w:pStyle w:val="Heading3"/>
      </w:pPr>
      <w:r>
        <w:t>6. Risiken, Nebenwirkungen und Schutz</w:t>
      </w:r>
    </w:p>
    <w:p>
      <w:pPr>
        <w:spacing w:after="120" w:line="259" w:lineRule="auto"/>
      </w:pPr>
      <w:r>
        <w:rPr>
          <w:rFonts w:ascii="Liberation Sans" w:hAnsi="Liberation Sans" w:eastAsia="Liberation Sans"/>
          <w:color w:val="2E2A2C"/>
          <w:sz w:val="21"/>
        </w:rP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pStyle w:val="ListBullet"/>
        <w:spacing w:after="60"/>
      </w:pPr>
      <w:r>
        <w:rPr>
          <w:rFonts w:ascii="Liberation Sans" w:hAnsi="Liberation Sans" w:eastAsia="Liberation Sans"/>
          <w:color w:val="2E2A2C"/>
          <w:sz w:val="20"/>
        </w:rPr>
        <w:t>Keine Personenbewertung und kein Social-Credit-System.</w:t>
      </w:r>
    </w:p>
    <w:p>
      <w:pPr>
        <w:pStyle w:val="ListBullet"/>
        <w:spacing w:after="60"/>
      </w:pPr>
      <w:r>
        <w:rPr>
          <w:rFonts w:ascii="Liberation Sans" w:hAnsi="Liberation Sans" w:eastAsia="Liberation Sans"/>
          <w:color w:val="2E2A2C"/>
          <w:sz w:val="20"/>
        </w:rPr>
        <w:t>Öffentliche Begründungspflicht für Bewertungskriterien.</w:t>
      </w:r>
    </w:p>
    <w:p>
      <w:pPr>
        <w:pStyle w:val="ListBullet"/>
        <w:spacing w:after="60"/>
      </w:pPr>
      <w:r>
        <w:rPr>
          <w:rFonts w:ascii="Liberation Sans" w:hAnsi="Liberation Sans" w:eastAsia="Liberation Sans"/>
          <w:color w:val="2E2A2C"/>
          <w:sz w:val="20"/>
        </w:rPr>
        <w:t>Einspruchs- und Korrekturverfahren.</w:t>
      </w:r>
    </w:p>
    <w:p>
      <w:pPr>
        <w:pStyle w:val="ListBullet"/>
        <w:spacing w:after="60"/>
      </w:pPr>
      <w:r>
        <w:rPr>
          <w:rFonts w:ascii="Liberation Sans" w:hAnsi="Liberation Sans" w:eastAsia="Liberation Sans"/>
          <w:color w:val="2E2A2C"/>
          <w:sz w:val="20"/>
        </w:rPr>
        <w:t>Verhältnismäßigkeit für kleine Akteure und Übergangsfristen.</w:t>
      </w:r>
    </w:p>
    <w:p>
      <w:pPr>
        <w:pStyle w:val="ListBullet"/>
        <w:spacing w:after="60"/>
      </w:pPr>
      <w:r>
        <w:rPr>
          <w:rFonts w:ascii="Liberation Sans" w:hAnsi="Liberation Sans" w:eastAsia="Liberation Sans"/>
          <w:color w:val="2E2A2C"/>
          <w:sz w:val="20"/>
        </w:rPr>
        <w:t>Unabhängige Evaluation durch geeignete Institutionen.</w:t>
      </w:r>
    </w:p>
    <w:p>
      <w:pPr>
        <w:pStyle w:val="ListBullet"/>
        <w:spacing w:after="60"/>
      </w:pPr>
      <w:r>
        <w:rPr>
          <w:rFonts w:ascii="Liberation Sans" w:hAnsi="Liberation Sans" w:eastAsia="Liberation Sans"/>
          <w:color w:val="2E2A2C"/>
          <w:sz w:val="20"/>
        </w:rPr>
        <w:t>Regelmäßige Überprüfung der Indikatoren und Benchmarks.</w:t>
      </w:r>
    </w:p>
    <w:p>
      <w:pPr>
        <w:pStyle w:val="Heading3"/>
      </w:pPr>
      <w:r>
        <w:t>7. Umsetzung und Pilotierung</w:t>
      </w:r>
    </w:p>
    <w:p>
      <w:pPr>
        <w:spacing w:after="120" w:line="259" w:lineRule="auto"/>
      </w:pPr>
      <w:r>
        <w:rPr>
          <w:rFonts w:ascii="Liberation Sans" w:hAnsi="Liberation Sans" w:eastAsia="Liberation Sans"/>
          <w:color w:val="2E2A2C"/>
          <w:sz w:val="21"/>
        </w:rP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Heading3"/>
      </w:pPr>
      <w:r>
        <w:t>8. Online-, Dossier- und Toolbezug</w:t>
      </w:r>
    </w:p>
    <w:p>
      <w:pPr>
        <w:spacing w:after="120" w:line="259" w:lineRule="auto"/>
      </w:pPr>
      <w:r>
        <w:rPr>
          <w:rFonts w:ascii="Liberation Sans" w:hAnsi="Liberation Sans" w:eastAsia="Liberation Sans"/>
          <w:color w:val="2E2A2C"/>
          <w:sz w:val="21"/>
        </w:rP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tbl>
      <w:tblPr>
        <w:tblW w:type="auto" w:w="0"/>
        <w:tblLook w:firstColumn="1" w:firstRow="1" w:lastColumn="0" w:lastRow="0" w:noHBand="0" w:noVBand="1" w:val="04A0"/>
      </w:tblPr>
      <w:tblGrid>
        <w:gridCol w:w="10166"/>
      </w:tblGrid>
      <w:tr>
        <w:tc>
          <w:tcPr>
            <w:tcW w:type="dxa" w:w="10166"/>
            <w:shd w:fill="F7F4ED"/>
            <w:tcBorders>
              <w:top w:val="single" w:sz="8" w:space="0" w:color="2B7D5C"/>
              <w:left w:val="single" w:sz="8" w:space="0" w:color="2B7D5C"/>
              <w:bottom w:val="single" w:sz="8" w:space="0" w:color="2B7D5C"/>
              <w:right w:val="single" w:sz="8" w:space="0" w:color="2B7D5C"/>
            </w:tcBorders>
          </w:tcPr>
          <w:p>
            <w:r>
              <w:rPr>
                <w:rFonts w:ascii="Liberation Sans" w:hAnsi="Liberation Sans" w:eastAsia="Liberation Sans"/>
                <w:b/>
                <w:color w:val="2B7D5C"/>
                <w:sz w:val="20"/>
              </w:rPr>
              <w:t>Kernformel</w:t>
              <w:br/>
            </w:r>
            <w:r>
              <w:rPr>
                <w:rFonts w:ascii="Liberation Sans" w:hAnsi="Liberation Sans" w:eastAsia="Liberation Sans"/>
                <w:color w:val="2E2A2C"/>
                <w:sz w:val="20"/>
              </w:rPr>
              <w:t>Konzernbeispiel / BASF Polyamid: Nicht die Aktivität allein zählt, sondern ihre positive Netto-Wirkung, ihre Risiken und ihre demokratisch überprüfbare Rückkopplung.</w:t>
            </w:r>
          </w:p>
        </w:tc>
      </w:tr>
    </w:tbl>
    <w:p/>
    <w:p>
      <w:pPr>
        <w:pStyle w:val="Heading2"/>
      </w:pPr>
      <w:r>
        <w:t>Verbraucherinformation und Wirkungspunkte</w:t>
      </w:r>
    </w:p>
    <w:p>
      <w:pPr>
        <w:spacing w:after="120" w:line="259" w:lineRule="auto"/>
      </w:pPr>
      <w:r>
        <w:rPr>
          <w:rFonts w:ascii="Liberation Sans" w:hAnsi="Liberation Sans" w:eastAsia="Liberation Sans"/>
          <w:color w:val="2E2A2C"/>
          <w:sz w:val="21"/>
        </w:rPr>
        <w:t>Dieses Detailkonzept vertieft den Unterbereich „Verbraucherinformation und Wirkungspunkte“ innerhalb des Portals „Produkte &amp; Konsum / Wirkungsumsatzsteuer“. Regaltransparenz, Label, Bonuslogik, Freiheit ohne moralische Überforderung. Es ist als öffentliche Arbeitsfassung angelegt und bildet die fachliche Grundlage für Online-Volltext, Einzeldossier, Toolbezug und politische Anschlussfähigkeit.</w:t>
      </w:r>
    </w:p>
    <w:p>
      <w:pPr>
        <w:pStyle w:val="Heading3"/>
      </w:pPr>
      <w:r>
        <w:t>1. Ausgangslage und alte Logik</w:t>
      </w:r>
    </w:p>
    <w:p>
      <w:pPr>
        <w:spacing w:after="120" w:line="259" w:lineRule="auto"/>
      </w:pPr>
      <w:r>
        <w:rPr>
          <w:rFonts w:ascii="Liberation Sans" w:hAnsi="Liberation Sans" w:eastAsia="Liberation Sans"/>
          <w:color w:val="2E2A2C"/>
          <w:sz w:val="21"/>
        </w:rP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spacing w:after="120" w:line="259" w:lineRule="auto"/>
      </w:pPr>
      <w:r>
        <w:rPr>
          <w:rFonts w:ascii="Liberation Sans" w:hAnsi="Liberation Sans" w:eastAsia="Liberation Sans"/>
          <w:color w:val="2E2A2C"/>
          <w:sz w:val="21"/>
        </w:rPr>
        <w:t>Im Unterbereich „Verbraucherinformation und Wirkungspunkte“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Heading3"/>
      </w:pPr>
      <w:r>
        <w:t>2. Wirkungsökonomischer Perspektivwechsel</w:t>
      </w:r>
    </w:p>
    <w:p>
      <w:pPr>
        <w:spacing w:after="120" w:line="259" w:lineRule="auto"/>
      </w:pPr>
      <w:r>
        <w:rPr>
          <w:rFonts w:ascii="Liberation Sans" w:hAnsi="Liberation Sans" w:eastAsia="Liberation Sans"/>
          <w:color w:val="2E2A2C"/>
          <w:sz w:val="21"/>
        </w:rP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spacing w:after="120" w:line="259" w:lineRule="auto"/>
      </w:pPr>
      <w:r>
        <w:rPr>
          <w:rFonts w:ascii="Liberation Sans" w:hAnsi="Liberation Sans" w:eastAsia="Liberation Sans"/>
          <w:color w:val="2E2A2C"/>
          <w:sz w:val="21"/>
        </w:rP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Heading3"/>
      </w:pPr>
      <w:r>
        <w:t>3. Systemarchitektur</w:t>
      </w:r>
    </w:p>
    <w:p>
      <w:pPr>
        <w:pStyle w:val="ListBullet"/>
        <w:spacing w:after="60"/>
      </w:pPr>
      <w:r>
        <w:rPr>
          <w:rFonts w:ascii="Liberation Sans" w:hAnsi="Liberation Sans" w:eastAsia="Liberation Sans"/>
          <w:color w:val="2E2A2C"/>
          <w:sz w:val="20"/>
        </w:rPr>
        <w:t>Akteure: Bürger:innen, Unternehmen, Verwaltung, Politik, Wissenschaft, Zivilgesellschaft und betroffene Gruppen.</w:t>
      </w:r>
    </w:p>
    <w:p>
      <w:pPr>
        <w:pStyle w:val="ListBullet"/>
        <w:spacing w:after="60"/>
      </w:pPr>
      <w:r>
        <w:rPr>
          <w:rFonts w:ascii="Liberation Sans" w:hAnsi="Liberation Sans" w:eastAsia="Liberation Sans"/>
          <w:color w:val="2E2A2C"/>
          <w:sz w:val="20"/>
        </w:rPr>
        <w:t>Wirkungsträger: Produkte, Regeln, Preise, Daten, Räume, Prozesse, Organisationen, Narrative oder Investitionen.</w:t>
      </w:r>
    </w:p>
    <w:p>
      <w:pPr>
        <w:pStyle w:val="ListBullet"/>
        <w:spacing w:after="60"/>
      </w:pPr>
      <w:r>
        <w:rPr>
          <w:rFonts w:ascii="Liberation Sans" w:hAnsi="Liberation Sans" w:eastAsia="Liberation Sans"/>
          <w:color w:val="2E2A2C"/>
          <w:sz w:val="20"/>
        </w:rPr>
        <w:t>Wirkungsempfänger: Menschen, Ökosysteme, demokratische Institutionen, künftige Generationen und lokale Gemeinschaften.</w:t>
      </w:r>
    </w:p>
    <w:p>
      <w:pPr>
        <w:pStyle w:val="ListBullet"/>
        <w:spacing w:after="60"/>
      </w:pPr>
      <w:r>
        <w:rPr>
          <w:rFonts w:ascii="Liberation Sans" w:hAnsi="Liberation Sans" w:eastAsia="Liberation Sans"/>
          <w:color w:val="2E2A2C"/>
          <w:sz w:val="20"/>
        </w:rPr>
        <w:t>Rückkopplungen: Steuern, Preise, Budgets, Förderlogiken, Beschaffung, Veröffentlichung, Rechtsschutz und öffentliche Debatte.</w:t>
      </w:r>
    </w:p>
    <w:p>
      <w:pPr>
        <w:pStyle w:val="ListBullet"/>
        <w:spacing w:after="60"/>
      </w:pPr>
      <w:r>
        <w:rPr>
          <w:rFonts w:ascii="Liberation Sans" w:hAnsi="Liberation Sans" w:eastAsia="Liberation Sans"/>
          <w:color w:val="2E2A2C"/>
          <w:sz w:val="20"/>
        </w:rPr>
        <w:t>Schutzmechanismen: Transparenz, Datenqualität, Nicht-Kompensation, Verhältnismäßigkeit, Rechtsschutz und demokratische Kontrolle.</w:t>
      </w:r>
    </w:p>
    <w:p>
      <w:pPr>
        <w:pStyle w:val="Heading3"/>
      </w:pPr>
      <w:r>
        <w:t>4. Mess-, Daten- und Bewertungslogik</w:t>
      </w:r>
    </w:p>
    <w:p>
      <w:pPr>
        <w:spacing w:after="120" w:line="259" w:lineRule="auto"/>
      </w:pPr>
      <w:r>
        <w:rPr>
          <w:rFonts w:ascii="Liberation Sans" w:hAnsi="Liberation Sans" w:eastAsia="Liberation Sans"/>
          <w:color w:val="2E2A2C"/>
          <w:sz w:val="21"/>
        </w:rP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spacing w:after="120" w:line="259" w:lineRule="auto"/>
      </w:pPr>
      <w:r>
        <w:rPr>
          <w:rFonts w:ascii="Liberation Sans" w:hAnsi="Liberation Sans" w:eastAsia="Liberation Sans"/>
          <w:color w:val="2E2A2C"/>
          <w:sz w:val="21"/>
        </w:rP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Heading3"/>
      </w:pPr>
      <w:r>
        <w:t>5. Politische Anschlussfähigkeit</w:t>
      </w:r>
    </w:p>
    <w:p>
      <w:pPr>
        <w:spacing w:after="120" w:line="259" w:lineRule="auto"/>
      </w:pPr>
      <w:r>
        <w:rPr>
          <w:rFonts w:ascii="Liberation Sans" w:hAnsi="Liberation Sans" w:eastAsia="Liberation Sans"/>
          <w:color w:val="2E2A2C"/>
          <w:sz w:val="21"/>
        </w:rP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pStyle w:val="ListBullet"/>
        <w:spacing w:after="60"/>
      </w:pPr>
      <w:r>
        <w:rPr>
          <w:rFonts w:ascii="Liberation Sans" w:hAnsi="Liberation Sans" w:eastAsia="Liberation Sans"/>
          <w:color w:val="2E2A2C"/>
          <w:sz w:val="20"/>
        </w:rPr>
        <w:t>Mindestaufgabe: Wirkungen sichtbar und vergleichbar machen, ohne Grundrechte oder Pluralität einzuschränken.</w:t>
      </w:r>
    </w:p>
    <w:p>
      <w:pPr>
        <w:pStyle w:val="ListBullet"/>
        <w:spacing w:after="60"/>
      </w:pPr>
      <w:r>
        <w:rPr>
          <w:rFonts w:ascii="Liberation Sans" w:hAnsi="Liberation Sans" w:eastAsia="Liberation Sans"/>
          <w:color w:val="2E2A2C"/>
          <w:sz w:val="20"/>
        </w:rPr>
        <w:t>Ausgestaltungsoption Markt: Preise, Steuern, Förderungen und Beschaffung nach Wirkung ausrichten.</w:t>
      </w:r>
    </w:p>
    <w:p>
      <w:pPr>
        <w:pStyle w:val="ListBullet"/>
        <w:spacing w:after="60"/>
      </w:pPr>
      <w:r>
        <w:rPr>
          <w:rFonts w:ascii="Liberation Sans" w:hAnsi="Liberation Sans" w:eastAsia="Liberation Sans"/>
          <w:color w:val="2E2A2C"/>
          <w:sz w:val="20"/>
        </w:rPr>
        <w:t>Ausgestaltungsoption Staat: öffentliche Infrastruktur, Regulierung, Standards, Rechtsschutz und Evaluation stärken.</w:t>
      </w:r>
    </w:p>
    <w:p>
      <w:pPr>
        <w:pStyle w:val="ListBullet"/>
        <w:spacing w:after="60"/>
      </w:pPr>
      <w:r>
        <w:rPr>
          <w:rFonts w:ascii="Liberation Sans" w:hAnsi="Liberation Sans" w:eastAsia="Liberation Sans"/>
          <w:color w:val="2E2A2C"/>
          <w:sz w:val="20"/>
        </w:rPr>
        <w:t>Ausgestaltungsoption Kommune: lokale Piloträume, Beteiligung, Wirkungsbudgets und sozialräumliche Indikatoren nutzen.</w:t>
      </w:r>
    </w:p>
    <w:p>
      <w:pPr>
        <w:pStyle w:val="ListBullet"/>
        <w:spacing w:after="60"/>
      </w:pPr>
      <w:r>
        <w:rPr>
          <w:rFonts w:ascii="Liberation Sans" w:hAnsi="Liberation Sans" w:eastAsia="Liberation Sans"/>
          <w:color w:val="2E2A2C"/>
          <w:sz w:val="20"/>
        </w:rPr>
        <w:t>Ausgestaltungsoption sozial: Übergänge abfedern, Kaufkraftschutz, Teilhabe und Nicht-Diskriminierung sichern.</w:t>
      </w:r>
    </w:p>
    <w:p>
      <w:pPr>
        <w:pStyle w:val="ListBullet"/>
        <w:spacing w:after="60"/>
      </w:pPr>
      <w:r>
        <w:rPr>
          <w:rFonts w:ascii="Liberation Sans" w:hAnsi="Liberation Sans" w:eastAsia="Liberation Sans"/>
          <w:color w:val="2E2A2C"/>
          <w:sz w:val="20"/>
        </w:rPr>
        <w:t>Demokratische Offenheit: Parteien können unterschiedliche Gewichtungen, Zeithorizonte und Instrumente wählen, solange Wirkungsdaten transparent bleiben.</w:t>
      </w:r>
    </w:p>
    <w:p>
      <w:pPr>
        <w:pStyle w:val="Heading3"/>
      </w:pPr>
      <w:r>
        <w:t>6. Risiken, Nebenwirkungen und Schutz</w:t>
      </w:r>
    </w:p>
    <w:p>
      <w:pPr>
        <w:spacing w:after="120" w:line="259" w:lineRule="auto"/>
      </w:pPr>
      <w:r>
        <w:rPr>
          <w:rFonts w:ascii="Liberation Sans" w:hAnsi="Liberation Sans" w:eastAsia="Liberation Sans"/>
          <w:color w:val="2E2A2C"/>
          <w:sz w:val="21"/>
        </w:rP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pStyle w:val="ListBullet"/>
        <w:spacing w:after="60"/>
      </w:pPr>
      <w:r>
        <w:rPr>
          <w:rFonts w:ascii="Liberation Sans" w:hAnsi="Liberation Sans" w:eastAsia="Liberation Sans"/>
          <w:color w:val="2E2A2C"/>
          <w:sz w:val="20"/>
        </w:rPr>
        <w:t>Keine Personenbewertung und kein Social-Credit-System.</w:t>
      </w:r>
    </w:p>
    <w:p>
      <w:pPr>
        <w:pStyle w:val="ListBullet"/>
        <w:spacing w:after="60"/>
      </w:pPr>
      <w:r>
        <w:rPr>
          <w:rFonts w:ascii="Liberation Sans" w:hAnsi="Liberation Sans" w:eastAsia="Liberation Sans"/>
          <w:color w:val="2E2A2C"/>
          <w:sz w:val="20"/>
        </w:rPr>
        <w:t>Öffentliche Begründungspflicht für Bewertungskriterien.</w:t>
      </w:r>
    </w:p>
    <w:p>
      <w:pPr>
        <w:pStyle w:val="ListBullet"/>
        <w:spacing w:after="60"/>
      </w:pPr>
      <w:r>
        <w:rPr>
          <w:rFonts w:ascii="Liberation Sans" w:hAnsi="Liberation Sans" w:eastAsia="Liberation Sans"/>
          <w:color w:val="2E2A2C"/>
          <w:sz w:val="20"/>
        </w:rPr>
        <w:t>Einspruchs- und Korrekturverfahren.</w:t>
      </w:r>
    </w:p>
    <w:p>
      <w:pPr>
        <w:pStyle w:val="ListBullet"/>
        <w:spacing w:after="60"/>
      </w:pPr>
      <w:r>
        <w:rPr>
          <w:rFonts w:ascii="Liberation Sans" w:hAnsi="Liberation Sans" w:eastAsia="Liberation Sans"/>
          <w:color w:val="2E2A2C"/>
          <w:sz w:val="20"/>
        </w:rPr>
        <w:t>Verhältnismäßigkeit für kleine Akteure und Übergangsfristen.</w:t>
      </w:r>
    </w:p>
    <w:p>
      <w:pPr>
        <w:pStyle w:val="ListBullet"/>
        <w:spacing w:after="60"/>
      </w:pPr>
      <w:r>
        <w:rPr>
          <w:rFonts w:ascii="Liberation Sans" w:hAnsi="Liberation Sans" w:eastAsia="Liberation Sans"/>
          <w:color w:val="2E2A2C"/>
          <w:sz w:val="20"/>
        </w:rPr>
        <w:t>Unabhängige Evaluation durch geeignete Institutionen.</w:t>
      </w:r>
    </w:p>
    <w:p>
      <w:pPr>
        <w:pStyle w:val="ListBullet"/>
        <w:spacing w:after="60"/>
      </w:pPr>
      <w:r>
        <w:rPr>
          <w:rFonts w:ascii="Liberation Sans" w:hAnsi="Liberation Sans" w:eastAsia="Liberation Sans"/>
          <w:color w:val="2E2A2C"/>
          <w:sz w:val="20"/>
        </w:rPr>
        <w:t>Regelmäßige Überprüfung der Indikatoren und Benchmarks.</w:t>
      </w:r>
    </w:p>
    <w:p>
      <w:pPr>
        <w:pStyle w:val="Heading3"/>
      </w:pPr>
      <w:r>
        <w:t>7. Umsetzung und Pilotierung</w:t>
      </w:r>
    </w:p>
    <w:p>
      <w:pPr>
        <w:spacing w:after="120" w:line="259" w:lineRule="auto"/>
      </w:pPr>
      <w:r>
        <w:rPr>
          <w:rFonts w:ascii="Liberation Sans" w:hAnsi="Liberation Sans" w:eastAsia="Liberation Sans"/>
          <w:color w:val="2E2A2C"/>
          <w:sz w:val="21"/>
        </w:rP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Heading3"/>
      </w:pPr>
      <w:r>
        <w:t>8. Online-, Dossier- und Toolbezug</w:t>
      </w:r>
    </w:p>
    <w:p>
      <w:pPr>
        <w:spacing w:after="120" w:line="259" w:lineRule="auto"/>
      </w:pPr>
      <w:r>
        <w:rPr>
          <w:rFonts w:ascii="Liberation Sans" w:hAnsi="Liberation Sans" w:eastAsia="Liberation Sans"/>
          <w:color w:val="2E2A2C"/>
          <w:sz w:val="21"/>
        </w:rP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tbl>
      <w:tblPr>
        <w:tblW w:type="auto" w:w="0"/>
        <w:tblLook w:firstColumn="1" w:firstRow="1" w:lastColumn="0" w:lastRow="0" w:noHBand="0" w:noVBand="1" w:val="04A0"/>
      </w:tblPr>
      <w:tblGrid>
        <w:gridCol w:w="10166"/>
      </w:tblGrid>
      <w:tr>
        <w:tc>
          <w:tcPr>
            <w:tcW w:type="dxa" w:w="10166"/>
            <w:shd w:fill="F7F4ED"/>
            <w:tcBorders>
              <w:top w:val="single" w:sz="8" w:space="0" w:color="2B7D5C"/>
              <w:left w:val="single" w:sz="8" w:space="0" w:color="2B7D5C"/>
              <w:bottom w:val="single" w:sz="8" w:space="0" w:color="2B7D5C"/>
              <w:right w:val="single" w:sz="8" w:space="0" w:color="2B7D5C"/>
            </w:tcBorders>
          </w:tcPr>
          <w:p>
            <w:r>
              <w:rPr>
                <w:rFonts w:ascii="Liberation Sans" w:hAnsi="Liberation Sans" w:eastAsia="Liberation Sans"/>
                <w:b/>
                <w:color w:val="2B7D5C"/>
                <w:sz w:val="20"/>
              </w:rPr>
              <w:t>Kernformel</w:t>
              <w:br/>
            </w:r>
            <w:r>
              <w:rPr>
                <w:rFonts w:ascii="Liberation Sans" w:hAnsi="Liberation Sans" w:eastAsia="Liberation Sans"/>
                <w:color w:val="2E2A2C"/>
                <w:sz w:val="20"/>
              </w:rPr>
              <w:t>Verbraucherinformation und Wirkungspunkte: Nicht die Aktivität allein zählt, sondern ihre positive Netto-Wirkung, ihre Risiken und ihre demokratisch überprüfbare Rückkopplung.</w:t>
            </w:r>
          </w:p>
        </w:tc>
      </w:tr>
    </w:tbl>
    <w:p/>
    <w:p>
      <w:pPr>
        <w:pStyle w:val="Heading2"/>
      </w:pPr>
      <w:r>
        <w:t>Politische Rahmenbedingungen</w:t>
      </w:r>
    </w:p>
    <w:p>
      <w:pPr>
        <w:spacing w:after="120" w:line="259" w:lineRule="auto"/>
      </w:pPr>
      <w:r>
        <w:rPr>
          <w:rFonts w:ascii="Liberation Sans" w:hAnsi="Liberation Sans" w:eastAsia="Liberation Sans"/>
          <w:color w:val="2E2A2C"/>
          <w:sz w:val="21"/>
        </w:rPr>
        <w:t>Dieses Detailkonzept vertieft den Unterbereich „Politische Rahmenbedingungen“ innerhalb des Portals „Produkte &amp; Konsum / Wirkungsumsatzsteuer“. WStG, WUStG, Wirkungsrat, Datenschutz, Prüfpflichten, Übergänge und sozialer Schutz. Es ist als öffentliche Arbeitsfassung angelegt und bildet die fachliche Grundlage für Online-Volltext, Einzeldossier, Toolbezug und politische Anschlussfähigkeit.</w:t>
      </w:r>
    </w:p>
    <w:p>
      <w:pPr>
        <w:pStyle w:val="Heading3"/>
      </w:pPr>
      <w:r>
        <w:t>1. Ausgangslage und alte Logik</w:t>
      </w:r>
    </w:p>
    <w:p>
      <w:pPr>
        <w:spacing w:after="120" w:line="259" w:lineRule="auto"/>
      </w:pPr>
      <w:r>
        <w:rPr>
          <w:rFonts w:ascii="Liberation Sans" w:hAnsi="Liberation Sans" w:eastAsia="Liberation Sans"/>
          <w:color w:val="2E2A2C"/>
          <w:sz w:val="21"/>
        </w:rP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spacing w:after="120" w:line="259" w:lineRule="auto"/>
      </w:pPr>
      <w:r>
        <w:rPr>
          <w:rFonts w:ascii="Liberation Sans" w:hAnsi="Liberation Sans" w:eastAsia="Liberation Sans"/>
          <w:color w:val="2E2A2C"/>
          <w:sz w:val="21"/>
        </w:rPr>
        <w:t>Im Unterbereich „Politische Rahmenbedingungen“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Heading3"/>
      </w:pPr>
      <w:r>
        <w:t>2. Wirkungsökonomischer Perspektivwechsel</w:t>
      </w:r>
    </w:p>
    <w:p>
      <w:pPr>
        <w:spacing w:after="120" w:line="259" w:lineRule="auto"/>
      </w:pPr>
      <w:r>
        <w:rPr>
          <w:rFonts w:ascii="Liberation Sans" w:hAnsi="Liberation Sans" w:eastAsia="Liberation Sans"/>
          <w:color w:val="2E2A2C"/>
          <w:sz w:val="21"/>
        </w:rP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spacing w:after="120" w:line="259" w:lineRule="auto"/>
      </w:pPr>
      <w:r>
        <w:rPr>
          <w:rFonts w:ascii="Liberation Sans" w:hAnsi="Liberation Sans" w:eastAsia="Liberation Sans"/>
          <w:color w:val="2E2A2C"/>
          <w:sz w:val="21"/>
        </w:rP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Heading3"/>
      </w:pPr>
      <w:r>
        <w:t>3. Systemarchitektur</w:t>
      </w:r>
    </w:p>
    <w:p>
      <w:pPr>
        <w:pStyle w:val="ListBullet"/>
        <w:spacing w:after="60"/>
      </w:pPr>
      <w:r>
        <w:rPr>
          <w:rFonts w:ascii="Liberation Sans" w:hAnsi="Liberation Sans" w:eastAsia="Liberation Sans"/>
          <w:color w:val="2E2A2C"/>
          <w:sz w:val="20"/>
        </w:rPr>
        <w:t>Akteure: Bürger:innen, Unternehmen, Verwaltung, Politik, Wissenschaft, Zivilgesellschaft und betroffene Gruppen.</w:t>
      </w:r>
    </w:p>
    <w:p>
      <w:pPr>
        <w:pStyle w:val="ListBullet"/>
        <w:spacing w:after="60"/>
      </w:pPr>
      <w:r>
        <w:rPr>
          <w:rFonts w:ascii="Liberation Sans" w:hAnsi="Liberation Sans" w:eastAsia="Liberation Sans"/>
          <w:color w:val="2E2A2C"/>
          <w:sz w:val="20"/>
        </w:rPr>
        <w:t>Wirkungsträger: Produkte, Regeln, Preise, Daten, Räume, Prozesse, Organisationen, Narrative oder Investitionen.</w:t>
      </w:r>
    </w:p>
    <w:p>
      <w:pPr>
        <w:pStyle w:val="ListBullet"/>
        <w:spacing w:after="60"/>
      </w:pPr>
      <w:r>
        <w:rPr>
          <w:rFonts w:ascii="Liberation Sans" w:hAnsi="Liberation Sans" w:eastAsia="Liberation Sans"/>
          <w:color w:val="2E2A2C"/>
          <w:sz w:val="20"/>
        </w:rPr>
        <w:t>Wirkungsempfänger: Menschen, Ökosysteme, demokratische Institutionen, künftige Generationen und lokale Gemeinschaften.</w:t>
      </w:r>
    </w:p>
    <w:p>
      <w:pPr>
        <w:pStyle w:val="ListBullet"/>
        <w:spacing w:after="60"/>
      </w:pPr>
      <w:r>
        <w:rPr>
          <w:rFonts w:ascii="Liberation Sans" w:hAnsi="Liberation Sans" w:eastAsia="Liberation Sans"/>
          <w:color w:val="2E2A2C"/>
          <w:sz w:val="20"/>
        </w:rPr>
        <w:t>Rückkopplungen: Steuern, Preise, Budgets, Förderlogiken, Beschaffung, Veröffentlichung, Rechtsschutz und öffentliche Debatte.</w:t>
      </w:r>
    </w:p>
    <w:p>
      <w:pPr>
        <w:pStyle w:val="ListBullet"/>
        <w:spacing w:after="60"/>
      </w:pPr>
      <w:r>
        <w:rPr>
          <w:rFonts w:ascii="Liberation Sans" w:hAnsi="Liberation Sans" w:eastAsia="Liberation Sans"/>
          <w:color w:val="2E2A2C"/>
          <w:sz w:val="20"/>
        </w:rPr>
        <w:t>Schutzmechanismen: Transparenz, Datenqualität, Nicht-Kompensation, Verhältnismäßigkeit, Rechtsschutz und demokratische Kontrolle.</w:t>
      </w:r>
    </w:p>
    <w:p>
      <w:pPr>
        <w:pStyle w:val="Heading3"/>
      </w:pPr>
      <w:r>
        <w:t>4. Mess-, Daten- und Bewertungslogik</w:t>
      </w:r>
    </w:p>
    <w:p>
      <w:pPr>
        <w:spacing w:after="120" w:line="259" w:lineRule="auto"/>
      </w:pPr>
      <w:r>
        <w:rPr>
          <w:rFonts w:ascii="Liberation Sans" w:hAnsi="Liberation Sans" w:eastAsia="Liberation Sans"/>
          <w:color w:val="2E2A2C"/>
          <w:sz w:val="21"/>
        </w:rP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spacing w:after="120" w:line="259" w:lineRule="auto"/>
      </w:pPr>
      <w:r>
        <w:rPr>
          <w:rFonts w:ascii="Liberation Sans" w:hAnsi="Liberation Sans" w:eastAsia="Liberation Sans"/>
          <w:color w:val="2E2A2C"/>
          <w:sz w:val="21"/>
        </w:rP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Heading3"/>
      </w:pPr>
      <w:r>
        <w:t>5. Politische Anschlussfähigkeit</w:t>
      </w:r>
    </w:p>
    <w:p>
      <w:pPr>
        <w:spacing w:after="120" w:line="259" w:lineRule="auto"/>
      </w:pPr>
      <w:r>
        <w:rPr>
          <w:rFonts w:ascii="Liberation Sans" w:hAnsi="Liberation Sans" w:eastAsia="Liberation Sans"/>
          <w:color w:val="2E2A2C"/>
          <w:sz w:val="21"/>
        </w:rP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pStyle w:val="ListBullet"/>
        <w:spacing w:after="60"/>
      </w:pPr>
      <w:r>
        <w:rPr>
          <w:rFonts w:ascii="Liberation Sans" w:hAnsi="Liberation Sans" w:eastAsia="Liberation Sans"/>
          <w:color w:val="2E2A2C"/>
          <w:sz w:val="20"/>
        </w:rPr>
        <w:t>Mindestaufgabe: Wirkungen sichtbar und vergleichbar machen, ohne Grundrechte oder Pluralität einzuschränken.</w:t>
      </w:r>
    </w:p>
    <w:p>
      <w:pPr>
        <w:pStyle w:val="ListBullet"/>
        <w:spacing w:after="60"/>
      </w:pPr>
      <w:r>
        <w:rPr>
          <w:rFonts w:ascii="Liberation Sans" w:hAnsi="Liberation Sans" w:eastAsia="Liberation Sans"/>
          <w:color w:val="2E2A2C"/>
          <w:sz w:val="20"/>
        </w:rPr>
        <w:t>Ausgestaltungsoption Markt: Preise, Steuern, Förderungen und Beschaffung nach Wirkung ausrichten.</w:t>
      </w:r>
    </w:p>
    <w:p>
      <w:pPr>
        <w:pStyle w:val="ListBullet"/>
        <w:spacing w:after="60"/>
      </w:pPr>
      <w:r>
        <w:rPr>
          <w:rFonts w:ascii="Liberation Sans" w:hAnsi="Liberation Sans" w:eastAsia="Liberation Sans"/>
          <w:color w:val="2E2A2C"/>
          <w:sz w:val="20"/>
        </w:rPr>
        <w:t>Ausgestaltungsoption Staat: öffentliche Infrastruktur, Regulierung, Standards, Rechtsschutz und Evaluation stärken.</w:t>
      </w:r>
    </w:p>
    <w:p>
      <w:pPr>
        <w:pStyle w:val="ListBullet"/>
        <w:spacing w:after="60"/>
      </w:pPr>
      <w:r>
        <w:rPr>
          <w:rFonts w:ascii="Liberation Sans" w:hAnsi="Liberation Sans" w:eastAsia="Liberation Sans"/>
          <w:color w:val="2E2A2C"/>
          <w:sz w:val="20"/>
        </w:rPr>
        <w:t>Ausgestaltungsoption Kommune: lokale Piloträume, Beteiligung, Wirkungsbudgets und sozialräumliche Indikatoren nutzen.</w:t>
      </w:r>
    </w:p>
    <w:p>
      <w:pPr>
        <w:pStyle w:val="ListBullet"/>
        <w:spacing w:after="60"/>
      </w:pPr>
      <w:r>
        <w:rPr>
          <w:rFonts w:ascii="Liberation Sans" w:hAnsi="Liberation Sans" w:eastAsia="Liberation Sans"/>
          <w:color w:val="2E2A2C"/>
          <w:sz w:val="20"/>
        </w:rPr>
        <w:t>Ausgestaltungsoption sozial: Übergänge abfedern, Kaufkraftschutz, Teilhabe und Nicht-Diskriminierung sichern.</w:t>
      </w:r>
    </w:p>
    <w:p>
      <w:pPr>
        <w:pStyle w:val="ListBullet"/>
        <w:spacing w:after="60"/>
      </w:pPr>
      <w:r>
        <w:rPr>
          <w:rFonts w:ascii="Liberation Sans" w:hAnsi="Liberation Sans" w:eastAsia="Liberation Sans"/>
          <w:color w:val="2E2A2C"/>
          <w:sz w:val="20"/>
        </w:rPr>
        <w:t>Demokratische Offenheit: Parteien können unterschiedliche Gewichtungen, Zeithorizonte und Instrumente wählen, solange Wirkungsdaten transparent bleiben.</w:t>
      </w:r>
    </w:p>
    <w:p>
      <w:pPr>
        <w:pStyle w:val="Heading3"/>
      </w:pPr>
      <w:r>
        <w:t>6. Risiken, Nebenwirkungen und Schutz</w:t>
      </w:r>
    </w:p>
    <w:p>
      <w:pPr>
        <w:spacing w:after="120" w:line="259" w:lineRule="auto"/>
      </w:pPr>
      <w:r>
        <w:rPr>
          <w:rFonts w:ascii="Liberation Sans" w:hAnsi="Liberation Sans" w:eastAsia="Liberation Sans"/>
          <w:color w:val="2E2A2C"/>
          <w:sz w:val="21"/>
        </w:rP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pStyle w:val="ListBullet"/>
        <w:spacing w:after="60"/>
      </w:pPr>
      <w:r>
        <w:rPr>
          <w:rFonts w:ascii="Liberation Sans" w:hAnsi="Liberation Sans" w:eastAsia="Liberation Sans"/>
          <w:color w:val="2E2A2C"/>
          <w:sz w:val="20"/>
        </w:rPr>
        <w:t>Keine Personenbewertung und kein Social-Credit-System.</w:t>
      </w:r>
    </w:p>
    <w:p>
      <w:pPr>
        <w:pStyle w:val="ListBullet"/>
        <w:spacing w:after="60"/>
      </w:pPr>
      <w:r>
        <w:rPr>
          <w:rFonts w:ascii="Liberation Sans" w:hAnsi="Liberation Sans" w:eastAsia="Liberation Sans"/>
          <w:color w:val="2E2A2C"/>
          <w:sz w:val="20"/>
        </w:rPr>
        <w:t>Öffentliche Begründungspflicht für Bewertungskriterien.</w:t>
      </w:r>
    </w:p>
    <w:p>
      <w:pPr>
        <w:pStyle w:val="ListBullet"/>
        <w:spacing w:after="60"/>
      </w:pPr>
      <w:r>
        <w:rPr>
          <w:rFonts w:ascii="Liberation Sans" w:hAnsi="Liberation Sans" w:eastAsia="Liberation Sans"/>
          <w:color w:val="2E2A2C"/>
          <w:sz w:val="20"/>
        </w:rPr>
        <w:t>Einspruchs- und Korrekturverfahren.</w:t>
      </w:r>
    </w:p>
    <w:p>
      <w:pPr>
        <w:pStyle w:val="ListBullet"/>
        <w:spacing w:after="60"/>
      </w:pPr>
      <w:r>
        <w:rPr>
          <w:rFonts w:ascii="Liberation Sans" w:hAnsi="Liberation Sans" w:eastAsia="Liberation Sans"/>
          <w:color w:val="2E2A2C"/>
          <w:sz w:val="20"/>
        </w:rPr>
        <w:t>Verhältnismäßigkeit für kleine Akteure und Übergangsfristen.</w:t>
      </w:r>
    </w:p>
    <w:p>
      <w:pPr>
        <w:pStyle w:val="ListBullet"/>
        <w:spacing w:after="60"/>
      </w:pPr>
      <w:r>
        <w:rPr>
          <w:rFonts w:ascii="Liberation Sans" w:hAnsi="Liberation Sans" w:eastAsia="Liberation Sans"/>
          <w:color w:val="2E2A2C"/>
          <w:sz w:val="20"/>
        </w:rPr>
        <w:t>Unabhängige Evaluation durch geeignete Institutionen.</w:t>
      </w:r>
    </w:p>
    <w:p>
      <w:pPr>
        <w:pStyle w:val="ListBullet"/>
        <w:spacing w:after="60"/>
      </w:pPr>
      <w:r>
        <w:rPr>
          <w:rFonts w:ascii="Liberation Sans" w:hAnsi="Liberation Sans" w:eastAsia="Liberation Sans"/>
          <w:color w:val="2E2A2C"/>
          <w:sz w:val="20"/>
        </w:rPr>
        <w:t>Regelmäßige Überprüfung der Indikatoren und Benchmarks.</w:t>
      </w:r>
    </w:p>
    <w:p>
      <w:pPr>
        <w:pStyle w:val="Heading3"/>
      </w:pPr>
      <w:r>
        <w:t>7. Umsetzung und Pilotierung</w:t>
      </w:r>
    </w:p>
    <w:p>
      <w:pPr>
        <w:spacing w:after="120" w:line="259" w:lineRule="auto"/>
      </w:pPr>
      <w:r>
        <w:rPr>
          <w:rFonts w:ascii="Liberation Sans" w:hAnsi="Liberation Sans" w:eastAsia="Liberation Sans"/>
          <w:color w:val="2E2A2C"/>
          <w:sz w:val="21"/>
        </w:rP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Heading3"/>
      </w:pPr>
      <w:r>
        <w:t>8. Online-, Dossier- und Toolbezug</w:t>
      </w:r>
    </w:p>
    <w:p>
      <w:pPr>
        <w:spacing w:after="120" w:line="259" w:lineRule="auto"/>
      </w:pPr>
      <w:r>
        <w:rPr>
          <w:rFonts w:ascii="Liberation Sans" w:hAnsi="Liberation Sans" w:eastAsia="Liberation Sans"/>
          <w:color w:val="2E2A2C"/>
          <w:sz w:val="21"/>
        </w:rP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tbl>
      <w:tblPr>
        <w:tblW w:type="auto" w:w="0"/>
        <w:tblLook w:firstColumn="1" w:firstRow="1" w:lastColumn="0" w:lastRow="0" w:noHBand="0" w:noVBand="1" w:val="04A0"/>
      </w:tblPr>
      <w:tblGrid>
        <w:gridCol w:w="10166"/>
      </w:tblGrid>
      <w:tr>
        <w:tc>
          <w:tcPr>
            <w:tcW w:type="dxa" w:w="10166"/>
            <w:shd w:fill="F7F4ED"/>
            <w:tcBorders>
              <w:top w:val="single" w:sz="8" w:space="0" w:color="2B7D5C"/>
              <w:left w:val="single" w:sz="8" w:space="0" w:color="2B7D5C"/>
              <w:bottom w:val="single" w:sz="8" w:space="0" w:color="2B7D5C"/>
              <w:right w:val="single" w:sz="8" w:space="0" w:color="2B7D5C"/>
            </w:tcBorders>
          </w:tcPr>
          <w:p>
            <w:r>
              <w:rPr>
                <w:rFonts w:ascii="Liberation Sans" w:hAnsi="Liberation Sans" w:eastAsia="Liberation Sans"/>
                <w:b/>
                <w:color w:val="2B7D5C"/>
                <w:sz w:val="20"/>
              </w:rPr>
              <w:t>Kernformel</w:t>
              <w:br/>
            </w:r>
            <w:r>
              <w:rPr>
                <w:rFonts w:ascii="Liberation Sans" w:hAnsi="Liberation Sans" w:eastAsia="Liberation Sans"/>
                <w:color w:val="2E2A2C"/>
                <w:sz w:val="20"/>
              </w:rPr>
              <w:t>Politische Rahmenbedingungen: Nicht die Aktivität allein zählt, sondern ihre positive Netto-Wirkung, ihre Risiken und ihre demokratisch überprüfbare Rückkopplung.</w:t>
            </w:r>
          </w:p>
        </w:tc>
      </w:tr>
    </w:tbl>
    <w:p/>
    <w:p>
      <w:pPr>
        <w:pStyle w:val="Heading1"/>
      </w:pPr>
      <w:r>
        <w:t>Gemeinsame Veröffentlichungslogik</w:t>
      </w:r>
    </w:p>
    <w:p>
      <w:pPr>
        <w:spacing w:after="120" w:line="259" w:lineRule="auto"/>
      </w:pPr>
      <w:r>
        <w:rPr>
          <w:rFonts w:ascii="Liberation Sans" w:hAnsi="Liberation Sans" w:eastAsia="Liberation Sans"/>
          <w:color w:val="2E2A2C"/>
          <w:sz w:val="21"/>
        </w:rPr>
        <w:t>Jeder Unterbereich wird auf der Website als vollständige Online-Fassung veröffentlicht. Das Detailkonzept bildet die fachliche Grundlage, das Einzeldossier ergänzt Beispiele, Berechnungen, Datenquellen und Umsetzungsvarianten. Downloads sind Export und Archiv, nicht der Hauptzugang.</w:t>
      </w:r>
    </w:p>
    <w:p>
      <w:pPr>
        <w:pStyle w:val="Heading1"/>
      </w:pPr>
      <w:r>
        <w:t>Quellen- und Referenzrahmen</w:t>
      </w:r>
    </w:p>
    <w:p>
      <w:pPr>
        <w:pStyle w:val="ListBullet"/>
        <w:spacing w:after="60"/>
      </w:pPr>
      <w:r>
        <w:rPr>
          <w:rFonts w:ascii="Liberation Sans" w:hAnsi="Liberation Sans" w:eastAsia="Liberation Sans"/>
          <w:color w:val="2E2A2C"/>
          <w:sz w:val="20"/>
        </w:rPr>
        <w:t>Natalie Weber: Die neue Ordnung des Wohlstands - aktuelles Buch und Buchanker.</w:t>
      </w:r>
    </w:p>
    <w:p>
      <w:pPr>
        <w:pStyle w:val="ListBullet"/>
        <w:spacing w:after="60"/>
      </w:pPr>
      <w:r>
        <w:rPr>
          <w:rFonts w:ascii="Liberation Sans" w:hAnsi="Liberation Sans" w:eastAsia="Liberation Sans"/>
          <w:color w:val="2E2A2C"/>
          <w:sz w:val="20"/>
        </w:rPr>
        <w:t>Führender Begriffsleitfaden der Wirkungsökonomie, Version 1.0.</w:t>
      </w:r>
    </w:p>
    <w:p>
      <w:pPr>
        <w:pStyle w:val="ListBullet"/>
        <w:spacing w:after="60"/>
      </w:pPr>
      <w:r>
        <w:rPr>
          <w:rFonts w:ascii="Liberation Sans" w:hAnsi="Liberation Sans" w:eastAsia="Liberation Sans"/>
          <w:color w:val="2E2A2C"/>
          <w:sz w:val="20"/>
        </w:rPr>
        <w:t>Systemmodell der Wirkungsökonomie.</w:t>
      </w:r>
    </w:p>
    <w:p>
      <w:pPr>
        <w:pStyle w:val="ListBullet"/>
        <w:spacing w:after="60"/>
      </w:pPr>
      <w:r>
        <w:rPr>
          <w:rFonts w:ascii="Liberation Sans" w:hAnsi="Liberation Sans" w:eastAsia="Liberation Sans"/>
          <w:color w:val="2E2A2C"/>
          <w:sz w:val="20"/>
        </w:rPr>
        <w:t>Je nach Bereich: Produktpapier, T-SROI-Whitepaper, WStG, Wirkungsrat-Konzept, Wohnungsmarkt-Working-Paper, Lieferkettenpapier, WUStG-Leitlinien.</w:t>
      </w:r>
    </w:p>
    <w:p>
      <w:pPr>
        <w:pStyle w:val="ListBullet"/>
        <w:spacing w:after="60"/>
      </w:pPr>
      <w:r>
        <w:rPr>
          <w:rFonts w:ascii="Liberation Sans" w:hAnsi="Liberation Sans" w:eastAsia="Liberation Sans"/>
          <w:color w:val="2E2A2C"/>
          <w:sz w:val="20"/>
        </w:rPr>
        <w:t>Externe Anschlussquellen: UN-SDGs, UN-Indikatoren, CSRD/ESRS, EFRAG, GRI, Eurostat, Destatis, EU-Taxonomie, OECD-Leitlinien, soweit fachlich relevant.</w:t>
      </w:r>
    </w:p>
    <w:sectPr w:rsidR="00FC693F" w:rsidRPr="0006063C" w:rsidSect="00034616">
      <w:footerReference w:type="default" r:id="rId9"/>
      <w:pgSz w:w="12240" w:h="15840"/>
      <w:pgMar w:top="1037"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777777"/>
        <w:sz w:val="16"/>
      </w:rPr>
      <w:t>Wirkungsökonomie - Natalie Weber - öffentliche Arbeitsfassung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color w:val="2E2A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erif" w:hAnsi="Liberation Serif" w:eastAsia="Liberation Serif"/>
      <w:b/>
      <w:bCs/>
      <w:color w:val="0B1030"/>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erif" w:hAnsi="Liberation Serif" w:eastAsia="Liberation Serif"/>
      <w:b/>
      <w:bCs/>
      <w:color w:val="0B103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2B7D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erif" w:hAnsi="Liberation Serif" w:eastAsia="Liberation Serif"/>
      <w:b/>
      <w:color w:val="0B103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woek_produkte_konsum_detailkonzepte_umfangreich_v0_2</dc:title>
  <dc:subject>Wirkungsökonomie</dc:subject>
  <dc:creator>Natalie Weber</dc:creator>
  <cp:keywords>Wirkungsökonomie, Natalie Weber, Wirkung statt Kapital, Mensch Planet Demokratie</cp:keywords>
  <dc:description>generated by python-docx</dc:description>
  <cp:lastModifiedBy/>
  <cp:revision>1</cp:revision>
  <dcterms:created xsi:type="dcterms:W3CDTF">2013-12-23T23:15:00Z</dcterms:created>
  <dcterms:modified xsi:type="dcterms:W3CDTF">2013-12-23T23:15:00Z</dcterms:modified>
  <cp:category/>
</cp:coreProperties>
</file>