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jc w:val="left"/>
      </w:pPr>
      <w:r>
        <w:rPr>
          <w:rFonts w:ascii="Georgia" w:hAnsi="Georgia"/>
          <w:b/>
          <w:color w:val="0B132B"/>
          <w:sz w:val="36"/>
        </w:rPr>
        <w:t>WIRKUNGSÖKONOMIE</w:t>
      </w:r>
    </w:p>
    <w:p>
      <w:r>
        <w:rPr>
          <w:rFonts w:ascii="Arial" w:hAnsi="Arial"/>
          <w:b/>
          <w:color w:val="C89B3C"/>
          <w:sz w:val="20"/>
        </w:rPr>
        <w:t>Für Mensch, Planet und Demokratie.</w:t>
      </w:r>
    </w:p>
    <w:p/>
    <w:p>
      <w:pPr>
        <w:pStyle w:val="Title"/>
      </w:pPr>
      <w:r>
        <w:t>Rente &amp; soziale Sicherung</w:t>
      </w:r>
    </w:p>
    <w:p>
      <w:r>
        <w:rPr>
          <w:rFonts w:ascii="Georgia" w:hAnsi="Georgia"/>
          <w:color w:val="2B7D5C"/>
          <w:sz w:val="30"/>
        </w:rPr>
        <w:t>Einzeldossiers zu Berechnungen, Beispielen und Umsetzung der Unterbereiche</w:t>
      </w:r>
    </w:p>
    <w:p>
      <w:r>
        <w:rPr>
          <w:rFonts w:ascii="Arial" w:hAnsi="Arial"/>
          <w:b/>
          <w:color w:val="C89B3C"/>
          <w:sz w:val="22"/>
        </w:rPr>
        <w:t>Einzeldossier-Set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F6F1E8"/>
          </w:tcPr>
          <w:p>
            <w:r/>
            <w:r>
              <w:rPr>
                <w:rFonts w:ascii="Arial" w:hAnsi="Arial"/>
                <w:b/>
                <w:color w:val="0B132B"/>
                <w:sz w:val="17"/>
              </w:rPr>
              <w:t>Autorin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Natalie Weber</w:t>
            </w:r>
          </w:p>
        </w:tc>
      </w:tr>
      <w:tr>
        <w:tc>
          <w:tcPr>
            <w:tcW w:type="dxa" w:w="5100"/>
            <w:vAlign w:val="top"/>
            <w:shd w:fill="F6F1E8"/>
          </w:tcPr>
          <w:p>
            <w:r/>
            <w:r>
              <w:rPr>
                <w:rFonts w:ascii="Arial" w:hAnsi="Arial"/>
                <w:b/>
                <w:color w:val="0B132B"/>
                <w:sz w:val="17"/>
              </w:rPr>
              <w:t>Referenz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Wirkungsökonomie</w:t>
            </w:r>
          </w:p>
        </w:tc>
      </w:tr>
      <w:tr>
        <w:tc>
          <w:tcPr>
            <w:tcW w:type="dxa" w:w="5100"/>
            <w:vAlign w:val="top"/>
            <w:shd w:fill="F6F1E8"/>
          </w:tcPr>
          <w:p>
            <w:r/>
            <w:r>
              <w:rPr>
                <w:rFonts w:ascii="Arial" w:hAnsi="Arial"/>
                <w:b/>
                <w:color w:val="0B132B"/>
                <w:sz w:val="17"/>
              </w:rPr>
              <w:t>Version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v0.1</w:t>
            </w:r>
          </w:p>
        </w:tc>
      </w:tr>
      <w:tr>
        <w:tc>
          <w:tcPr>
            <w:tcW w:type="dxa" w:w="5100"/>
            <w:vAlign w:val="top"/>
            <w:shd w:fill="F6F1E8"/>
          </w:tcPr>
          <w:p>
            <w:r/>
            <w:r>
              <w:rPr>
                <w:rFonts w:ascii="Arial" w:hAnsi="Arial"/>
                <w:b/>
                <w:color w:val="0B132B"/>
                <w:sz w:val="17"/>
              </w:rPr>
              <w:t>Status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Diskussionsfassung</w:t>
            </w:r>
          </w:p>
        </w:tc>
      </w:tr>
      <w:tr>
        <w:tc>
          <w:tcPr>
            <w:tcW w:type="dxa" w:w="5100"/>
            <w:vAlign w:val="top"/>
            <w:shd w:fill="F6F1E8"/>
          </w:tcPr>
          <w:p>
            <w:r/>
            <w:r>
              <w:rPr>
                <w:rFonts w:ascii="Arial" w:hAnsi="Arial"/>
                <w:b/>
                <w:color w:val="0B132B"/>
                <w:sz w:val="17"/>
              </w:rPr>
              <w:t>Stand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24. Mai 2026</w:t>
            </w:r>
          </w:p>
        </w:tc>
      </w:tr>
      <w:tr>
        <w:tc>
          <w:tcPr>
            <w:tcW w:type="dxa" w:w="5100"/>
            <w:vAlign w:val="top"/>
            <w:shd w:fill="F6F1E8"/>
          </w:tcPr>
          <w:p>
            <w:r/>
            <w:r>
              <w:rPr>
                <w:rFonts w:ascii="Arial" w:hAnsi="Arial"/>
                <w:b/>
                <w:color w:val="0B132B"/>
                <w:sz w:val="17"/>
              </w:rPr>
              <w:t>Öffentlichkeit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Online lesbar und als Download verfügbar</w:t>
            </w:r>
          </w:p>
        </w:tc>
      </w:tr>
    </w:tbl>
    <w:p/>
    <w:p>
      <w:r>
        <w:rPr>
          <w:i/>
          <w:color w:val="6B6F73"/>
          <w:sz w:val="18"/>
        </w:rPr>
        <w:t>Leitformel: Wirkung ist neutral und relational. Bewertet wird sie am Referenzrahmen der SDGs, der Agenda 2030 und SDG+. Ziel ist positive Netto-Wirkung für Mensch, Planet und Demokratie.</w:t>
      </w:r>
    </w:p>
    <w:p>
      <w:r>
        <w:br w:type="page"/>
      </w:r>
    </w:p>
    <w:p>
      <w:pPr>
        <w:pStyle w:val="Heading1"/>
      </w:pPr>
      <w:r>
        <w:t>Inhaltslogik</w:t>
      </w:r>
    </w:p>
    <w:p>
      <w:pPr>
        <w:pStyle w:val="Heading1"/>
      </w:pPr>
      <w:r>
        <w:t>Dossier 1: Wirkungsrente und neuer Generationenvertrag</w:t>
      </w:r>
    </w:p>
    <w:p>
      <w:pPr>
        <w:pStyle w:val="Heading2"/>
      </w:pPr>
      <w:r>
        <w:t>1. Kurzfassung</w:t>
      </w:r>
    </w:p>
    <w:p>
      <w:r>
        <w:t>Dieses Einzeldossier macht den Baustein "Wirkungsrente und neuer Generationenvertrag"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Pflege Angehörige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 Jahre Teilzeit + 8 Jahre Pflege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1,20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+ 240 Euro Modellbonus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Ehrenamt lokal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regelmäßige Sozial- oder Demokratiearbeit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Zusatzbonus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2: Basisrente, Würdesicherung und soziale Teilhabe</w:t>
      </w:r>
    </w:p>
    <w:p>
      <w:pPr>
        <w:pStyle w:val="Heading2"/>
      </w:pPr>
      <w:r>
        <w:t>1. Kurzfassung</w:t>
      </w:r>
    </w:p>
    <w:p>
      <w:r>
        <w:t>Dieses Einzeldossier macht den Baustein "Basisrente, Würdesicherung und soziale Teilhabe"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Pflege Angehörige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 Jahre Teilzeit + 8 Jahre Pflege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1,20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+ 240 Euro Modellbonus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Ehrenamt lokal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regelmäßige Sozial- oder Demokratiearbeit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Zusatzbonus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3: Lebenswirkungs-Konto und Wirkungsbiografie</w:t>
      </w:r>
    </w:p>
    <w:p>
      <w:pPr>
        <w:pStyle w:val="Heading2"/>
      </w:pPr>
      <w:r>
        <w:t>1. Kurzfassung</w:t>
      </w:r>
    </w:p>
    <w:p>
      <w:r>
        <w:t>Dieses Einzeldossier macht den Baustein "Lebenswirkungs-Konto und Wirkungsbiografie"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Standardfall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klassische Erwerbsbiografie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Anwartschaft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Wirkungsfall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zusätzliche anerkannte Wirkleistung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4: Lebenswirkungs-Faktor und Berechnungslogik</w:t>
      </w:r>
    </w:p>
    <w:p>
      <w:pPr>
        <w:pStyle w:val="Heading2"/>
      </w:pPr>
      <w:r>
        <w:t>1. Kurzfassung</w:t>
      </w:r>
    </w:p>
    <w:p>
      <w:r>
        <w:t>Dieses Einzeldossier macht den Baustein "Lebenswirkungs-Faktor und Berechnungslogik"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Standardfall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klassische Erwerbsbiografie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Anwartschaft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Wirkungsfall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zusätzliche anerkannte Wirkleistung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5: Care, Bildung, Pflege, Ehrenamt und Wirkleistung</w:t>
      </w:r>
    </w:p>
    <w:p>
      <w:pPr>
        <w:pStyle w:val="Heading2"/>
      </w:pPr>
      <w:r>
        <w:t>1. Kurzfassung</w:t>
      </w:r>
    </w:p>
    <w:p>
      <w:r>
        <w:t>Dieses Einzeldossier macht den Baustein "Care, Bildung, Pflege, Ehrenamt und Wirkleistung"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Pflege Angehörige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 Jahre Teilzeit + 8 Jahre Pflege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1,20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+ 240 Euro Modellbonus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Ehrenamt lokal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regelmäßige Sozial- oder Demokratiearbeit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Zusatzbonus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6: Automatisierung, Sozialabgaben-Entkopplung und Wirkungsdividende</w:t>
      </w:r>
    </w:p>
    <w:p>
      <w:pPr>
        <w:pStyle w:val="Heading2"/>
      </w:pPr>
      <w:r>
        <w:t>1. Kurzfassung</w:t>
      </w:r>
    </w:p>
    <w:p>
      <w:r>
        <w:t>Dieses Einzeldossier macht den Baustein "Automatisierung, Sozialabgaben-Entkopplung und Wirkungsdividende"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Robotik ersetzt Schichtarbeit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Produktivität steigt, Lohnsumme sinkt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Maschinenwertschöpfungsbeitrag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Wirkungsfonds finanziert Übergänge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KI entlastet Pflege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Zeit für Beziehung steigt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 Wirkung bei guter Governance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Bonus statt Maschinenstrafe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7: Renten-Impact-Fonds und Wirkungsfondsarchitektur</w:t>
      </w:r>
    </w:p>
    <w:p>
      <w:pPr>
        <w:pStyle w:val="Heading2"/>
      </w:pPr>
      <w:r>
        <w:t>1. Kurzfassung</w:t>
      </w:r>
    </w:p>
    <w:p>
      <w:r>
        <w:t>Dieses Einzeldossier macht den Baustein "Renten-Impact-Fonds und Wirkungsfondsarchitektur"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Renten-Impact-Fonds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100 Mio. Euro in Wohn- und Gesundheitswirkung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T-SROI + NWI Monitoring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Fondsdividende + soziale Folgekostenreduktion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Private Vorsorge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Kapitalwirkung ≥ 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Transparenzlabel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geringeres Wirkungsrisiko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8: Betriebliche und private Vorsorge nach Wirkung</w:t>
      </w:r>
    </w:p>
    <w:p>
      <w:pPr>
        <w:pStyle w:val="Heading2"/>
      </w:pPr>
      <w:r>
        <w:t>1. Kurzfassung</w:t>
      </w:r>
    </w:p>
    <w:p>
      <w:r>
        <w:t>Dieses Einzeldossier macht den Baustein "Betriebliche und private Vorsorge nach Wirkung"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Renten-Impact-Fonds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100 Mio. Euro in Wohn- und Gesundheitswirkung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T-SROI + NWI Monitoring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Fondsdividende + soziale Folgekostenreduktion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Private Vorsorge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Kapitalwirkung ≥ 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Transparenzlabel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geringeres Wirkungsrisiko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9: Rechtsschutz, Datenschutz und Korrekturverfahren</w:t>
      </w:r>
    </w:p>
    <w:p>
      <w:pPr>
        <w:pStyle w:val="Heading2"/>
      </w:pPr>
      <w:r>
        <w:t>1. Kurzfassung</w:t>
      </w:r>
    </w:p>
    <w:p>
      <w:r>
        <w:t>Dieses Einzeldossier macht den Baustein "Rechtsschutz, Datenschutz und Korrekturverfahren"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Standardfall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klassische Erwerbsbiografie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Anwartschaft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Wirkungsfall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zusätzliche anerkannte Wirkleistung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Dossier 10: Politische Anschlussfähigkeit und Umsetzungsoptionen</w:t>
      </w:r>
    </w:p>
    <w:p>
      <w:pPr>
        <w:pStyle w:val="Heading2"/>
      </w:pPr>
      <w:r>
        <w:t>1. Kurzfassung</w:t>
      </w:r>
    </w:p>
    <w:p>
      <w:r>
        <w:t>Dieses Einzeldossier macht den Baustein "Politische Anschlussfähigkeit und Umsetzungsoptionen" praktisch. Es beschreibt Anwendungsfälle, Datenquellen, Berechnungslogik, Grenzen und politische Umsetzung.</w:t>
      </w:r>
    </w:p>
    <w:p>
      <w:pPr>
        <w:pStyle w:val="Heading2"/>
      </w:pPr>
      <w:r>
        <w:t>2. Beispielhafte Anwendung</w:t>
      </w:r>
    </w:p>
    <w:p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Arbeitsannahme</w:t>
            </w:r>
          </w:p>
        </w:tc>
        <w:tc>
          <w:tcPr>
            <w:tcW w:type="dxa" w:w="340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Lebensphase, Beitrag, Care-/Engagementzeiten, Sektorbezug, Fondsanteil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nur erforderliche Daten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Bewertung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positiver Wirkungsbeitrag innerhalb eines Schutzkorridors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Personenabwertung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verständliche Wirkungsklasse und Beispielauswirkung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keine Rechtsverbindlichkeit</w:t>
            </w:r>
          </w:p>
        </w:tc>
      </w:tr>
      <w:tr>
        <w:tc>
          <w:tcPr>
            <w:tcW w:type="dxa" w:w="340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Korrektur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Widerspruch, manuelle Prüfung, Nachreichung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rechtsstaatlich nötig</w:t>
            </w:r>
          </w:p>
        </w:tc>
      </w:tr>
    </w:tbl>
    <w:p/>
    <w:p>
      <w:pPr>
        <w:pStyle w:val="Heading2"/>
      </w:pPr>
      <w:r>
        <w:t>3. Rechenbeispiel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Fall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Datenlage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550"/>
            <w:vAlign w:val="top"/>
            <w:shd w:fill="0B132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Modellergebnis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Standardfall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klassische Erwerbsbiografie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1,00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Basis + Anwartschaft</w:t>
            </w:r>
          </w:p>
        </w:tc>
      </w:tr>
      <w:tr>
        <w:tc>
          <w:tcPr>
            <w:tcW w:type="dxa" w:w="2550"/>
            <w:vAlign w:val="top"/>
            <w:shd w:fill="F6F1E8"/>
          </w:tcPr>
          <w:p>
            <w:r/>
            <w:r>
              <w:rPr>
                <w:rFonts w:ascii="Arial" w:hAnsi="Arial"/>
                <w:b w:val="0"/>
                <w:sz w:val="16"/>
              </w:rPr>
              <w:t>Wirkungsfall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zusätzliche anerkannte Wirkleistung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LWF 1,10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begrenzter Bonus</w:t>
            </w:r>
          </w:p>
        </w:tc>
      </w:tr>
    </w:tbl>
    <w:p/>
    <w:p>
      <w:pPr>
        <w:pStyle w:val="Heading2"/>
      </w:pPr>
      <w:r>
        <w:t>4. Datenquellen</w:t>
      </w:r>
    </w:p>
    <w:p>
      <w:pPr>
        <w:pStyle w:val="ListBullet"/>
      </w:pPr>
      <w:r>
        <w:t>Rentenversicherungsdaten und Beitragszeiten.</w:t>
      </w:r>
    </w:p>
    <w:p>
      <w:pPr>
        <w:pStyle w:val="ListBullet"/>
      </w:pPr>
      <w:r>
        <w:t>Antrags- und Nachweisdaten aus Pflege, Bildung, Ehrenamt oder Engagement.</w:t>
      </w:r>
    </w:p>
    <w:p>
      <w:pPr>
        <w:pStyle w:val="ListBullet"/>
      </w:pPr>
      <w:r>
        <w:t>WÖk-ID-/SDG-/SDG+-Zuordnung für Wirkungsräume.</w:t>
      </w:r>
    </w:p>
    <w:p>
      <w:pPr>
        <w:pStyle w:val="ListBullet"/>
      </w:pPr>
      <w:r>
        <w:t>Fonds- und Kapitalwirkungsdaten, sofern relevant.</w:t>
      </w:r>
    </w:p>
    <w:p>
      <w:pPr>
        <w:pStyle w:val="ListBullet"/>
      </w:pPr>
      <w:r>
        <w:t>Öffentliche Statistik: BMAS, DRV, Destatis, OECD.</w:t>
      </w:r>
    </w:p>
    <w:p>
      <w:pPr>
        <w:pStyle w:val="Heading2"/>
      </w:pPr>
      <w:r>
        <w:t>5. Grenzen und Missbrauchsschutz</w:t>
      </w:r>
    </w:p>
    <w:p>
      <w:pPr>
        <w:pStyle w:val="ListBullet"/>
      </w:pPr>
      <w:r>
        <w:t>Keine endgültige automatisierte Entscheidung.</w:t>
      </w:r>
    </w:p>
    <w:p>
      <w:pPr>
        <w:pStyle w:val="ListBullet"/>
      </w:pPr>
      <w:r>
        <w:t>Kein Scoring der Würde oder des Menschenwerts.</w:t>
      </w:r>
    </w:p>
    <w:p>
      <w:pPr>
        <w:pStyle w:val="ListBullet"/>
      </w:pPr>
      <w:r>
        <w:t>Unsichere Daten dürfen nicht zu Lasten der Betroffenen gehen.</w:t>
      </w:r>
    </w:p>
    <w:p>
      <w:pPr>
        <w:pStyle w:val="ListBullet"/>
      </w:pPr>
      <w:r>
        <w:t>Methodik muss öffentlich, überprüfbar und korrigierbar sein.</w:t>
      </w:r>
    </w:p>
    <w:p>
      <w:pPr>
        <w:pStyle w:val="ListBullet"/>
      </w:pPr>
      <w:r>
        <w:t>Wirkungsrat und Gerichte sichern Missbrauchsschutz.</w:t>
      </w:r>
    </w:p>
    <w:p>
      <w:pPr>
        <w:pStyle w:val="Heading2"/>
      </w:pPr>
      <w:r>
        <w:t>6. Politische Umsetzung</w:t>
      </w:r>
    </w:p>
    <w:p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r>
        <w:br w:type="page"/>
      </w:r>
    </w:p>
    <w:p>
      <w:pPr>
        <w:pStyle w:val="Heading1"/>
      </w:pPr>
      <w:r>
        <w:t>Quellen und Referenzen</w:t>
      </w:r>
    </w:p>
    <w:p>
      <w:r>
        <w:t>Die folgenden Quellen dienen als öffentliche und methodische Referenzpunkte. Externe Links sind als Informationsquellen angegeben; die wirkungsökonomische Einordnung erfolgt im Rahmen der Wirkungsökonomie.</w:t>
      </w:r>
    </w:p>
    <w:p>
      <w:pPr>
        <w:pStyle w:val="ListBullet"/>
      </w:pPr>
      <w:r>
        <w:rPr>
          <w:b/>
        </w:rPr>
        <w:t xml:space="preserve">WÖk-Arbeitspapier Rentensystem: </w:t>
      </w:r>
      <w:r>
        <w:t>WP_Rente.pdf, Natalie Weber, 2025</w:t>
      </w:r>
    </w:p>
    <w:p>
      <w:pPr>
        <w:pStyle w:val="ListBullet"/>
      </w:pPr>
      <w:r>
        <w:rPr>
          <w:b/>
        </w:rPr>
        <w:t xml:space="preserve">Wenn Maschinen arbeiten: </w:t>
      </w:r>
      <w:r>
        <w:t>Natalie Weber, 2025</w:t>
      </w:r>
    </w:p>
    <w:p>
      <w:pPr>
        <w:pStyle w:val="ListBullet"/>
      </w:pPr>
      <w:r>
        <w:rPr>
          <w:b/>
        </w:rPr>
        <w:t xml:space="preserve">Die neue Ordnung des Wohlstands: </w:t>
      </w:r>
      <w:r>
        <w:t>Natalie Weber, 2026, Kapitel 56-58 und Exkurs SDGs</w:t>
      </w:r>
    </w:p>
    <w:p>
      <w:pPr>
        <w:pStyle w:val="ListBullet"/>
      </w:pPr>
      <w:r>
        <w:rPr>
          <w:b/>
        </w:rPr>
        <w:t xml:space="preserve">Systemmodell der Wirkungsökonomie: </w:t>
      </w:r>
      <w:r>
        <w:t>Natalie Weber, 2025, Finanzsystem &amp; Kapital / Gesellschaft &amp; Soziales</w:t>
      </w:r>
    </w:p>
    <w:p>
      <w:pPr>
        <w:pStyle w:val="ListBullet"/>
      </w:pPr>
      <w:r>
        <w:rPr>
          <w:b/>
        </w:rPr>
        <w:t xml:space="preserve">Führender Begriffsleitfaden: </w:t>
      </w:r>
      <w:r>
        <w:t>Wirkung ist neutral und relational, SDGs/Agenda2030/SDG+ als Referenzrahmen</w:t>
      </w:r>
    </w:p>
    <w:p>
      <w:pPr>
        <w:pStyle w:val="ListBullet"/>
      </w:pPr>
      <w:r>
        <w:rPr>
          <w:b/>
        </w:rPr>
        <w:t xml:space="preserve">BMAS Rentenversicherungsbericht 2025: </w:t>
      </w:r>
      <w:hyperlink ns2:id="rId11">
        <w:r>
          <w:rPr>
            <w:color w:val="2B7D5C"/>
            <w:u w:val="single"/>
          </w:rPr>
          <w:t>https://www.bmas.de/SharedDocs/Downloads/DE/Rente/rentenversicherungsbericht-2025.html</w:t>
        </w:r>
      </w:hyperlink>
    </w:p>
    <w:p>
      <w:pPr>
        <w:pStyle w:val="ListBullet"/>
      </w:pPr>
      <w:r>
        <w:rPr>
          <w:b/>
        </w:rPr>
        <w:t xml:space="preserve">Destatis Babyboomer und Erwerbspersonen 2025: </w:t>
      </w:r>
      <w:hyperlink ns2:id="rId12">
        <w:r>
          <w:rPr>
            <w:color w:val="2B7D5C"/>
            <w:u w:val="single"/>
          </w:rPr>
          <w:t>https://www.destatis.de/DE/Presse/Pressemitteilungen/2025/08/PD25_N048_13.html</w:t>
        </w:r>
      </w:hyperlink>
    </w:p>
    <w:p>
      <w:pPr>
        <w:pStyle w:val="ListBullet"/>
      </w:pPr>
      <w:r>
        <w:rPr>
          <w:b/>
        </w:rPr>
        <w:t xml:space="preserve">Destatis Altenquotient 2025: </w:t>
      </w:r>
      <w:hyperlink ns2:id="rId13">
        <w:r>
          <w:rPr>
            <w:color w:val="2B7D5C"/>
            <w:u w:val="single"/>
          </w:rPr>
          <w:t>https://www.destatis.de/DE/Themen/Querschnitt/Demografischer-Wandel/Aspekte/demografie-altenquotient.html</w:t>
        </w:r>
      </w:hyperlink>
    </w:p>
    <w:p>
      <w:pPr>
        <w:pStyle w:val="ListBullet"/>
      </w:pPr>
      <w:r>
        <w:rPr>
          <w:b/>
        </w:rPr>
        <w:t xml:space="preserve">Deutsche Rentenversicherung in Zahlen 2025: </w:t>
      </w:r>
      <w:hyperlink ns2:id="rId14">
        <w:r>
          <w:rPr>
            <w:color w:val="2B7D5C"/>
            <w:u w:val="single"/>
          </w:rPr>
          <w:t>https://www.deutsche-rentenversicherung.de/SharedDocs/Downloads/DE/Statistiken-und-Berichte/statistikpublikationen/rv_in_zahlen.html</w:t>
        </w:r>
      </w:hyperlink>
    </w:p>
    <w:p>
      <w:pPr>
        <w:pStyle w:val="ListBullet"/>
      </w:pPr>
      <w:r>
        <w:rPr>
          <w:b/>
        </w:rPr>
        <w:t xml:space="preserve">OECD Pensions at a Glance 2025: Germany: </w:t>
      </w:r>
      <w:hyperlink ns2:id="rId15">
        <w:r>
          <w:rPr>
            <w:color w:val="2B7D5C"/>
            <w:u w:val="single"/>
          </w:rPr>
          <w:t>https://www.oecd.org/en/publications/pensions-at-a-glance-2025-country-notes_8a53ef12-en/germany_c480c8fa-en.html</w:t>
        </w:r>
      </w:hyperlink>
    </w:p>
    <w:sectPr w:rsidR="00FC693F" w:rsidRPr="0006063C" w:rsidSect="00034616">
      <w:headerReference w:type="default" ns2:id="rId9"/>
      <w:footerReference w:type="default" ns2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4"/>
      </w:rPr>
      <w:t>Natalie Weber · Wirkungsökonomie · Version v0.1 · Stand 24.05.2026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B7D5C"/>
        <w:sz w:val="16"/>
      </w:rPr>
      <w:t>WIRKUNGSÖKONOMIE · Einzeldossiers Rente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4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13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13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B13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3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mas.de/DE/Service/Presse/Pressemitteilungen/2025/bundeskabinett-beschliesst-rentenversicherungsbericht-2025.html" TargetMode="External"/><Relationship Id="rId12" Type="http://schemas.openxmlformats.org/officeDocument/2006/relationships/hyperlink" Target="https://www.destatis.de/DE/Presse/Pressemitteilungen/2025/08/PD25_N048_13.html" TargetMode="External"/><Relationship Id="rId13" Type="http://schemas.openxmlformats.org/officeDocument/2006/relationships/hyperlink" Target="https://www.destatis.de/DE/Themen/Querschnitt/Demografischer-Wandel/Aspekte/demografie-altenquotient.html" TargetMode="External"/><Relationship Id="rId14" Type="http://schemas.openxmlformats.org/officeDocument/2006/relationships/hyperlink" Target="https://www.deutsche-rentenversicherung.de/SharedDocs/Downloads/DE/Statistiken-und-Berichte/statistikpublikationen/rv_in_zahlen.pdf" TargetMode="External"/><Relationship Id="rId15" Type="http://schemas.openxmlformats.org/officeDocument/2006/relationships/hyperlink" Target="https://www.oecd.org/en/publications/pensions-at-a-glance-2025-country-notes_8a53ef12-en/germany_c480c8fa-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