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Playfair Display" w:hAnsi="Playfair Display"/>
          <w:b/>
          <w:color w:val="0B1B33"/>
          <w:sz w:val="42"/>
        </w:rPr>
        <w:t>WIRKUNGSÖKONOMIE</w:t>
      </w:r>
    </w:p>
    <w:p>
      <w:pPr>
        <w:jc w:val="center"/>
      </w:pPr>
      <w:r>
        <w:rPr>
          <w:rFonts w:ascii="Source Sans 3" w:hAnsi="Source Sans 3"/>
          <w:color w:val="C89B3C"/>
          <w:sz w:val="19"/>
        </w:rPr>
        <w:t>Für Mensch, Planet und Demokratie.</w:t>
      </w:r>
    </w:p>
    <w:p/>
    <w:p>
      <w:pPr>
        <w:jc w:val="center"/>
      </w:pPr>
      <w:r>
        <w:rPr>
          <w:rFonts w:ascii="Playfair Display" w:hAnsi="Playfair Display"/>
          <w:b/>
          <w:color w:val="0B1B33"/>
          <w:sz w:val="52"/>
        </w:rPr>
        <w:t>Finanzmarktanforderungen an Unternehmen</w:t>
      </w:r>
    </w:p>
    <w:p>
      <w:pPr>
        <w:jc w:val="center"/>
      </w:pPr>
      <w:r>
        <w:rPr>
          <w:rFonts w:ascii="Source Sans 3" w:hAnsi="Source Sans 3"/>
          <w:color w:val="2D7D5C"/>
          <w:sz w:val="24"/>
        </w:rPr>
        <w:t>Dossier mit Beispielen, Datenquellen, Berechnungslogiken und WÖk-Einordnung</w:t>
      </w:r>
    </w:p>
    <w:p/>
    <w:tbl>
      <w:tblPr>
        <w:tblW w:type="auto" w:w="0"/>
        <w:jc w:val="center"/>
        <w:tblLayout w:type="autofit"/>
        <w:tblLook w:firstColumn="1" w:firstRow="1" w:lastColumn="0" w:lastRow="0" w:noHBand="0" w:noVBand="1" w:val="04A0"/>
      </w:tblPr>
      <w:tblGrid>
        <w:gridCol w:w="5156"/>
        <w:gridCol w:w="5156"/>
      </w:tblGrid>
      <w:tr>
        <w:tc>
          <w:tcPr>
            <w:tcW w:type="dxa" w:w="5156"/>
            <w:shd w:fill="F6F1E8"/>
          </w:tcPr>
          <w:p>
            <w:pPr>
              <w:jc w:val="left"/>
            </w:pPr>
            <w:r/>
            <w:r>
              <w:rPr>
                <w:rFonts w:ascii="Source Sans 3" w:hAnsi="Source Sans 3"/>
                <w:b/>
                <w:color w:val="0B1B33"/>
                <w:sz w:val="17"/>
              </w:rPr>
              <w:t>Autorin</w:t>
            </w:r>
          </w:p>
        </w:tc>
        <w:tc>
          <w:tcPr>
            <w:tcW w:type="dxa" w:w="5156"/>
          </w:tcPr>
          <w:p>
            <w:pPr>
              <w:jc w:val="left"/>
            </w:pPr>
            <w:r/>
            <w:r>
              <w:rPr>
                <w:rFonts w:ascii="Source Sans 3" w:hAnsi="Source Sans 3"/>
                <w:b w:val="0"/>
                <w:sz w:val="17"/>
              </w:rPr>
              <w:t>Natalie Weber</w:t>
            </w:r>
          </w:p>
        </w:tc>
      </w:tr>
      <w:tr>
        <w:tc>
          <w:tcPr>
            <w:tcW w:type="dxa" w:w="5156"/>
            <w:shd w:fill="F6F1E8"/>
          </w:tcPr>
          <w:p>
            <w:pPr>
              <w:jc w:val="left"/>
            </w:pPr>
            <w:r/>
            <w:r>
              <w:rPr>
                <w:rFonts w:ascii="Source Sans 3" w:hAnsi="Source Sans 3"/>
                <w:b/>
                <w:color w:val="0B1B33"/>
                <w:sz w:val="17"/>
              </w:rPr>
              <w:t>Referenz</w:t>
            </w:r>
          </w:p>
        </w:tc>
        <w:tc>
          <w:tcPr>
            <w:tcW w:type="dxa" w:w="5156"/>
          </w:tcPr>
          <w:p>
            <w:pPr>
              <w:jc w:val="left"/>
            </w:pPr>
            <w:r/>
            <w:r>
              <w:rPr>
                <w:rFonts w:ascii="Source Sans 3" w:hAnsi="Source Sans 3"/>
                <w:b w:val="0"/>
                <w:sz w:val="17"/>
              </w:rPr>
              <w:t>Wirkungsökonomie</w:t>
            </w:r>
          </w:p>
        </w:tc>
      </w:tr>
      <w:tr>
        <w:tc>
          <w:tcPr>
            <w:tcW w:type="dxa" w:w="5156"/>
            <w:shd w:fill="F6F1E8"/>
          </w:tcPr>
          <w:p>
            <w:pPr>
              <w:jc w:val="left"/>
            </w:pPr>
            <w:r/>
            <w:r>
              <w:rPr>
                <w:rFonts w:ascii="Source Sans 3" w:hAnsi="Source Sans 3"/>
                <w:b/>
                <w:color w:val="0B1B33"/>
                <w:sz w:val="17"/>
              </w:rPr>
              <w:t>Version</w:t>
            </w:r>
          </w:p>
        </w:tc>
        <w:tc>
          <w:tcPr>
            <w:tcW w:type="dxa" w:w="5156"/>
          </w:tcPr>
          <w:p>
            <w:pPr>
              <w:jc w:val="left"/>
            </w:pPr>
            <w:r/>
            <w:r>
              <w:rPr>
                <w:rFonts w:ascii="Source Sans 3" w:hAnsi="Source Sans 3"/>
                <w:b w:val="0"/>
                <w:sz w:val="17"/>
              </w:rPr>
              <w:t>v0.2</w:t>
            </w:r>
          </w:p>
        </w:tc>
      </w:tr>
      <w:tr>
        <w:tc>
          <w:tcPr>
            <w:tcW w:type="dxa" w:w="5156"/>
            <w:shd w:fill="F6F1E8"/>
          </w:tcPr>
          <w:p>
            <w:pPr>
              <w:jc w:val="left"/>
            </w:pPr>
            <w:r/>
            <w:r>
              <w:rPr>
                <w:rFonts w:ascii="Source Sans 3" w:hAnsi="Source Sans 3"/>
                <w:b/>
                <w:color w:val="0B1B33"/>
                <w:sz w:val="17"/>
              </w:rPr>
              <w:t>Stand</w:t>
            </w:r>
          </w:p>
        </w:tc>
        <w:tc>
          <w:tcPr>
            <w:tcW w:type="dxa" w:w="5156"/>
          </w:tcPr>
          <w:p>
            <w:pPr>
              <w:jc w:val="left"/>
            </w:pPr>
            <w:r/>
            <w:r>
              <w:rPr>
                <w:rFonts w:ascii="Source Sans 3" w:hAnsi="Source Sans 3"/>
                <w:b w:val="0"/>
                <w:sz w:val="17"/>
              </w:rPr>
              <w:t>24. Mai 2026</w:t>
            </w:r>
          </w:p>
        </w:tc>
      </w:tr>
      <w:tr>
        <w:tc>
          <w:tcPr>
            <w:tcW w:type="dxa" w:w="5156"/>
            <w:shd w:fill="F6F1E8"/>
          </w:tcPr>
          <w:p>
            <w:pPr>
              <w:jc w:val="left"/>
            </w:pPr>
            <w:r/>
            <w:r>
              <w:rPr>
                <w:rFonts w:ascii="Source Sans 3" w:hAnsi="Source Sans 3"/>
                <w:b/>
                <w:color w:val="0B1B33"/>
                <w:sz w:val="17"/>
              </w:rPr>
              <w:t>Status</w:t>
            </w:r>
          </w:p>
        </w:tc>
        <w:tc>
          <w:tcPr>
            <w:tcW w:type="dxa" w:w="5156"/>
          </w:tcPr>
          <w:p>
            <w:pPr>
              <w:jc w:val="left"/>
            </w:pPr>
            <w:r/>
            <w:r>
              <w:rPr>
                <w:rFonts w:ascii="Source Sans 3" w:hAnsi="Source Sans 3"/>
                <w:b w:val="0"/>
                <w:sz w:val="17"/>
              </w:rPr>
              <w:t>Dossier - öffentliche Arbeitsfassung</w:t>
            </w:r>
          </w:p>
        </w:tc>
      </w:tr>
      <w:tr>
        <w:tc>
          <w:tcPr>
            <w:tcW w:type="dxa" w:w="5156"/>
            <w:shd w:fill="F6F1E8"/>
          </w:tcPr>
          <w:p>
            <w:pPr>
              <w:jc w:val="left"/>
            </w:pPr>
            <w:r/>
            <w:r>
              <w:rPr>
                <w:rFonts w:ascii="Source Sans 3" w:hAnsi="Source Sans 3"/>
                <w:b/>
                <w:color w:val="0B1B33"/>
                <w:sz w:val="17"/>
              </w:rPr>
              <w:t>Hinweis</w:t>
            </w:r>
          </w:p>
        </w:tc>
        <w:tc>
          <w:tcPr>
            <w:tcW w:type="dxa" w:w="5156"/>
          </w:tcPr>
          <w:p>
            <w:pPr>
              <w:jc w:val="left"/>
            </w:pPr>
            <w:r/>
            <w:r>
              <w:rPr>
                <w:rFonts w:ascii="Source Sans 3" w:hAnsi="Source Sans 3"/>
                <w:b w:val="0"/>
                <w:sz w:val="17"/>
              </w:rPr>
              <w:t>Öffentliche Arbeitsfassung ohne interne Umsetzungsanweisungen.</w:t>
            </w:r>
          </w:p>
        </w:tc>
      </w:tr>
    </w:tbl>
    <w:p/>
    <w:p>
      <w:pPr>
        <w:jc w:val="center"/>
      </w:pPr>
      <w:r>
        <w:rPr>
          <w:rFonts w:ascii="Source Sans 3" w:hAnsi="Source Sans 3"/>
          <w:i/>
          <w:color w:val="0B1B33"/>
          <w:sz w:val="20"/>
        </w:rPr>
        <w:t>Wirkung statt Kapital. Wirkung als überprüfbare Zustandsveränderung. Positive Netto-Wirkung für Mensch, Planet und Demokratie.</w:t>
      </w:r>
    </w:p>
    <w:p>
      <w:r>
        <w:br w:type="page"/>
      </w:r>
    </w:p>
    <w:p>
      <w:pPr>
        <w:pStyle w:val="Heading1"/>
      </w:pPr>
      <w:r>
        <w:t>Kurzfassung</w:t>
      </w:r>
    </w:p>
    <w:p>
      <w:pPr>
        <w:spacing w:after="120" w:line="269" w:lineRule="auto"/>
      </w:pPr>
      <w:r>
        <w:t>Dieses Dossier ergänzt das Detailkonzept um konkrete Anwendungsszenarien. Es zeigt, wie Banken, Börsen, ESG-Ratings, Versicherer und Lieferkettenanforderungen heute bereits auf Unternehmen wirken und wie diese Logik wirkungsökonomisch in WÖk-IDs, Scorecards, NWI, T-SROI, Steuern und Fonds übersetzt werden kann.</w:t>
      </w:r>
    </w:p>
    <w:p>
      <w:pPr>
        <w:pStyle w:val="Heading1"/>
      </w:pPr>
      <w:r>
        <w:t>1. Datenquellenregister</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0B1B33"/>
            <w:vAlign w:val="center"/>
          </w:tcPr>
          <w:p>
            <w:pPr>
              <w:jc w:val="left"/>
            </w:pPr>
            <w:r/>
            <w:r>
              <w:rPr>
                <w:rFonts w:ascii="Source Sans 3" w:hAnsi="Source Sans 3"/>
                <w:b/>
                <w:color w:val="FFFFFF"/>
                <w:sz w:val="15"/>
              </w:rPr>
              <w:t>Datenquelle</w:t>
            </w:r>
          </w:p>
        </w:tc>
        <w:tc>
          <w:tcPr>
            <w:tcW w:type="dxa" w:w="3437"/>
            <w:shd w:fill="0B1B33"/>
            <w:vAlign w:val="center"/>
          </w:tcPr>
          <w:p>
            <w:pPr>
              <w:jc w:val="left"/>
            </w:pPr>
            <w:r/>
            <w:r>
              <w:rPr>
                <w:rFonts w:ascii="Source Sans 3" w:hAnsi="Source Sans 3"/>
                <w:b/>
                <w:color w:val="FFFFFF"/>
                <w:sz w:val="15"/>
              </w:rPr>
              <w:t>Heute relevant für</w:t>
            </w:r>
          </w:p>
        </w:tc>
        <w:tc>
          <w:tcPr>
            <w:tcW w:type="dxa" w:w="3437"/>
            <w:shd w:fill="0B1B33"/>
            <w:vAlign w:val="center"/>
          </w:tcPr>
          <w:p>
            <w:pPr>
              <w:jc w:val="left"/>
            </w:pPr>
            <w:r/>
            <w:r>
              <w:rPr>
                <w:rFonts w:ascii="Source Sans 3" w:hAnsi="Source Sans 3"/>
                <w:b/>
                <w:color w:val="FFFFFF"/>
                <w:sz w:val="15"/>
              </w:rPr>
              <w:t>WÖk-Nutzung</w:t>
            </w:r>
          </w:p>
        </w:tc>
      </w:tr>
      <w:tr>
        <w:tc>
          <w:tcPr>
            <w:tcW w:type="dxa" w:w="3437"/>
            <w:vAlign w:val="top"/>
          </w:tcPr>
          <w:p>
            <w:pPr>
              <w:jc w:val="left"/>
            </w:pPr>
            <w:r/>
            <w:r>
              <w:rPr>
                <w:rFonts w:ascii="Source Sans 3" w:hAnsi="Source Sans 3"/>
                <w:b w:val="0"/>
                <w:sz w:val="15"/>
              </w:rPr>
              <w:t>CSRD/ESRS</w:t>
            </w:r>
          </w:p>
        </w:tc>
        <w:tc>
          <w:tcPr>
            <w:tcW w:type="dxa" w:w="3437"/>
            <w:vAlign w:val="top"/>
          </w:tcPr>
          <w:p>
            <w:pPr>
              <w:jc w:val="left"/>
            </w:pPr>
            <w:r/>
            <w:r>
              <w:rPr>
                <w:rFonts w:ascii="Source Sans 3" w:hAnsi="Source Sans 3"/>
                <w:b w:val="0"/>
                <w:sz w:val="15"/>
              </w:rPr>
              <w:t>Berichtspflicht, Banken, Investoren, Kund:innen, Ratings</w:t>
            </w:r>
          </w:p>
        </w:tc>
        <w:tc>
          <w:tcPr>
            <w:tcW w:type="dxa" w:w="3437"/>
            <w:vAlign w:val="top"/>
          </w:tcPr>
          <w:p>
            <w:pPr>
              <w:jc w:val="left"/>
            </w:pPr>
            <w:r/>
            <w:r>
              <w:rPr>
                <w:rFonts w:ascii="Source Sans 3" w:hAnsi="Source Sans 3"/>
                <w:b w:val="0"/>
                <w:sz w:val="15"/>
              </w:rPr>
              <w:t>Datenbasis für WÖk-IDs, Scorecards, NWI, T-SROI</w:t>
            </w:r>
          </w:p>
        </w:tc>
      </w:tr>
      <w:tr>
        <w:tc>
          <w:tcPr>
            <w:tcW w:type="dxa" w:w="3437"/>
            <w:vAlign w:val="top"/>
          </w:tcPr>
          <w:p>
            <w:pPr>
              <w:jc w:val="left"/>
            </w:pPr>
            <w:r/>
            <w:r>
              <w:rPr>
                <w:rFonts w:ascii="Source Sans 3" w:hAnsi="Source Sans 3"/>
                <w:b w:val="0"/>
                <w:sz w:val="15"/>
              </w:rPr>
              <w:t>EU-Taxonomie</w:t>
            </w:r>
          </w:p>
        </w:tc>
        <w:tc>
          <w:tcPr>
            <w:tcW w:type="dxa" w:w="3437"/>
            <w:vAlign w:val="top"/>
          </w:tcPr>
          <w:p>
            <w:pPr>
              <w:jc w:val="left"/>
            </w:pPr>
            <w:r/>
            <w:r>
              <w:rPr>
                <w:rFonts w:ascii="Source Sans 3" w:hAnsi="Source Sans 3"/>
                <w:b w:val="0"/>
                <w:sz w:val="15"/>
              </w:rPr>
              <w:t>nachhaltige Aktivitäten, Investitionen, Finanzprodukte</w:t>
            </w:r>
          </w:p>
        </w:tc>
        <w:tc>
          <w:tcPr>
            <w:tcW w:type="dxa" w:w="3437"/>
            <w:vAlign w:val="top"/>
          </w:tcPr>
          <w:p>
            <w:pPr>
              <w:jc w:val="left"/>
            </w:pPr>
            <w:r/>
            <w:r>
              <w:rPr>
                <w:rFonts w:ascii="Source Sans 3" w:hAnsi="Source Sans 3"/>
                <w:b w:val="0"/>
                <w:sz w:val="15"/>
              </w:rPr>
              <w:t>Taxonomie als Teilbenchmark, aber ergänzt durch soziale und demokratische Wirkung</w:t>
            </w:r>
          </w:p>
        </w:tc>
      </w:tr>
      <w:tr>
        <w:tc>
          <w:tcPr>
            <w:tcW w:type="dxa" w:w="3437"/>
            <w:vAlign w:val="top"/>
          </w:tcPr>
          <w:p>
            <w:pPr>
              <w:jc w:val="left"/>
            </w:pPr>
            <w:r/>
            <w:r>
              <w:rPr>
                <w:rFonts w:ascii="Source Sans 3" w:hAnsi="Source Sans 3"/>
                <w:b w:val="0"/>
                <w:sz w:val="15"/>
              </w:rPr>
              <w:t>EBA ESG-Risiko-Leitlinien</w:t>
            </w:r>
          </w:p>
        </w:tc>
        <w:tc>
          <w:tcPr>
            <w:tcW w:type="dxa" w:w="3437"/>
            <w:vAlign w:val="top"/>
          </w:tcPr>
          <w:p>
            <w:pPr>
              <w:jc w:val="left"/>
            </w:pPr>
            <w:r/>
            <w:r>
              <w:rPr>
                <w:rFonts w:ascii="Source Sans 3" w:hAnsi="Source Sans 3"/>
                <w:b w:val="0"/>
                <w:sz w:val="15"/>
              </w:rPr>
              <w:t>Banken, Kreditrisiko, Portfolio, Übergangspläne</w:t>
            </w:r>
          </w:p>
        </w:tc>
        <w:tc>
          <w:tcPr>
            <w:tcW w:type="dxa" w:w="3437"/>
            <w:vAlign w:val="top"/>
          </w:tcPr>
          <w:p>
            <w:pPr>
              <w:jc w:val="left"/>
            </w:pPr>
            <w:r/>
            <w:r>
              <w:rPr>
                <w:rFonts w:ascii="Source Sans 3" w:hAnsi="Source Sans 3"/>
                <w:b w:val="0"/>
                <w:sz w:val="15"/>
              </w:rPr>
              <w:t>Kreditdaten werden zu Wirkungsrisiko- und Resilienzprofilen</w:t>
            </w:r>
          </w:p>
        </w:tc>
      </w:tr>
      <w:tr>
        <w:tc>
          <w:tcPr>
            <w:tcW w:type="dxa" w:w="3437"/>
            <w:vAlign w:val="top"/>
          </w:tcPr>
          <w:p>
            <w:pPr>
              <w:jc w:val="left"/>
            </w:pPr>
            <w:r/>
            <w:r>
              <w:rPr>
                <w:rFonts w:ascii="Source Sans 3" w:hAnsi="Source Sans 3"/>
                <w:b w:val="0"/>
                <w:sz w:val="15"/>
              </w:rPr>
              <w:t>EBA Kreditvergabe-Leitlinien</w:t>
            </w:r>
          </w:p>
        </w:tc>
        <w:tc>
          <w:tcPr>
            <w:tcW w:type="dxa" w:w="3437"/>
            <w:vAlign w:val="top"/>
          </w:tcPr>
          <w:p>
            <w:pPr>
              <w:jc w:val="left"/>
            </w:pPr>
            <w:r/>
            <w:r>
              <w:rPr>
                <w:rFonts w:ascii="Source Sans 3" w:hAnsi="Source Sans 3"/>
                <w:b w:val="0"/>
                <w:sz w:val="15"/>
              </w:rPr>
              <w:t>Kreditpolitik, Bonität, ESG-Faktoren im Kreditprozess</w:t>
            </w:r>
          </w:p>
        </w:tc>
        <w:tc>
          <w:tcPr>
            <w:tcW w:type="dxa" w:w="3437"/>
            <w:vAlign w:val="top"/>
          </w:tcPr>
          <w:p>
            <w:pPr>
              <w:jc w:val="left"/>
            </w:pPr>
            <w:r/>
            <w:r>
              <w:rPr>
                <w:rFonts w:ascii="Source Sans 3" w:hAnsi="Source Sans 3"/>
                <w:b w:val="0"/>
                <w:sz w:val="15"/>
              </w:rPr>
              <w:t>KMU- und Unternehmensdaten werden kreditrelevant</w:t>
            </w:r>
          </w:p>
        </w:tc>
      </w:tr>
      <w:tr>
        <w:tc>
          <w:tcPr>
            <w:tcW w:type="dxa" w:w="3437"/>
            <w:vAlign w:val="top"/>
          </w:tcPr>
          <w:p>
            <w:pPr>
              <w:jc w:val="left"/>
            </w:pPr>
            <w:r/>
            <w:r>
              <w:rPr>
                <w:rFonts w:ascii="Source Sans 3" w:hAnsi="Source Sans 3"/>
                <w:b w:val="0"/>
                <w:sz w:val="15"/>
              </w:rPr>
              <w:t>EIOPA / ORSA / Stress Tests</w:t>
            </w:r>
          </w:p>
        </w:tc>
        <w:tc>
          <w:tcPr>
            <w:tcW w:type="dxa" w:w="3437"/>
            <w:vAlign w:val="top"/>
          </w:tcPr>
          <w:p>
            <w:pPr>
              <w:jc w:val="left"/>
            </w:pPr>
            <w:r/>
            <w:r>
              <w:rPr>
                <w:rFonts w:ascii="Source Sans 3" w:hAnsi="Source Sans 3"/>
                <w:b w:val="0"/>
                <w:sz w:val="15"/>
              </w:rPr>
              <w:t>Versicherungsrisiko, Prämien, Versicherbarkeit</w:t>
            </w:r>
          </w:p>
        </w:tc>
        <w:tc>
          <w:tcPr>
            <w:tcW w:type="dxa" w:w="3437"/>
            <w:vAlign w:val="top"/>
          </w:tcPr>
          <w:p>
            <w:pPr>
              <w:jc w:val="left"/>
            </w:pPr>
            <w:r/>
            <w:r>
              <w:rPr>
                <w:rFonts w:ascii="Source Sans 3" w:hAnsi="Source Sans 3"/>
                <w:b w:val="0"/>
                <w:sz w:val="15"/>
              </w:rPr>
              <w:t>Versicherbarkeit wird Teil der Wirkungsresilienz</w:t>
            </w:r>
          </w:p>
        </w:tc>
      </w:tr>
      <w:tr>
        <w:tc>
          <w:tcPr>
            <w:tcW w:type="dxa" w:w="3437"/>
            <w:vAlign w:val="top"/>
          </w:tcPr>
          <w:p>
            <w:pPr>
              <w:jc w:val="left"/>
            </w:pPr>
            <w:r/>
            <w:r>
              <w:rPr>
                <w:rFonts w:ascii="Source Sans 3" w:hAnsi="Source Sans 3"/>
                <w:b w:val="0"/>
                <w:sz w:val="15"/>
              </w:rPr>
              <w:t>ESG-Ratings-Verordnung</w:t>
            </w:r>
          </w:p>
        </w:tc>
        <w:tc>
          <w:tcPr>
            <w:tcW w:type="dxa" w:w="3437"/>
            <w:vAlign w:val="top"/>
          </w:tcPr>
          <w:p>
            <w:pPr>
              <w:jc w:val="left"/>
            </w:pPr>
            <w:r/>
            <w:r>
              <w:rPr>
                <w:rFonts w:ascii="Source Sans 3" w:hAnsi="Source Sans 3"/>
                <w:b w:val="0"/>
                <w:sz w:val="15"/>
              </w:rPr>
              <w:t>Ratingtransparenz, Methodikoffenlegung, Investoren</w:t>
            </w:r>
          </w:p>
        </w:tc>
        <w:tc>
          <w:tcPr>
            <w:tcW w:type="dxa" w:w="3437"/>
            <w:vAlign w:val="top"/>
          </w:tcPr>
          <w:p>
            <w:pPr>
              <w:jc w:val="left"/>
            </w:pPr>
            <w:r/>
            <w:r>
              <w:rPr>
                <w:rFonts w:ascii="Source Sans 3" w:hAnsi="Source Sans 3"/>
                <w:b w:val="0"/>
                <w:sz w:val="15"/>
              </w:rPr>
              <w:t>ESG-Ratings werden in WÖk-Scorecards eingeordnet</w:t>
            </w:r>
          </w:p>
        </w:tc>
      </w:tr>
      <w:tr>
        <w:tc>
          <w:tcPr>
            <w:tcW w:type="dxa" w:w="3437"/>
            <w:vAlign w:val="top"/>
          </w:tcPr>
          <w:p>
            <w:pPr>
              <w:jc w:val="left"/>
            </w:pPr>
            <w:r/>
            <w:r>
              <w:rPr>
                <w:rFonts w:ascii="Source Sans 3" w:hAnsi="Source Sans 3"/>
                <w:b w:val="0"/>
                <w:sz w:val="15"/>
              </w:rPr>
              <w:t>CSDDD / OECD Due Diligence</w:t>
            </w:r>
          </w:p>
        </w:tc>
        <w:tc>
          <w:tcPr>
            <w:tcW w:type="dxa" w:w="3437"/>
            <w:vAlign w:val="top"/>
          </w:tcPr>
          <w:p>
            <w:pPr>
              <w:jc w:val="left"/>
            </w:pPr>
            <w:r/>
            <w:r>
              <w:rPr>
                <w:rFonts w:ascii="Source Sans 3" w:hAnsi="Source Sans 3"/>
                <w:b w:val="0"/>
                <w:sz w:val="15"/>
              </w:rPr>
              <w:t>Lieferketten, Menschenrechte, Umwelt</w:t>
            </w:r>
          </w:p>
        </w:tc>
        <w:tc>
          <w:tcPr>
            <w:tcW w:type="dxa" w:w="3437"/>
            <w:vAlign w:val="top"/>
          </w:tcPr>
          <w:p>
            <w:pPr>
              <w:jc w:val="left"/>
            </w:pPr>
            <w:r/>
            <w:r>
              <w:rPr>
                <w:rFonts w:ascii="Source Sans 3" w:hAnsi="Source Sans 3"/>
                <w:b w:val="0"/>
                <w:sz w:val="15"/>
              </w:rPr>
              <w:t>Lieferkettenwirkung und Haftungsrisiko werden messbar</w:t>
            </w:r>
          </w:p>
        </w:tc>
      </w:tr>
    </w:tbl>
    <w:p/>
    <w:p>
      <w:pPr>
        <w:pStyle w:val="Heading1"/>
      </w:pPr>
      <w:r>
        <w:t>2. Beispiel 1: KMU-Kreditgespräch</w:t>
      </w:r>
    </w:p>
    <w:p>
      <w:pPr>
        <w:spacing w:after="120" w:line="269" w:lineRule="auto"/>
      </w:pPr>
      <w:r>
        <w:t>Ein Maschinenbau-KMU beantragt einen Investitionskredit über 2 Mio. EUR zur Modernisierung der Produktion. Die Hausbank fragt künftig nicht nur nach Bilanz, Sicherheiten und Cashflow, sondern auch nach Energieintensität, Lieferkettenrisiken, Transformationsplan, Scope-1/2-Daten, Abhängigkeit von fossilen Inputs und Datenqualität.</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shd w:fill="0B1B33"/>
            <w:vAlign w:val="center"/>
          </w:tcPr>
          <w:p>
            <w:pPr>
              <w:jc w:val="left"/>
            </w:pPr>
            <w:r/>
            <w:r>
              <w:rPr>
                <w:rFonts w:ascii="Source Sans 3" w:hAnsi="Source Sans 3"/>
                <w:b/>
                <w:color w:val="FFFFFF"/>
                <w:sz w:val="15"/>
              </w:rPr>
              <w:t>Kriterium</w:t>
            </w:r>
          </w:p>
        </w:tc>
        <w:tc>
          <w:tcPr>
            <w:tcW w:type="dxa" w:w="2578"/>
            <w:shd w:fill="0B1B33"/>
            <w:vAlign w:val="center"/>
          </w:tcPr>
          <w:p>
            <w:pPr>
              <w:jc w:val="left"/>
            </w:pPr>
            <w:r/>
            <w:r>
              <w:rPr>
                <w:rFonts w:ascii="Source Sans 3" w:hAnsi="Source Sans 3"/>
                <w:b/>
                <w:color w:val="FFFFFF"/>
                <w:sz w:val="15"/>
              </w:rPr>
              <w:t>Daten</w:t>
            </w:r>
          </w:p>
        </w:tc>
        <w:tc>
          <w:tcPr>
            <w:tcW w:type="dxa" w:w="2578"/>
            <w:shd w:fill="0B1B33"/>
            <w:vAlign w:val="center"/>
          </w:tcPr>
          <w:p>
            <w:pPr>
              <w:jc w:val="left"/>
            </w:pPr>
            <w:r/>
            <w:r>
              <w:rPr>
                <w:rFonts w:ascii="Source Sans 3" w:hAnsi="Source Sans 3"/>
                <w:b/>
                <w:color w:val="FFFFFF"/>
                <w:sz w:val="15"/>
              </w:rPr>
              <w:t>Wirkungsökonomische Lesart</w:t>
            </w:r>
          </w:p>
        </w:tc>
        <w:tc>
          <w:tcPr>
            <w:tcW w:type="dxa" w:w="2578"/>
            <w:shd w:fill="0B1B33"/>
            <w:vAlign w:val="center"/>
          </w:tcPr>
          <w:p>
            <w:pPr>
              <w:jc w:val="left"/>
            </w:pPr>
            <w:r/>
            <w:r>
              <w:rPr>
                <w:rFonts w:ascii="Source Sans 3" w:hAnsi="Source Sans 3"/>
                <w:b/>
                <w:color w:val="FFFFFF"/>
                <w:sz w:val="15"/>
              </w:rPr>
              <w:t>Mögliche Reaktion</w:t>
            </w:r>
          </w:p>
        </w:tc>
      </w:tr>
      <w:tr>
        <w:tc>
          <w:tcPr>
            <w:tcW w:type="dxa" w:w="2578"/>
            <w:vAlign w:val="top"/>
          </w:tcPr>
          <w:p>
            <w:pPr>
              <w:jc w:val="left"/>
            </w:pPr>
            <w:r/>
            <w:r>
              <w:rPr>
                <w:rFonts w:ascii="Source Sans 3" w:hAnsi="Source Sans 3"/>
                <w:b w:val="0"/>
                <w:sz w:val="15"/>
              </w:rPr>
              <w:t>Energieintensität</w:t>
            </w:r>
          </w:p>
        </w:tc>
        <w:tc>
          <w:tcPr>
            <w:tcW w:type="dxa" w:w="2578"/>
            <w:vAlign w:val="top"/>
          </w:tcPr>
          <w:p>
            <w:pPr>
              <w:jc w:val="left"/>
            </w:pPr>
            <w:r/>
            <w:r>
              <w:rPr>
                <w:rFonts w:ascii="Source Sans 3" w:hAnsi="Source Sans 3"/>
                <w:b w:val="0"/>
                <w:sz w:val="15"/>
              </w:rPr>
              <w:t>kWh je Produktionseinheit</w:t>
            </w:r>
          </w:p>
        </w:tc>
        <w:tc>
          <w:tcPr>
            <w:tcW w:type="dxa" w:w="2578"/>
            <w:vAlign w:val="top"/>
          </w:tcPr>
          <w:p>
            <w:pPr>
              <w:jc w:val="left"/>
            </w:pPr>
            <w:r/>
            <w:r>
              <w:rPr>
                <w:rFonts w:ascii="Source Sans 3" w:hAnsi="Source Sans 3"/>
                <w:b w:val="0"/>
                <w:sz w:val="15"/>
              </w:rPr>
              <w:t>hoher Verbrauch erhöht Kosten- und Transformationsrisiko</w:t>
            </w:r>
          </w:p>
        </w:tc>
        <w:tc>
          <w:tcPr>
            <w:tcW w:type="dxa" w:w="2578"/>
            <w:vAlign w:val="top"/>
          </w:tcPr>
          <w:p>
            <w:pPr>
              <w:jc w:val="left"/>
            </w:pPr>
            <w:r/>
            <w:r>
              <w:rPr>
                <w:rFonts w:ascii="Source Sans 3" w:hAnsi="Source Sans 3"/>
                <w:b w:val="0"/>
                <w:sz w:val="15"/>
              </w:rPr>
              <w:t>Effizienzplan, Eigenstrom, Investitionsförderung</w:t>
            </w:r>
          </w:p>
        </w:tc>
      </w:tr>
      <w:tr>
        <w:tc>
          <w:tcPr>
            <w:tcW w:type="dxa" w:w="2578"/>
            <w:vAlign w:val="top"/>
          </w:tcPr>
          <w:p>
            <w:pPr>
              <w:jc w:val="left"/>
            </w:pPr>
            <w:r/>
            <w:r>
              <w:rPr>
                <w:rFonts w:ascii="Source Sans 3" w:hAnsi="Source Sans 3"/>
                <w:b w:val="0"/>
                <w:sz w:val="15"/>
              </w:rPr>
              <w:t>Lieferkettenrisiko</w:t>
            </w:r>
          </w:p>
        </w:tc>
        <w:tc>
          <w:tcPr>
            <w:tcW w:type="dxa" w:w="2578"/>
            <w:vAlign w:val="top"/>
          </w:tcPr>
          <w:p>
            <w:pPr>
              <w:jc w:val="left"/>
            </w:pPr>
            <w:r/>
            <w:r>
              <w:rPr>
                <w:rFonts w:ascii="Source Sans 3" w:hAnsi="Source Sans 3"/>
                <w:b w:val="0"/>
                <w:sz w:val="15"/>
              </w:rPr>
              <w:t>Anteil kritischer Zulieferer</w:t>
            </w:r>
          </w:p>
        </w:tc>
        <w:tc>
          <w:tcPr>
            <w:tcW w:type="dxa" w:w="2578"/>
            <w:vAlign w:val="top"/>
          </w:tcPr>
          <w:p>
            <w:pPr>
              <w:jc w:val="left"/>
            </w:pPr>
            <w:r/>
            <w:r>
              <w:rPr>
                <w:rFonts w:ascii="Source Sans 3" w:hAnsi="Source Sans 3"/>
                <w:b w:val="0"/>
                <w:sz w:val="15"/>
              </w:rPr>
              <w:t>Wirkungsrisiko vor dem eigenen Werk</w:t>
            </w:r>
          </w:p>
        </w:tc>
        <w:tc>
          <w:tcPr>
            <w:tcW w:type="dxa" w:w="2578"/>
            <w:vAlign w:val="top"/>
          </w:tcPr>
          <w:p>
            <w:pPr>
              <w:jc w:val="left"/>
            </w:pPr>
            <w:r/>
            <w:r>
              <w:rPr>
                <w:rFonts w:ascii="Source Sans 3" w:hAnsi="Source Sans 3"/>
                <w:b w:val="0"/>
                <w:sz w:val="15"/>
              </w:rPr>
              <w:t>Lieferantenscorecard, Alternativen, Vertragsklauseln</w:t>
            </w:r>
          </w:p>
        </w:tc>
      </w:tr>
      <w:tr>
        <w:tc>
          <w:tcPr>
            <w:tcW w:type="dxa" w:w="2578"/>
            <w:vAlign w:val="top"/>
          </w:tcPr>
          <w:p>
            <w:pPr>
              <w:jc w:val="left"/>
            </w:pPr>
            <w:r/>
            <w:r>
              <w:rPr>
                <w:rFonts w:ascii="Source Sans 3" w:hAnsi="Source Sans 3"/>
                <w:b w:val="0"/>
                <w:sz w:val="15"/>
              </w:rPr>
              <w:t>Datenqualität</w:t>
            </w:r>
          </w:p>
        </w:tc>
        <w:tc>
          <w:tcPr>
            <w:tcW w:type="dxa" w:w="2578"/>
            <w:vAlign w:val="top"/>
          </w:tcPr>
          <w:p>
            <w:pPr>
              <w:jc w:val="left"/>
            </w:pPr>
            <w:r/>
            <w:r>
              <w:rPr>
                <w:rFonts w:ascii="Source Sans 3" w:hAnsi="Source Sans 3"/>
                <w:b w:val="0"/>
                <w:sz w:val="15"/>
              </w:rPr>
              <w:t>vorhandene Messwerte, Schätzungen, Nachweise</w:t>
            </w:r>
          </w:p>
        </w:tc>
        <w:tc>
          <w:tcPr>
            <w:tcW w:type="dxa" w:w="2578"/>
            <w:vAlign w:val="top"/>
          </w:tcPr>
          <w:p>
            <w:pPr>
              <w:jc w:val="left"/>
            </w:pPr>
            <w:r/>
            <w:r>
              <w:rPr>
                <w:rFonts w:ascii="Source Sans 3" w:hAnsi="Source Sans 3"/>
                <w:b w:val="0"/>
                <w:sz w:val="15"/>
              </w:rPr>
              <w:t>Datenqualität bestimmt Vertrauensstufe</w:t>
            </w:r>
          </w:p>
        </w:tc>
        <w:tc>
          <w:tcPr>
            <w:tcW w:type="dxa" w:w="2578"/>
            <w:vAlign w:val="top"/>
          </w:tcPr>
          <w:p>
            <w:pPr>
              <w:jc w:val="left"/>
            </w:pPr>
            <w:r/>
            <w:r>
              <w:rPr>
                <w:rFonts w:ascii="Source Sans 3" w:hAnsi="Source Sans 3"/>
                <w:b w:val="0"/>
                <w:sz w:val="15"/>
              </w:rPr>
              <w:t>WÖk-ID-Mapping, einfache KMU-Scorecard</w:t>
            </w:r>
          </w:p>
        </w:tc>
      </w:tr>
      <w:tr>
        <w:tc>
          <w:tcPr>
            <w:tcW w:type="dxa" w:w="2578"/>
            <w:vAlign w:val="top"/>
          </w:tcPr>
          <w:p>
            <w:pPr>
              <w:jc w:val="left"/>
            </w:pPr>
            <w:r/>
            <w:r>
              <w:rPr>
                <w:rFonts w:ascii="Source Sans 3" w:hAnsi="Source Sans 3"/>
                <w:b w:val="0"/>
                <w:sz w:val="15"/>
              </w:rPr>
              <w:t>Transformationsplan</w:t>
            </w:r>
          </w:p>
        </w:tc>
        <w:tc>
          <w:tcPr>
            <w:tcW w:type="dxa" w:w="2578"/>
            <w:vAlign w:val="top"/>
          </w:tcPr>
          <w:p>
            <w:pPr>
              <w:jc w:val="left"/>
            </w:pPr>
            <w:r/>
            <w:r>
              <w:rPr>
                <w:rFonts w:ascii="Source Sans 3" w:hAnsi="Source Sans 3"/>
                <w:b w:val="0"/>
                <w:sz w:val="15"/>
              </w:rPr>
              <w:t>Ziele, Maßnahmen, Budget, Zeitplan</w:t>
            </w:r>
          </w:p>
        </w:tc>
        <w:tc>
          <w:tcPr>
            <w:tcW w:type="dxa" w:w="2578"/>
            <w:vAlign w:val="top"/>
          </w:tcPr>
          <w:p>
            <w:pPr>
              <w:jc w:val="left"/>
            </w:pPr>
            <w:r/>
            <w:r>
              <w:rPr>
                <w:rFonts w:ascii="Source Sans 3" w:hAnsi="Source Sans 3"/>
                <w:b w:val="0"/>
                <w:sz w:val="15"/>
              </w:rPr>
              <w:t>aus Strategie wird Kredit- und Resilienzsignal</w:t>
            </w:r>
          </w:p>
        </w:tc>
        <w:tc>
          <w:tcPr>
            <w:tcW w:type="dxa" w:w="2578"/>
            <w:vAlign w:val="top"/>
          </w:tcPr>
          <w:p>
            <w:pPr>
              <w:jc w:val="left"/>
            </w:pPr>
            <w:r/>
            <w:r>
              <w:rPr>
                <w:rFonts w:ascii="Source Sans 3" w:hAnsi="Source Sans 3"/>
                <w:b w:val="0"/>
                <w:sz w:val="15"/>
              </w:rPr>
              <w:t>Investitionsfahrplan, T-SROI light</w:t>
            </w:r>
          </w:p>
        </w:tc>
      </w:tr>
    </w:tbl>
    <w:p/>
    <w:tbl>
      <w:tblPr>
        <w:tblW w:type="auto" w:w="0"/>
        <w:jc w:val="center"/>
        <w:tblLook w:firstColumn="1" w:firstRow="1" w:lastColumn="0" w:lastRow="0" w:noHBand="0" w:noVBand="1" w:val="04A0"/>
      </w:tblPr>
      <w:tblGrid>
        <w:gridCol w:w="10312"/>
      </w:tblGrid>
      <w:tr>
        <w:tc>
          <w:tcPr>
            <w:tcW w:type="dxa" w:w="10312"/>
            <w:shd w:fill="FAF7F1"/>
          </w:tcPr>
          <w:p>
            <w:pPr>
              <w:jc w:val="left"/>
            </w:pPr>
            <w:r/>
            <w:r>
              <w:rPr>
                <w:rFonts w:ascii="Source Sans 3" w:hAnsi="Source Sans 3"/>
                <w:b/>
                <w:color w:val="0B1B33"/>
                <w:sz w:val="19"/>
              </w:rPr>
              <w:t>Modellhafte Berechnung</w:t>
            </w:r>
          </w:p>
        </w:tc>
      </w:tr>
      <w:tr>
        <w:tc>
          <w:tcPr>
            <w:tcW w:type="dxa" w:w="10312"/>
            <w:shd w:fill="FAF7F1"/>
          </w:tcPr>
          <w:p>
            <w:pPr>
              <w:jc w:val="left"/>
            </w:pPr>
            <w:r/>
            <w:r>
              <w:rPr>
                <w:rFonts w:ascii="Source Sans 3" w:hAnsi="Source Sans 3"/>
                <w:b w:val="0"/>
                <w:color w:val="2B2A2C"/>
                <w:sz w:val="18"/>
              </w:rPr>
              <w:t>Basiszins 4,0 %. Bankaufschlag ohne Transformationsdaten 2,0 %. Bei belastbarer Datenlage und Maßnahmenplan sinkt der Aufschlag modellhaft auf 1,2 %. Bei 2 Mio. EUR Kreditvolumen und 7 Jahren Laufzeit bedeutet das grob 16.000 EUR geringere Zinskosten pro Jahr. Diese Zahlen sind Modellwerte, keine Bankkonditionen.</w:t>
            </w:r>
          </w:p>
        </w:tc>
      </w:tr>
    </w:tbl>
    <w:p/>
    <w:p>
      <w:pPr>
        <w:pStyle w:val="Heading1"/>
      </w:pPr>
      <w:r>
        <w:t>3. Beispiel 2: Versicherung und Resilienz</w:t>
      </w:r>
    </w:p>
    <w:p>
      <w:pPr>
        <w:spacing w:after="120" w:line="269" w:lineRule="auto"/>
      </w:pPr>
      <w:r>
        <w:t>Ein Unternehmen mit Standorten in Hitze- und Starkregenregionen kann Versicherungsrisiken senken, wenn Gebäudeschutz, Notfallpläne, Arbeitsschutz, Lieferkettenalternativen und Energieversorgung resilient aufgebaut sind. In der WÖk wird diese Resilienz nicht nur als Kostensenkung, sondern als Wirkleistung gelesen: Sie verhindert Schäden, Produktionsausfälle, Arbeitsplatzverluste und lokale Folgekosten.</w:t>
      </w:r>
    </w:p>
    <w:p>
      <w:pPr>
        <w:pStyle w:val="Heading1"/>
      </w:pPr>
      <w:r>
        <w:t>4. Beispiel 3: Börse und ESG-Rating</w:t>
      </w:r>
    </w:p>
    <w:p>
      <w:pPr>
        <w:spacing w:after="120" w:line="269" w:lineRule="auto"/>
      </w:pPr>
      <w:r>
        <w:t>Ein börsennotiertes Unternehmen mit gutem ESG-Rating kann trotzdem negative Wirkung erzeugen, wenn das Rating vor allem Governance-Daten, relative Branchenwerte oder Managementsysteme bewertet. Die WÖk trennt daher: ESG-Rating = Informations- und Risikoinstrument; WÖk-Scorecard = Rückkopplungsinstrument für reale Wirkung. Beide können verbunden werden, aber sie sind nicht identisch.</w:t>
      </w:r>
    </w:p>
    <w:p>
      <w:pPr>
        <w:pStyle w:val="Heading1"/>
      </w:pPr>
      <w:r>
        <w:t>5. Finance Readiness Score - Arbeitsmodell</w:t>
      </w:r>
    </w:p>
    <w:p>
      <w:pPr>
        <w:spacing w:after="120" w:line="269" w:lineRule="auto"/>
      </w:pPr>
      <w:r>
        <w:t>Der Finance Readiness Score ist ein Hilfsindex zur Vorbereitung auf Banken-, Versicherungs- und Kapitalmarktanforderungen. Er ist kein amtlicher Score und keine Bonitätsbewertung.</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0B1B33"/>
            <w:vAlign w:val="center"/>
          </w:tcPr>
          <w:p>
            <w:pPr>
              <w:jc w:val="left"/>
            </w:pPr>
            <w:r/>
            <w:r>
              <w:rPr>
                <w:rFonts w:ascii="Source Sans 3" w:hAnsi="Source Sans 3"/>
                <w:b/>
                <w:color w:val="FFFFFF"/>
                <w:sz w:val="15"/>
              </w:rPr>
              <w:t>Dimension</w:t>
            </w:r>
          </w:p>
        </w:tc>
        <w:tc>
          <w:tcPr>
            <w:tcW w:type="dxa" w:w="3437"/>
            <w:shd w:fill="0B1B33"/>
            <w:vAlign w:val="center"/>
          </w:tcPr>
          <w:p>
            <w:pPr>
              <w:jc w:val="left"/>
            </w:pPr>
            <w:r/>
            <w:r>
              <w:rPr>
                <w:rFonts w:ascii="Source Sans 3" w:hAnsi="Source Sans 3"/>
                <w:b/>
                <w:color w:val="FFFFFF"/>
                <w:sz w:val="15"/>
              </w:rPr>
              <w:t>Gewicht v0.1</w:t>
            </w:r>
          </w:p>
        </w:tc>
        <w:tc>
          <w:tcPr>
            <w:tcW w:type="dxa" w:w="3437"/>
            <w:shd w:fill="0B1B33"/>
            <w:vAlign w:val="center"/>
          </w:tcPr>
          <w:p>
            <w:pPr>
              <w:jc w:val="left"/>
            </w:pPr>
            <w:r/>
            <w:r>
              <w:rPr>
                <w:rFonts w:ascii="Source Sans 3" w:hAnsi="Source Sans 3"/>
                <w:b/>
                <w:color w:val="FFFFFF"/>
                <w:sz w:val="15"/>
              </w:rPr>
              <w:t>Beispiele</w:t>
            </w:r>
          </w:p>
        </w:tc>
      </w:tr>
      <w:tr>
        <w:tc>
          <w:tcPr>
            <w:tcW w:type="dxa" w:w="3437"/>
            <w:vAlign w:val="top"/>
          </w:tcPr>
          <w:p>
            <w:pPr>
              <w:jc w:val="left"/>
            </w:pPr>
            <w:r/>
            <w:r>
              <w:rPr>
                <w:rFonts w:ascii="Source Sans 3" w:hAnsi="Source Sans 3"/>
                <w:b w:val="0"/>
                <w:sz w:val="15"/>
              </w:rPr>
              <w:t>Datenreife</w:t>
            </w:r>
          </w:p>
        </w:tc>
        <w:tc>
          <w:tcPr>
            <w:tcW w:type="dxa" w:w="3437"/>
            <w:vAlign w:val="top"/>
          </w:tcPr>
          <w:p>
            <w:pPr>
              <w:jc w:val="left"/>
            </w:pPr>
            <w:r/>
            <w:r>
              <w:rPr>
                <w:rFonts w:ascii="Source Sans 3" w:hAnsi="Source Sans 3"/>
                <w:b w:val="0"/>
                <w:sz w:val="15"/>
              </w:rPr>
              <w:t>20 %</w:t>
            </w:r>
          </w:p>
        </w:tc>
        <w:tc>
          <w:tcPr>
            <w:tcW w:type="dxa" w:w="3437"/>
            <w:vAlign w:val="top"/>
          </w:tcPr>
          <w:p>
            <w:pPr>
              <w:jc w:val="left"/>
            </w:pPr>
            <w:r/>
            <w:r>
              <w:rPr>
                <w:rFonts w:ascii="Source Sans 3" w:hAnsi="Source Sans 3"/>
                <w:b w:val="0"/>
                <w:sz w:val="15"/>
              </w:rPr>
              <w:t>Messwerte statt Schätzungen, Nachweise, Verantwortlichkeiten</w:t>
            </w:r>
          </w:p>
        </w:tc>
      </w:tr>
      <w:tr>
        <w:tc>
          <w:tcPr>
            <w:tcW w:type="dxa" w:w="3437"/>
            <w:vAlign w:val="top"/>
          </w:tcPr>
          <w:p>
            <w:pPr>
              <w:jc w:val="left"/>
            </w:pPr>
            <w:r/>
            <w:r>
              <w:rPr>
                <w:rFonts w:ascii="Source Sans 3" w:hAnsi="Source Sans 3"/>
                <w:b w:val="0"/>
                <w:sz w:val="15"/>
              </w:rPr>
              <w:t>Transformationsplan</w:t>
            </w:r>
          </w:p>
        </w:tc>
        <w:tc>
          <w:tcPr>
            <w:tcW w:type="dxa" w:w="3437"/>
            <w:vAlign w:val="top"/>
          </w:tcPr>
          <w:p>
            <w:pPr>
              <w:jc w:val="left"/>
            </w:pPr>
            <w:r/>
            <w:r>
              <w:rPr>
                <w:rFonts w:ascii="Source Sans 3" w:hAnsi="Source Sans 3"/>
                <w:b w:val="0"/>
                <w:sz w:val="15"/>
              </w:rPr>
              <w:t>20 %</w:t>
            </w:r>
          </w:p>
        </w:tc>
        <w:tc>
          <w:tcPr>
            <w:tcW w:type="dxa" w:w="3437"/>
            <w:vAlign w:val="top"/>
          </w:tcPr>
          <w:p>
            <w:pPr>
              <w:jc w:val="left"/>
            </w:pPr>
            <w:r/>
            <w:r>
              <w:rPr>
                <w:rFonts w:ascii="Source Sans 3" w:hAnsi="Source Sans 3"/>
                <w:b w:val="0"/>
                <w:sz w:val="15"/>
              </w:rPr>
              <w:t>Ziele, Budget, Zeitplan, Investitionspfad</w:t>
            </w:r>
          </w:p>
        </w:tc>
      </w:tr>
      <w:tr>
        <w:tc>
          <w:tcPr>
            <w:tcW w:type="dxa" w:w="3437"/>
            <w:vAlign w:val="top"/>
          </w:tcPr>
          <w:p>
            <w:pPr>
              <w:jc w:val="left"/>
            </w:pPr>
            <w:r/>
            <w:r>
              <w:rPr>
                <w:rFonts w:ascii="Source Sans 3" w:hAnsi="Source Sans 3"/>
                <w:b w:val="0"/>
                <w:sz w:val="15"/>
              </w:rPr>
              <w:t>Lieferkettenresilienz</w:t>
            </w:r>
          </w:p>
        </w:tc>
        <w:tc>
          <w:tcPr>
            <w:tcW w:type="dxa" w:w="3437"/>
            <w:vAlign w:val="top"/>
          </w:tcPr>
          <w:p>
            <w:pPr>
              <w:jc w:val="left"/>
            </w:pPr>
            <w:r/>
            <w:r>
              <w:rPr>
                <w:rFonts w:ascii="Source Sans 3" w:hAnsi="Source Sans 3"/>
                <w:b w:val="0"/>
                <w:sz w:val="15"/>
              </w:rPr>
              <w:t>15 %</w:t>
            </w:r>
          </w:p>
        </w:tc>
        <w:tc>
          <w:tcPr>
            <w:tcW w:type="dxa" w:w="3437"/>
            <w:vAlign w:val="top"/>
          </w:tcPr>
          <w:p>
            <w:pPr>
              <w:jc w:val="left"/>
            </w:pPr>
            <w:r/>
            <w:r>
              <w:rPr>
                <w:rFonts w:ascii="Source Sans 3" w:hAnsi="Source Sans 3"/>
                <w:b w:val="0"/>
                <w:sz w:val="15"/>
              </w:rPr>
              <w:t>kritische Lieferanten, Alternativen, Menschenrechte, Materialrisiken</w:t>
            </w:r>
          </w:p>
        </w:tc>
      </w:tr>
      <w:tr>
        <w:tc>
          <w:tcPr>
            <w:tcW w:type="dxa" w:w="3437"/>
            <w:vAlign w:val="top"/>
          </w:tcPr>
          <w:p>
            <w:pPr>
              <w:jc w:val="left"/>
            </w:pPr>
            <w:r/>
            <w:r>
              <w:rPr>
                <w:rFonts w:ascii="Source Sans 3" w:hAnsi="Source Sans 3"/>
                <w:b w:val="0"/>
                <w:sz w:val="15"/>
              </w:rPr>
              <w:t>Klima- und Umweltrisiko</w:t>
            </w:r>
          </w:p>
        </w:tc>
        <w:tc>
          <w:tcPr>
            <w:tcW w:type="dxa" w:w="3437"/>
            <w:vAlign w:val="top"/>
          </w:tcPr>
          <w:p>
            <w:pPr>
              <w:jc w:val="left"/>
            </w:pPr>
            <w:r/>
            <w:r>
              <w:rPr>
                <w:rFonts w:ascii="Source Sans 3" w:hAnsi="Source Sans 3"/>
                <w:b w:val="0"/>
                <w:sz w:val="15"/>
              </w:rPr>
              <w:t>15 %</w:t>
            </w:r>
          </w:p>
        </w:tc>
        <w:tc>
          <w:tcPr>
            <w:tcW w:type="dxa" w:w="3437"/>
            <w:vAlign w:val="top"/>
          </w:tcPr>
          <w:p>
            <w:pPr>
              <w:jc w:val="left"/>
            </w:pPr>
            <w:r/>
            <w:r>
              <w:rPr>
                <w:rFonts w:ascii="Source Sans 3" w:hAnsi="Source Sans 3"/>
                <w:b w:val="0"/>
                <w:sz w:val="15"/>
              </w:rPr>
              <w:t>Energie, Emissionen, Wasser, Standortrisiken</w:t>
            </w:r>
          </w:p>
        </w:tc>
      </w:tr>
      <w:tr>
        <w:tc>
          <w:tcPr>
            <w:tcW w:type="dxa" w:w="3437"/>
            <w:vAlign w:val="top"/>
          </w:tcPr>
          <w:p>
            <w:pPr>
              <w:jc w:val="left"/>
            </w:pPr>
            <w:r/>
            <w:r>
              <w:rPr>
                <w:rFonts w:ascii="Source Sans 3" w:hAnsi="Source Sans 3"/>
                <w:b w:val="0"/>
                <w:sz w:val="15"/>
              </w:rPr>
              <w:t>Governance und Verantwortung</w:t>
            </w:r>
          </w:p>
        </w:tc>
        <w:tc>
          <w:tcPr>
            <w:tcW w:type="dxa" w:w="3437"/>
            <w:vAlign w:val="top"/>
          </w:tcPr>
          <w:p>
            <w:pPr>
              <w:jc w:val="left"/>
            </w:pPr>
            <w:r/>
            <w:r>
              <w:rPr>
                <w:rFonts w:ascii="Source Sans 3" w:hAnsi="Source Sans 3"/>
                <w:b w:val="0"/>
                <w:sz w:val="15"/>
              </w:rPr>
              <w:t>15 %</w:t>
            </w:r>
          </w:p>
        </w:tc>
        <w:tc>
          <w:tcPr>
            <w:tcW w:type="dxa" w:w="3437"/>
            <w:vAlign w:val="top"/>
          </w:tcPr>
          <w:p>
            <w:pPr>
              <w:jc w:val="left"/>
            </w:pPr>
            <w:r/>
            <w:r>
              <w:rPr>
                <w:rFonts w:ascii="Source Sans 3" w:hAnsi="Source Sans 3"/>
                <w:b w:val="0"/>
                <w:sz w:val="15"/>
              </w:rPr>
              <w:t>Zuständigkeiten, Boni, Kontrolle, Schulung</w:t>
            </w:r>
          </w:p>
        </w:tc>
      </w:tr>
      <w:tr>
        <w:tc>
          <w:tcPr>
            <w:tcW w:type="dxa" w:w="3437"/>
            <w:vAlign w:val="top"/>
          </w:tcPr>
          <w:p>
            <w:pPr>
              <w:jc w:val="left"/>
            </w:pPr>
            <w:r/>
            <w:r>
              <w:rPr>
                <w:rFonts w:ascii="Source Sans 3" w:hAnsi="Source Sans 3"/>
                <w:b w:val="0"/>
                <w:sz w:val="15"/>
              </w:rPr>
              <w:t>Wirkungsintegration</w:t>
            </w:r>
          </w:p>
        </w:tc>
        <w:tc>
          <w:tcPr>
            <w:tcW w:type="dxa" w:w="3437"/>
            <w:vAlign w:val="top"/>
          </w:tcPr>
          <w:p>
            <w:pPr>
              <w:jc w:val="left"/>
            </w:pPr>
            <w:r/>
            <w:r>
              <w:rPr>
                <w:rFonts w:ascii="Source Sans 3" w:hAnsi="Source Sans 3"/>
                <w:b w:val="0"/>
                <w:sz w:val="15"/>
              </w:rPr>
              <w:t>15 %</w:t>
            </w:r>
          </w:p>
        </w:tc>
        <w:tc>
          <w:tcPr>
            <w:tcW w:type="dxa" w:w="3437"/>
            <w:vAlign w:val="top"/>
          </w:tcPr>
          <w:p>
            <w:pPr>
              <w:jc w:val="left"/>
            </w:pPr>
            <w:r/>
            <w:r>
              <w:rPr>
                <w:rFonts w:ascii="Source Sans 3" w:hAnsi="Source Sans 3"/>
                <w:b w:val="0"/>
                <w:sz w:val="15"/>
              </w:rPr>
              <w:t>WÖk-IDs, Scorecards, NWI, T-SROI, Produktdaten</w:t>
            </w:r>
          </w:p>
        </w:tc>
      </w:tr>
    </w:tbl>
    <w:p/>
    <w:p>
      <w:pPr>
        <w:spacing w:after="120" w:line="269" w:lineRule="auto"/>
      </w:pPr>
      <w:r>
        <w:t>Arbeitsformel v0.1: Finance Readiness Score = Summe(Dimensionsscore 0-100 x Gewicht). Score unter 40 = hohes Finanzierungsrisiko; 40-60 = Transformationsbedarf; 60-80 = solide Anschlussfähigkeit; über 80 = hohe Wirkungs- und Finanzmarktreife. Diese Schwellen sind Arbeitsannahmen und müssen sektorbezogen kalibriert werden.</w:t>
      </w:r>
    </w:p>
    <w:p>
      <w:pPr>
        <w:pStyle w:val="Heading1"/>
      </w:pPr>
      <w:r>
        <w:t>6. Querverlinkungen im Portal</w:t>
      </w:r>
    </w:p>
    <w:p>
      <w:pPr>
        <w:pStyle w:val="ListBullet"/>
        <w:spacing w:after="40"/>
      </w:pPr>
      <w:r>
        <w:t>Wirtschaft &amp; Unternehmen: Unternehmen als Wirkungssysteme, Impact Controlling im Unternehmen, Risikomanagement, Lieferkette, Mitarbeiterführung, Marketing.</w:t>
      </w:r>
    </w:p>
    <w:p>
      <w:pPr>
        <w:pStyle w:val="ListBullet"/>
        <w:spacing w:after="40"/>
      </w:pPr>
      <w:r>
        <w:t>Produkte &amp; Konsum: Wirkungsumsatzsteuer, Produktscorecards, digitale Produktpässe.</w:t>
      </w:r>
    </w:p>
    <w:p>
      <w:pPr>
        <w:pStyle w:val="ListBullet"/>
        <w:spacing w:after="40"/>
      </w:pPr>
      <w:r>
        <w:t>Staat, Recht &amp; Demokratie: WStG, Wirkungsrat, Rechtsrahmen und politische Anschlussfähigkeit.</w:t>
      </w:r>
    </w:p>
    <w:p>
      <w:pPr>
        <w:pStyle w:val="ListBullet"/>
        <w:spacing w:after="40"/>
      </w:pPr>
      <w:r>
        <w:t>Arbeit &amp; Einkommen: Automatisierung, Sozialabgaben-Entkopplung, Wirkungseinkommensteuer.</w:t>
      </w:r>
    </w:p>
    <w:p>
      <w:pPr>
        <w:pStyle w:val="ListBullet"/>
        <w:spacing w:after="40"/>
      </w:pPr>
      <w:r>
        <w:t>Finanzsystem &amp; Kapital: Kapitalwirkung, Wirkungsfonds, Vermögens- und Erbschaftslogik, Fondsrechner.</w:t>
      </w:r>
    </w:p>
    <w:p>
      <w:pPr>
        <w:pStyle w:val="Heading1"/>
      </w:pPr>
      <w:r>
        <w:t>Quellen und Referenzrahmen</w:t>
      </w:r>
    </w:p>
    <w:p>
      <w:pPr>
        <w:pStyle w:val="ListBullet"/>
      </w:pPr>
      <w:r>
        <w:t xml:space="preserve">EBA - Guidelines on management of ESG risks: </w:t>
      </w:r>
      <w:hyperlink r:id="rId9">
        <w:r>
          <w:rPr>
            <w:color w:val="2D7D5C"/>
            <w:u w:val="single"/>
          </w:rPr>
          <w:t>https://www.eba.europa.eu/activities/single-rulebook/regulatory-activities/sustainable-finance/guidelines-management-esg-risks</w:t>
        </w:r>
      </w:hyperlink>
    </w:p>
    <w:p>
      <w:pPr>
        <w:pStyle w:val="ListBullet"/>
      </w:pPr>
      <w:r>
        <w:t xml:space="preserve">EBA - Guidelines on loan origination and monitoring: </w:t>
      </w:r>
      <w:hyperlink r:id="rId10">
        <w:r>
          <w:rPr>
            <w:color w:val="2D7D5C"/>
            <w:u w:val="single"/>
          </w:rPr>
          <w:t>https://www.eba.europa.eu/activities/single-rulebook/regulatory-activities/credit-risk/guidelines-loan-origination-and-monitoring</w:t>
        </w:r>
      </w:hyperlink>
    </w:p>
    <w:p>
      <w:pPr>
        <w:pStyle w:val="ListBullet"/>
      </w:pPr>
      <w:r>
        <w:t xml:space="preserve">European Commission - Corporate sustainability reporting (CSRD/ESRS): </w:t>
      </w:r>
      <w:hyperlink r:id="rId11">
        <w:r>
          <w:rPr>
            <w:color w:val="2D7D5C"/>
            <w:u w:val="single"/>
          </w:rPr>
          <w:t>https://finance.ec.europa.eu/financial-markets/company-reporting-and-auditing/company-reporting/corporate-sustainability-reporting_en</w:t>
        </w:r>
      </w:hyperlink>
    </w:p>
    <w:p>
      <w:pPr>
        <w:pStyle w:val="ListBullet"/>
      </w:pPr>
      <w:r>
        <w:t xml:space="preserve">EFRAG - Sustainability reporting / ESRS: </w:t>
      </w:r>
      <w:hyperlink r:id="rId12">
        <w:r>
          <w:rPr>
            <w:color w:val="2D7D5C"/>
            <w:u w:val="single"/>
          </w:rPr>
          <w:t>https://www.efrag.org/en/sustainability-reporting/about-sustainability-reporting</w:t>
        </w:r>
      </w:hyperlink>
    </w:p>
    <w:p>
      <w:pPr>
        <w:pStyle w:val="ListBullet"/>
      </w:pPr>
      <w:r>
        <w:t xml:space="preserve">European Commission - EU Taxonomy: </w:t>
      </w:r>
      <w:hyperlink r:id="rId13">
        <w:r>
          <w:rPr>
            <w:color w:val="2D7D5C"/>
            <w:u w:val="single"/>
          </w:rPr>
          <w:t>https://finance.ec.europa.eu/sustainable-finance/tools-and-standards/eu-taxonomy-sustainable-activities_en</w:t>
        </w:r>
      </w:hyperlink>
    </w:p>
    <w:p>
      <w:pPr>
        <w:pStyle w:val="ListBullet"/>
      </w:pPr>
      <w:r>
        <w:t xml:space="preserve">ESMA - ESG rating providers: </w:t>
      </w:r>
      <w:hyperlink r:id="rId14">
        <w:r>
          <w:rPr>
            <w:color w:val="2D7D5C"/>
            <w:u w:val="single"/>
          </w:rPr>
          <w:t>https://www.esma.europa.eu/esmas-activities/investors-and-issuers/esg-rating-providers</w:t>
        </w:r>
      </w:hyperlink>
    </w:p>
    <w:p>
      <w:pPr>
        <w:pStyle w:val="ListBullet"/>
      </w:pPr>
      <w:r>
        <w:t xml:space="preserve">Regulation (EU) 2024/3005 - ESG ratings: </w:t>
      </w:r>
      <w:hyperlink r:id="rId15">
        <w:r>
          <w:rPr>
            <w:color w:val="2D7D5C"/>
            <w:u w:val="single"/>
          </w:rPr>
          <w:t>https://eur-lex.europa.eu/legal-content/EN/TXT/PDF/?uri=OJ:L_202403005</w:t>
        </w:r>
      </w:hyperlink>
    </w:p>
    <w:p>
      <w:pPr>
        <w:pStyle w:val="ListBullet"/>
      </w:pPr>
      <w:r>
        <w:t xml:space="preserve">EIOPA - Managing sustainability risks: </w:t>
      </w:r>
      <w:hyperlink r:id="rId16">
        <w:r>
          <w:rPr>
            <w:color w:val="2D7D5C"/>
            <w:u w:val="single"/>
          </w:rPr>
          <w:t>https://www.eiopa.europa.eu/managing-sustainability-risks_en</w:t>
        </w:r>
      </w:hyperlink>
    </w:p>
    <w:p>
      <w:pPr>
        <w:pStyle w:val="ListBullet"/>
      </w:pPr>
      <w:r>
        <w:t xml:space="preserve">European Commission - Corporate sustainability due diligence: </w:t>
      </w:r>
      <w:hyperlink r:id="rId17">
        <w:r>
          <w:rPr>
            <w:color w:val="2D7D5C"/>
            <w:u w:val="single"/>
          </w:rPr>
          <w:t>https://commission.europa.eu/topics/business-and-industry/doing-business-eu/sustainability-due-diligence-responsible-business/corporate-sustainability-due-diligence_en</w:t>
        </w:r>
      </w:hyperlink>
    </w:p>
    <w:p>
      <w:pPr>
        <w:pStyle w:val="ListBullet"/>
      </w:pPr>
      <w:r>
        <w:t xml:space="preserve">OECD Due Diligence Guidance for Responsible Business Conduct: </w:t>
      </w:r>
      <w:hyperlink r:id="rId18">
        <w:r>
          <w:rPr>
            <w:color w:val="2D7D5C"/>
            <w:u w:val="single"/>
          </w:rPr>
          <w:t>https://www.oecd.org/en/publications/2018/02/oecd-due-diligence-guidance-for-responsible-business-conduct_c669bd57.html</w:t>
        </w:r>
      </w:hyperlink>
    </w:p>
    <w:p>
      <w:pPr>
        <w:pStyle w:val="ListBullet"/>
      </w:pPr>
      <w:r>
        <w:t xml:space="preserve">Wirkungsökonomie - SDG-/SDG+-Referenzrahmen: </w:t>
      </w:r>
      <w:hyperlink r:id="rId19">
        <w:r>
          <w:rPr>
            <w:color w:val="2D7D5C"/>
            <w:u w:val="single"/>
          </w:rPr>
          <w:t>https://wirkungsoekonomie.de/verstehen/sdgs-sdgplus/</w:t>
        </w:r>
      </w:hyperlink>
    </w:p>
    <w:p>
      <w:pPr>
        <w:pStyle w:val="ListBullet"/>
      </w:pPr>
      <w:r>
        <w:t xml:space="preserve">Wirkungsökonomie - Online-Buch: </w:t>
      </w:r>
      <w:hyperlink r:id="rId20">
        <w:r>
          <w:rPr>
            <w:color w:val="2D7D5C"/>
            <w:u w:val="single"/>
          </w:rPr>
          <w:t>https://wirkungsoekonomie.de/werkstatt/online-buch/</w:t>
        </w:r>
      </w:hyperlink>
    </w:p>
    <w:p>
      <w:pPr>
        <w:pStyle w:val="Heading1"/>
      </w:pPr>
      <w:r>
        <w:t>7. Beispiel 4: Lieferantenfragebogen eines Großkunden</w:t>
      </w:r>
    </w:p>
    <w:p>
      <w:pPr>
        <w:spacing w:after="120" w:line="269" w:lineRule="auto"/>
      </w:pPr>
      <w:r>
        <w:t>Ein mittelständischer Zulieferer wird nicht direkt CSRD-pflichtig, erhält aber von einem Großkunden einen Fragebogen zu Emissionen, Energie, Arbeitsschutz, Menschenrechten, Wasser, Abfall, Lieferanten, Antikorruption und Datenqualität. In der alten Logik wirkt das wie Bürokratie. In der WÖk wird es als frühe Lieferketten-Wirkungsschnittstelle gelesen.</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0B1B33"/>
            <w:vAlign w:val="center"/>
          </w:tcPr>
          <w:p>
            <w:r/>
            <w:r>
              <w:rPr>
                <w:rFonts w:ascii="Source Sans 3" w:hAnsi="Source Sans 3"/>
                <w:b/>
                <w:color w:val="FFFFFF"/>
                <w:sz w:val="14"/>
              </w:rPr>
              <w:t>Fragefeld</w:t>
            </w:r>
          </w:p>
        </w:tc>
        <w:tc>
          <w:tcPr>
            <w:tcW w:type="dxa" w:w="3437"/>
            <w:shd w:fill="0B1B33"/>
            <w:vAlign w:val="center"/>
          </w:tcPr>
          <w:p>
            <w:r/>
            <w:r>
              <w:rPr>
                <w:rFonts w:ascii="Source Sans 3" w:hAnsi="Source Sans 3"/>
                <w:b/>
                <w:color w:val="FFFFFF"/>
                <w:sz w:val="14"/>
              </w:rPr>
              <w:t>Typische Anforderung</w:t>
            </w:r>
          </w:p>
        </w:tc>
        <w:tc>
          <w:tcPr>
            <w:tcW w:type="dxa" w:w="3437"/>
            <w:shd w:fill="0B1B33"/>
            <w:vAlign w:val="center"/>
          </w:tcPr>
          <w:p>
            <w:r/>
            <w:r>
              <w:rPr>
                <w:rFonts w:ascii="Source Sans 3" w:hAnsi="Source Sans 3"/>
                <w:b/>
                <w:color w:val="FFFFFF"/>
                <w:sz w:val="14"/>
              </w:rPr>
              <w:t>WÖk-Übersetzung</w:t>
            </w:r>
          </w:p>
        </w:tc>
      </w:tr>
      <w:tr>
        <w:tc>
          <w:tcPr>
            <w:tcW w:type="dxa" w:w="3437"/>
          </w:tcPr>
          <w:p>
            <w:r/>
            <w:r>
              <w:rPr>
                <w:rFonts w:ascii="Source Sans 3" w:hAnsi="Source Sans 3"/>
                <w:b w:val="0"/>
                <w:sz w:val="14"/>
              </w:rPr>
              <w:t>Emissionen</w:t>
            </w:r>
          </w:p>
        </w:tc>
        <w:tc>
          <w:tcPr>
            <w:tcW w:type="dxa" w:w="3437"/>
          </w:tcPr>
          <w:p>
            <w:r/>
            <w:r>
              <w:rPr>
                <w:rFonts w:ascii="Source Sans 3" w:hAnsi="Source Sans 3"/>
                <w:b w:val="0"/>
                <w:sz w:val="14"/>
              </w:rPr>
              <w:t>Scope-1/2 und erste Scope-3-Schätzung</w:t>
            </w:r>
          </w:p>
        </w:tc>
        <w:tc>
          <w:tcPr>
            <w:tcW w:type="dxa" w:w="3437"/>
          </w:tcPr>
          <w:p>
            <w:r/>
            <w:r>
              <w:rPr>
                <w:rFonts w:ascii="Source Sans 3" w:hAnsi="Source Sans 3"/>
                <w:b w:val="0"/>
                <w:sz w:val="14"/>
              </w:rPr>
              <w:t>WÖk-ID Klima/Emissionen, Scorecardfeld Planet</w:t>
            </w:r>
          </w:p>
        </w:tc>
      </w:tr>
      <w:tr>
        <w:tc>
          <w:tcPr>
            <w:tcW w:type="dxa" w:w="3437"/>
          </w:tcPr>
          <w:p>
            <w:r/>
            <w:r>
              <w:rPr>
                <w:rFonts w:ascii="Source Sans 3" w:hAnsi="Source Sans 3"/>
                <w:b w:val="0"/>
                <w:sz w:val="14"/>
              </w:rPr>
              <w:t>Arbeitsrechte</w:t>
            </w:r>
          </w:p>
        </w:tc>
        <w:tc>
          <w:tcPr>
            <w:tcW w:type="dxa" w:w="3437"/>
          </w:tcPr>
          <w:p>
            <w:r/>
            <w:r>
              <w:rPr>
                <w:rFonts w:ascii="Source Sans 3" w:hAnsi="Source Sans 3"/>
                <w:b w:val="0"/>
                <w:sz w:val="14"/>
              </w:rPr>
              <w:t>Nachweis Arbeitsschutz und Löhne</w:t>
            </w:r>
          </w:p>
        </w:tc>
        <w:tc>
          <w:tcPr>
            <w:tcW w:type="dxa" w:w="3437"/>
          </w:tcPr>
          <w:p>
            <w:r/>
            <w:r>
              <w:rPr>
                <w:rFonts w:ascii="Source Sans 3" w:hAnsi="Source Sans 3"/>
                <w:b w:val="0"/>
                <w:sz w:val="14"/>
              </w:rPr>
              <w:t>WÖk-ID Arbeit/Teilhabe, Scorecardfeld Mensch</w:t>
            </w:r>
          </w:p>
        </w:tc>
      </w:tr>
      <w:tr>
        <w:tc>
          <w:tcPr>
            <w:tcW w:type="dxa" w:w="3437"/>
          </w:tcPr>
          <w:p>
            <w:r/>
            <w:r>
              <w:rPr>
                <w:rFonts w:ascii="Source Sans 3" w:hAnsi="Source Sans 3"/>
                <w:b w:val="0"/>
                <w:sz w:val="14"/>
              </w:rPr>
              <w:t>Compliance</w:t>
            </w:r>
          </w:p>
        </w:tc>
        <w:tc>
          <w:tcPr>
            <w:tcW w:type="dxa" w:w="3437"/>
          </w:tcPr>
          <w:p>
            <w:r/>
            <w:r>
              <w:rPr>
                <w:rFonts w:ascii="Source Sans 3" w:hAnsi="Source Sans 3"/>
                <w:b w:val="0"/>
                <w:sz w:val="14"/>
              </w:rPr>
              <w:t>Antikorruption, Hinweisgebersystem, Sorgfaltspflicht</w:t>
            </w:r>
          </w:p>
        </w:tc>
        <w:tc>
          <w:tcPr>
            <w:tcW w:type="dxa" w:w="3437"/>
          </w:tcPr>
          <w:p>
            <w:r/>
            <w:r>
              <w:rPr>
                <w:rFonts w:ascii="Source Sans 3" w:hAnsi="Source Sans 3"/>
                <w:b w:val="0"/>
                <w:sz w:val="14"/>
              </w:rPr>
              <w:t>Governance- und Demokratiebezug</w:t>
            </w:r>
          </w:p>
        </w:tc>
      </w:tr>
      <w:tr>
        <w:tc>
          <w:tcPr>
            <w:tcW w:type="dxa" w:w="3437"/>
          </w:tcPr>
          <w:p>
            <w:r/>
            <w:r>
              <w:rPr>
                <w:rFonts w:ascii="Source Sans 3" w:hAnsi="Source Sans 3"/>
                <w:b w:val="0"/>
                <w:sz w:val="14"/>
              </w:rPr>
              <w:t>Datenqualität</w:t>
            </w:r>
          </w:p>
        </w:tc>
        <w:tc>
          <w:tcPr>
            <w:tcW w:type="dxa" w:w="3437"/>
          </w:tcPr>
          <w:p>
            <w:r/>
            <w:r>
              <w:rPr>
                <w:rFonts w:ascii="Source Sans 3" w:hAnsi="Source Sans 3"/>
                <w:b w:val="0"/>
                <w:sz w:val="14"/>
              </w:rPr>
              <w:t>Messung, Schätzung, externe Prüfung</w:t>
            </w:r>
          </w:p>
        </w:tc>
        <w:tc>
          <w:tcPr>
            <w:tcW w:type="dxa" w:w="3437"/>
          </w:tcPr>
          <w:p>
            <w:r/>
            <w:r>
              <w:rPr>
                <w:rFonts w:ascii="Source Sans 3" w:hAnsi="Source Sans 3"/>
                <w:b w:val="0"/>
                <w:sz w:val="14"/>
              </w:rPr>
              <w:t>Vertrauensstufe der Scorecard</w:t>
            </w:r>
          </w:p>
        </w:tc>
      </w:tr>
    </w:tbl>
    <w:p/>
    <w:p>
      <w:pPr>
        <w:pStyle w:val="Heading1"/>
      </w:pPr>
      <w:r>
        <w:t>8. Beispiel 5: Automatisierung und Finanzierungslücke</w:t>
      </w:r>
    </w:p>
    <w:p>
      <w:pPr>
        <w:spacing w:after="120" w:line="269" w:lineRule="auto"/>
      </w:pPr>
      <w:r>
        <w:t>Ein Unternehmen automatisiert eine Fertigungslinie. Aus Banksicht kann die Investition effizient und profitabel sein. Aus sozialer Sicht kann sie Beschäftigung und Beitragsbasis schwächen. Wirkungsökonomisch werden beide Seiten verbunden: Produktivität, Beschäftigungswirkung, Qualifizierung, Automatisierungsbeitrag und Wirkungseinkommen müssen gemeinsam betrachtet werden.</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0B1B33"/>
            <w:vAlign w:val="center"/>
          </w:tcPr>
          <w:p>
            <w:r/>
            <w:r>
              <w:rPr>
                <w:rFonts w:ascii="Source Sans 3" w:hAnsi="Source Sans 3"/>
                <w:b/>
                <w:color w:val="FFFFFF"/>
                <w:sz w:val="14"/>
              </w:rPr>
              <w:t>Kennzahl</w:t>
            </w:r>
          </w:p>
        </w:tc>
        <w:tc>
          <w:tcPr>
            <w:tcW w:type="dxa" w:w="3437"/>
            <w:shd w:fill="0B1B33"/>
            <w:vAlign w:val="center"/>
          </w:tcPr>
          <w:p>
            <w:r/>
            <w:r>
              <w:rPr>
                <w:rFonts w:ascii="Source Sans 3" w:hAnsi="Source Sans 3"/>
                <w:b/>
                <w:color w:val="FFFFFF"/>
                <w:sz w:val="14"/>
              </w:rPr>
              <w:t>Alte Bewertung</w:t>
            </w:r>
          </w:p>
        </w:tc>
        <w:tc>
          <w:tcPr>
            <w:tcW w:type="dxa" w:w="3437"/>
            <w:shd w:fill="0B1B33"/>
            <w:vAlign w:val="center"/>
          </w:tcPr>
          <w:p>
            <w:r/>
            <w:r>
              <w:rPr>
                <w:rFonts w:ascii="Source Sans 3" w:hAnsi="Source Sans 3"/>
                <w:b/>
                <w:color w:val="FFFFFF"/>
                <w:sz w:val="14"/>
              </w:rPr>
              <w:t>WÖk-Ergänzung</w:t>
            </w:r>
          </w:p>
        </w:tc>
      </w:tr>
      <w:tr>
        <w:tc>
          <w:tcPr>
            <w:tcW w:type="dxa" w:w="3437"/>
          </w:tcPr>
          <w:p>
            <w:r/>
            <w:r>
              <w:rPr>
                <w:rFonts w:ascii="Source Sans 3" w:hAnsi="Source Sans 3"/>
                <w:b w:val="0"/>
                <w:sz w:val="14"/>
              </w:rPr>
              <w:t>Capex</w:t>
            </w:r>
          </w:p>
        </w:tc>
        <w:tc>
          <w:tcPr>
            <w:tcW w:type="dxa" w:w="3437"/>
          </w:tcPr>
          <w:p>
            <w:r/>
            <w:r>
              <w:rPr>
                <w:rFonts w:ascii="Source Sans 3" w:hAnsi="Source Sans 3"/>
                <w:b w:val="0"/>
                <w:sz w:val="14"/>
              </w:rPr>
              <w:t>Investition in Produktivität</w:t>
            </w:r>
          </w:p>
        </w:tc>
        <w:tc>
          <w:tcPr>
            <w:tcW w:type="dxa" w:w="3437"/>
          </w:tcPr>
          <w:p>
            <w:r/>
            <w:r>
              <w:rPr>
                <w:rFonts w:ascii="Source Sans 3" w:hAnsi="Source Sans 3"/>
                <w:b w:val="0"/>
                <w:sz w:val="14"/>
              </w:rPr>
              <w:t>T-SROI auf Produktivität, Arbeitsqualität, Emissionen und soziale Stabilität</w:t>
            </w:r>
          </w:p>
        </w:tc>
      </w:tr>
      <w:tr>
        <w:tc>
          <w:tcPr>
            <w:tcW w:type="dxa" w:w="3437"/>
          </w:tcPr>
          <w:p>
            <w:r/>
            <w:r>
              <w:rPr>
                <w:rFonts w:ascii="Source Sans 3" w:hAnsi="Source Sans 3"/>
                <w:b w:val="0"/>
                <w:sz w:val="14"/>
              </w:rPr>
              <w:t>Personalkosten</w:t>
            </w:r>
          </w:p>
        </w:tc>
        <w:tc>
          <w:tcPr>
            <w:tcW w:type="dxa" w:w="3437"/>
          </w:tcPr>
          <w:p>
            <w:r/>
            <w:r>
              <w:rPr>
                <w:rFonts w:ascii="Source Sans 3" w:hAnsi="Source Sans 3"/>
                <w:b w:val="0"/>
                <w:sz w:val="14"/>
              </w:rPr>
              <w:t>Kostenreduktion</w:t>
            </w:r>
          </w:p>
        </w:tc>
        <w:tc>
          <w:tcPr>
            <w:tcW w:type="dxa" w:w="3437"/>
          </w:tcPr>
          <w:p>
            <w:r/>
            <w:r>
              <w:rPr>
                <w:rFonts w:ascii="Source Sans 3" w:hAnsi="Source Sans 3"/>
                <w:b w:val="0"/>
                <w:sz w:val="14"/>
              </w:rPr>
              <w:t>Wirkung auf Einkommen, Sozialbeiträge, Qualifikation und Region</w:t>
            </w:r>
          </w:p>
        </w:tc>
      </w:tr>
      <w:tr>
        <w:tc>
          <w:tcPr>
            <w:tcW w:type="dxa" w:w="3437"/>
          </w:tcPr>
          <w:p>
            <w:r/>
            <w:r>
              <w:rPr>
                <w:rFonts w:ascii="Source Sans 3" w:hAnsi="Source Sans 3"/>
                <w:b w:val="0"/>
                <w:sz w:val="14"/>
              </w:rPr>
              <w:t>Gewinn</w:t>
            </w:r>
          </w:p>
        </w:tc>
        <w:tc>
          <w:tcPr>
            <w:tcW w:type="dxa" w:w="3437"/>
          </w:tcPr>
          <w:p>
            <w:r/>
            <w:r>
              <w:rPr>
                <w:rFonts w:ascii="Source Sans 3" w:hAnsi="Source Sans 3"/>
                <w:b w:val="0"/>
                <w:sz w:val="14"/>
              </w:rPr>
              <w:t>Effizienzgewinn</w:t>
            </w:r>
          </w:p>
        </w:tc>
        <w:tc>
          <w:tcPr>
            <w:tcW w:type="dxa" w:w="3437"/>
          </w:tcPr>
          <w:p>
            <w:r/>
            <w:r>
              <w:rPr>
                <w:rFonts w:ascii="Source Sans 3" w:hAnsi="Source Sans 3"/>
                <w:b w:val="0"/>
                <w:sz w:val="14"/>
              </w:rPr>
              <w:t>Gewinn als Resultat der Wirkungskette, nicht Endmaßstab</w:t>
            </w:r>
          </w:p>
        </w:tc>
      </w:tr>
      <w:tr>
        <w:tc>
          <w:tcPr>
            <w:tcW w:type="dxa" w:w="3437"/>
          </w:tcPr>
          <w:p>
            <w:r/>
            <w:r>
              <w:rPr>
                <w:rFonts w:ascii="Source Sans 3" w:hAnsi="Source Sans 3"/>
                <w:b w:val="0"/>
                <w:sz w:val="14"/>
              </w:rPr>
              <w:t>Sozialbeitrag</w:t>
            </w:r>
          </w:p>
        </w:tc>
        <w:tc>
          <w:tcPr>
            <w:tcW w:type="dxa" w:w="3437"/>
          </w:tcPr>
          <w:p>
            <w:r/>
            <w:r>
              <w:rPr>
                <w:rFonts w:ascii="Source Sans 3" w:hAnsi="Source Sans 3"/>
                <w:b w:val="0"/>
                <w:sz w:val="14"/>
              </w:rPr>
              <w:t>sinkende Lohnbasis</w:t>
            </w:r>
          </w:p>
        </w:tc>
        <w:tc>
          <w:tcPr>
            <w:tcW w:type="dxa" w:w="3437"/>
          </w:tcPr>
          <w:p>
            <w:r/>
            <w:r>
              <w:rPr>
                <w:rFonts w:ascii="Source Sans 3" w:hAnsi="Source Sans 3"/>
                <w:b w:val="0"/>
                <w:sz w:val="14"/>
              </w:rPr>
              <w:t>Automatisierungsbeitrag oder Wirkungsdividendenfonds</w:t>
            </w:r>
          </w:p>
        </w:tc>
      </w:tr>
    </w:tbl>
    <w:p/>
    <w:p>
      <w:pPr>
        <w:pStyle w:val="Heading1"/>
      </w:pPr>
      <w:r>
        <w:t>9. Beispiel 6: ESG-Rating vs. WÖk-Scorecard</w:t>
      </w:r>
    </w:p>
    <w:p>
      <w:pPr>
        <w:spacing w:after="120" w:line="269" w:lineRule="auto"/>
      </w:pPr>
      <w:r>
        <w:t>Ein Unternehmen erhält ein gutes ESG-Rating, weil Governance, Berichtssysteme und relative Branchenwerte solide sind. Gleichzeitig kann ein Produktportfolio negative externe Wirkung erzeugen. Die WÖk löst diesen Widerspruch, indem sie Unternehmens-, Produkt-, Lieferketten- und Systemwirkung getrennt sichtbar macht und nicht durch Durchschnittswerte schöngerechnet werden lässt.</w:t>
      </w:r>
    </w:p>
    <w:p>
      <w:pPr>
        <w:pStyle w:val="Heading1"/>
      </w:pPr>
      <w:r>
        <w:t>10. Prüf- und Maßnahmenliste</w:t>
      </w:r>
    </w:p>
    <w:p>
      <w:pPr>
        <w:pStyle w:val="ListBullet"/>
        <w:spacing w:after="40"/>
      </w:pPr>
      <w:r>
        <w:t>Welche Banken fragen bereits ESG-/Klimadaten ab?</w:t>
      </w:r>
    </w:p>
    <w:p>
      <w:pPr>
        <w:pStyle w:val="ListBullet"/>
        <w:spacing w:after="40"/>
      </w:pPr>
      <w:r>
        <w:t>Welche Versicherungen fordern Klimarisiko-, Standort- oder Präventionsdaten?</w:t>
      </w:r>
    </w:p>
    <w:p>
      <w:pPr>
        <w:pStyle w:val="ListBullet"/>
        <w:spacing w:after="40"/>
      </w:pPr>
      <w:r>
        <w:t>Welche Großkunden verlangen Lieferantendaten?</w:t>
      </w:r>
    </w:p>
    <w:p>
      <w:pPr>
        <w:pStyle w:val="ListBullet"/>
        <w:spacing w:after="40"/>
      </w:pPr>
      <w:r>
        <w:t>Welche Rating- oder Plattformdaten liegen vor?</w:t>
      </w:r>
    </w:p>
    <w:p>
      <w:pPr>
        <w:pStyle w:val="ListBullet"/>
        <w:spacing w:after="40"/>
      </w:pPr>
      <w:r>
        <w:t>Welche Daten sind gemessen, geschätzt oder ungeprüft?</w:t>
      </w:r>
    </w:p>
    <w:p>
      <w:pPr>
        <w:pStyle w:val="ListBullet"/>
        <w:spacing w:after="40"/>
      </w:pPr>
      <w:r>
        <w:t>Welche roten Linien bestehen in Lieferkette, Menschenrechten, Umwelt, Governance oder Daten?</w:t>
      </w:r>
    </w:p>
    <w:p>
      <w:pPr>
        <w:pStyle w:val="ListBullet"/>
        <w:spacing w:after="40"/>
      </w:pPr>
      <w:r>
        <w:t>Welche Maßnahmen verbessern nicht nur Reporting, sondern reale Wirkung?</w:t>
      </w:r>
    </w:p>
    <w:p>
      <w:pPr>
        <w:pStyle w:val="Heading1"/>
      </w:pPr>
      <w:r>
        <w:t>11. Mini-Tool: Finanzmarkt-Wirkungscheck</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0B1B33"/>
            <w:vAlign w:val="center"/>
          </w:tcPr>
          <w:p>
            <w:r/>
            <w:r>
              <w:rPr>
                <w:rFonts w:ascii="Source Sans 3" w:hAnsi="Source Sans 3"/>
                <w:b/>
                <w:color w:val="FFFFFF"/>
                <w:sz w:val="14"/>
              </w:rPr>
              <w:t>Frage</w:t>
            </w:r>
          </w:p>
        </w:tc>
        <w:tc>
          <w:tcPr>
            <w:tcW w:type="dxa" w:w="3437"/>
            <w:shd w:fill="0B1B33"/>
            <w:vAlign w:val="center"/>
          </w:tcPr>
          <w:p>
            <w:r/>
            <w:r>
              <w:rPr>
                <w:rFonts w:ascii="Source Sans 3" w:hAnsi="Source Sans 3"/>
                <w:b/>
                <w:color w:val="FFFFFF"/>
                <w:sz w:val="14"/>
              </w:rPr>
              <w:t>Punkte 0-5</w:t>
            </w:r>
          </w:p>
        </w:tc>
        <w:tc>
          <w:tcPr>
            <w:tcW w:type="dxa" w:w="3437"/>
            <w:shd w:fill="0B1B33"/>
            <w:vAlign w:val="center"/>
          </w:tcPr>
          <w:p>
            <w:r/>
            <w:r>
              <w:rPr>
                <w:rFonts w:ascii="Source Sans 3" w:hAnsi="Source Sans 3"/>
                <w:b/>
                <w:color w:val="FFFFFF"/>
                <w:sz w:val="14"/>
              </w:rPr>
              <w:t>Interpretation</w:t>
            </w:r>
          </w:p>
        </w:tc>
      </w:tr>
      <w:tr>
        <w:tc>
          <w:tcPr>
            <w:tcW w:type="dxa" w:w="3437"/>
          </w:tcPr>
          <w:p>
            <w:r/>
            <w:r>
              <w:rPr>
                <w:rFonts w:ascii="Source Sans 3" w:hAnsi="Source Sans 3"/>
                <w:b w:val="0"/>
                <w:sz w:val="14"/>
              </w:rPr>
              <w:t>Sind Energie- und Emissionsdaten belastbar?</w:t>
            </w:r>
          </w:p>
        </w:tc>
        <w:tc>
          <w:tcPr>
            <w:tcW w:type="dxa" w:w="3437"/>
          </w:tcPr>
          <w:p>
            <w:r/>
            <w:r>
              <w:rPr>
                <w:rFonts w:ascii="Source Sans 3" w:hAnsi="Source Sans 3"/>
                <w:b w:val="0"/>
                <w:sz w:val="14"/>
              </w:rPr>
              <w:t>0 keine Daten, 5 geprüft</w:t>
            </w:r>
          </w:p>
        </w:tc>
        <w:tc>
          <w:tcPr>
            <w:tcW w:type="dxa" w:w="3437"/>
          </w:tcPr>
          <w:p>
            <w:r/>
            <w:r>
              <w:rPr>
                <w:rFonts w:ascii="Source Sans 3" w:hAnsi="Source Sans 3"/>
                <w:b w:val="0"/>
                <w:sz w:val="14"/>
              </w:rPr>
              <w:t>Grundlage für Banken, Versicherungen und Produktwirkung</w:t>
            </w:r>
          </w:p>
        </w:tc>
      </w:tr>
      <w:tr>
        <w:tc>
          <w:tcPr>
            <w:tcW w:type="dxa" w:w="3437"/>
          </w:tcPr>
          <w:p>
            <w:r/>
            <w:r>
              <w:rPr>
                <w:rFonts w:ascii="Source Sans 3" w:hAnsi="Source Sans 3"/>
                <w:b w:val="0"/>
                <w:sz w:val="14"/>
              </w:rPr>
              <w:t>Gibt es einen Transformationsplan mit Budget?</w:t>
            </w:r>
          </w:p>
        </w:tc>
        <w:tc>
          <w:tcPr>
            <w:tcW w:type="dxa" w:w="3437"/>
          </w:tcPr>
          <w:p>
            <w:r/>
            <w:r>
              <w:rPr>
                <w:rFonts w:ascii="Source Sans 3" w:hAnsi="Source Sans 3"/>
                <w:b w:val="0"/>
                <w:sz w:val="14"/>
              </w:rPr>
              <w:t>0 nein, 5 ja mit Meilensteinen</w:t>
            </w:r>
          </w:p>
        </w:tc>
        <w:tc>
          <w:tcPr>
            <w:tcW w:type="dxa" w:w="3437"/>
          </w:tcPr>
          <w:p>
            <w:r/>
            <w:r>
              <w:rPr>
                <w:rFonts w:ascii="Source Sans 3" w:hAnsi="Source Sans 3"/>
                <w:b w:val="0"/>
                <w:sz w:val="14"/>
              </w:rPr>
              <w:t>Kapital- und Kreditsignal</w:t>
            </w:r>
          </w:p>
        </w:tc>
      </w:tr>
      <w:tr>
        <w:tc>
          <w:tcPr>
            <w:tcW w:type="dxa" w:w="3437"/>
          </w:tcPr>
          <w:p>
            <w:r/>
            <w:r>
              <w:rPr>
                <w:rFonts w:ascii="Source Sans 3" w:hAnsi="Source Sans 3"/>
                <w:b w:val="0"/>
                <w:sz w:val="14"/>
              </w:rPr>
              <w:t>Sind Lieferkettenrisiken bekannt?</w:t>
            </w:r>
          </w:p>
        </w:tc>
        <w:tc>
          <w:tcPr>
            <w:tcW w:type="dxa" w:w="3437"/>
          </w:tcPr>
          <w:p>
            <w:r/>
            <w:r>
              <w:rPr>
                <w:rFonts w:ascii="Source Sans 3" w:hAnsi="Source Sans 3"/>
                <w:b w:val="0"/>
                <w:sz w:val="14"/>
              </w:rPr>
              <w:t>0 nein, 5 risikobasiert erfasst</w:t>
            </w:r>
          </w:p>
        </w:tc>
        <w:tc>
          <w:tcPr>
            <w:tcW w:type="dxa" w:w="3437"/>
          </w:tcPr>
          <w:p>
            <w:r/>
            <w:r>
              <w:rPr>
                <w:rFonts w:ascii="Source Sans 3" w:hAnsi="Source Sans 3"/>
                <w:b w:val="0"/>
                <w:sz w:val="14"/>
              </w:rPr>
              <w:t>Beschaffungs- und Kundenfähigkeit</w:t>
            </w:r>
          </w:p>
        </w:tc>
      </w:tr>
      <w:tr>
        <w:tc>
          <w:tcPr>
            <w:tcW w:type="dxa" w:w="3437"/>
          </w:tcPr>
          <w:p>
            <w:r/>
            <w:r>
              <w:rPr>
                <w:rFonts w:ascii="Source Sans 3" w:hAnsi="Source Sans 3"/>
                <w:b w:val="0"/>
                <w:sz w:val="14"/>
              </w:rPr>
              <w:t>Gibt es WÖk-ID- oder Scorecard-Mapping?</w:t>
            </w:r>
          </w:p>
        </w:tc>
        <w:tc>
          <w:tcPr>
            <w:tcW w:type="dxa" w:w="3437"/>
          </w:tcPr>
          <w:p>
            <w:r/>
            <w:r>
              <w:rPr>
                <w:rFonts w:ascii="Source Sans 3" w:hAnsi="Source Sans 3"/>
                <w:b w:val="0"/>
                <w:sz w:val="14"/>
              </w:rPr>
              <w:t>0 nein, 5 vollständig pilotiert</w:t>
            </w:r>
          </w:p>
        </w:tc>
        <w:tc>
          <w:tcPr>
            <w:tcW w:type="dxa" w:w="3437"/>
          </w:tcPr>
          <w:p>
            <w:r/>
            <w:r>
              <w:rPr>
                <w:rFonts w:ascii="Source Sans 3" w:hAnsi="Source Sans 3"/>
                <w:b w:val="0"/>
                <w:sz w:val="14"/>
              </w:rPr>
              <w:t>Wirkungsökonomische Datenreife</w:t>
            </w:r>
          </w:p>
        </w:tc>
      </w:tr>
      <w:tr>
        <w:tc>
          <w:tcPr>
            <w:tcW w:type="dxa" w:w="3437"/>
          </w:tcPr>
          <w:p>
            <w:r/>
            <w:r>
              <w:rPr>
                <w:rFonts w:ascii="Source Sans 3" w:hAnsi="Source Sans 3"/>
                <w:b w:val="0"/>
                <w:sz w:val="14"/>
              </w:rPr>
              <w:t>Sind Automatisierungsfolgen eingeordnet?</w:t>
            </w:r>
          </w:p>
        </w:tc>
        <w:tc>
          <w:tcPr>
            <w:tcW w:type="dxa" w:w="3437"/>
          </w:tcPr>
          <w:p>
            <w:r/>
            <w:r>
              <w:rPr>
                <w:rFonts w:ascii="Source Sans 3" w:hAnsi="Source Sans 3"/>
                <w:b w:val="0"/>
                <w:sz w:val="14"/>
              </w:rPr>
              <w:t>0 nein, 5 sozial und produktiv integriert</w:t>
            </w:r>
          </w:p>
        </w:tc>
        <w:tc>
          <w:tcPr>
            <w:tcW w:type="dxa" w:w="3437"/>
          </w:tcPr>
          <w:p>
            <w:r/>
            <w:r>
              <w:rPr>
                <w:rFonts w:ascii="Source Sans 3" w:hAnsi="Source Sans 3"/>
                <w:b w:val="0"/>
                <w:sz w:val="14"/>
              </w:rPr>
              <w:t>Anschluss an Arbeit/Einkommen</w:t>
            </w:r>
          </w:p>
        </w:tc>
      </w:tr>
    </w:tbl>
    <w:p/>
    <w:p>
      <w:pPr>
        <w:spacing w:after="120" w:line="269" w:lineRule="auto"/>
      </w:pPr>
      <w:r>
        <w:t>Auswertung: 0-10 Punkte = akuter Daten- und Finanzierungsrisiko-Bedarf. 11-18 = Übergang mit Lücken. 19-25 = solide Anschlussfähigkeit. Über 25 = hohe Reife. Dieses Modell ist eine Orientierung, keine externe Bewertung.</w:t>
      </w:r>
    </w:p>
    <w:sectPr w:rsidR="00FC693F" w:rsidRPr="0006063C" w:rsidSect="00034616">
      <w:pgSz w:w="12240" w:h="15840"/>
      <w:pgMar w:top="1020"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ource Sans 3" w:hAnsi="Source Sans 3"/>
      <w:color w:val="2B2A2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Playfair Display" w:hAnsi="Playfair Display"/>
      <w:b/>
      <w:bCs/>
      <w:color w:val="0B1B33"/>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Playfair Display" w:hAnsi="Playfair Display"/>
      <w:b/>
      <w:bCs/>
      <w:color w:val="0B1B3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Sans 3" w:hAnsi="Source Sans 3"/>
      <w:b/>
      <w:bCs/>
      <w:color w:val="0B1B3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Playfair Display" w:hAnsi="Playfair Display"/>
      <w:color w:val="0B1B3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eba.europa.eu/activities/single-rulebook/regulatory-activities/sustainable-finance/guidelines-management-esg-risks" TargetMode="External"/><Relationship Id="rId10" Type="http://schemas.openxmlformats.org/officeDocument/2006/relationships/hyperlink" Target="https://www.eba.europa.eu/activities/single-rulebook/regulatory-activities/credit-risk/guidelines-loan-origination-and-monitoring" TargetMode="External"/><Relationship Id="rId11" Type="http://schemas.openxmlformats.org/officeDocument/2006/relationships/hyperlink" Target="https://finance.ec.europa.eu/financial-markets/company-reporting-and-auditing/company-reporting/corporate-sustainability-reporting_en" TargetMode="External"/><Relationship Id="rId12" Type="http://schemas.openxmlformats.org/officeDocument/2006/relationships/hyperlink" Target="https://www.efrag.org/en/sustainability-reporting/about-sustainability-reporting" TargetMode="External"/><Relationship Id="rId13" Type="http://schemas.openxmlformats.org/officeDocument/2006/relationships/hyperlink" Target="https://finance.ec.europa.eu/sustainable-finance/tools-and-standards/eu-taxonomy-sustainable-activities_en" TargetMode="External"/><Relationship Id="rId14" Type="http://schemas.openxmlformats.org/officeDocument/2006/relationships/hyperlink" Target="https://www.esma.europa.eu/esmas-activities/investors-and-issuers/esg-rating-providers" TargetMode="External"/><Relationship Id="rId15" Type="http://schemas.openxmlformats.org/officeDocument/2006/relationships/hyperlink" Target="https://eur-lex.europa.eu/legal-content/EN/TXT/PDF/?uri=OJ:L_202403005" TargetMode="External"/><Relationship Id="rId16" Type="http://schemas.openxmlformats.org/officeDocument/2006/relationships/hyperlink" Target="https://www.eiopa.europa.eu/managing-sustainability-risks_en" TargetMode="External"/><Relationship Id="rId17" Type="http://schemas.openxmlformats.org/officeDocument/2006/relationships/hyperlink" Target="https://commission.europa.eu/topics/business-and-industry/doing-business-eu/sustainability-due-diligence-responsible-business/corporate-sustainability-due-diligence_en" TargetMode="External"/><Relationship Id="rId18" Type="http://schemas.openxmlformats.org/officeDocument/2006/relationships/hyperlink" Target="https://www.oecd.org/en/publications/2018/02/oecd-due-diligence-guidance-for-responsible-business-conduct_c669bd57.html" TargetMode="External"/><Relationship Id="rId19" Type="http://schemas.openxmlformats.org/officeDocument/2006/relationships/hyperlink" Target="https://wirkungsoekonomie.de/verstehen/sdgs-sdgplus/" TargetMode="External"/><Relationship Id="rId20" Type="http://schemas.openxmlformats.org/officeDocument/2006/relationships/hyperlink" Target="https://wirkungsoekonomie.de/werkstatt/online-bu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