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 /Users/hagen/Documents/New project/content/studienskripte/woek-g-v20.md</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Tiefenskript-Sprint 7 · substanzielle Arbeitsfassung, Claude-CI/CD-Finalisierung offen Wissensbasis: aktuelles Grundlagenwerk, Website-Korpus, Journal/Blog, Akademie-Quelltexte und externe Literatur</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Interne Quellen</w:t>
      </w:r>
    </w:p>
    <w:p>
      <w:pPr>
        <w:pStyle w:val="ListBullet"/>
      </w:pPr>
      <w:r>
        <w:t>docs/lehrgaenge/woek-g-v20-gesellschaftliche-resonanzfaktoren.md — Quell-Dokument für diese Vorlesung.</w:t>
      </w:r>
    </w:p>
    <w:p>
      <w:pPr>
        <w:pStyle w:val="ListBullet"/>
      </w:pPr>
      <w:r>
        <w:t>docs/CODEX-HANDOFF-studienskripte.md — Format- und Produktionsvorgabe für ausführliche Studienskripte.</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