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ource Serif Pro" w:hAnsi="Source Serif Pro"/>
          <w:b/>
          <w:color w:val="001D30"/>
          <w:sz w:val="48"/>
        </w:rPr>
        <w:t>WIRKUNGSÖKONOMIE</w:t>
      </w:r>
    </w:p>
    <w:p>
      <w:pPr>
        <w:jc w:val="center"/>
      </w:pPr>
      <w:r>
        <w:rPr>
          <w:color w:val="2E7D5C"/>
          <w:sz w:val="20"/>
        </w:rPr>
        <w:t>Wirkung statt Kapital. Für Mensch, Planet und Demokratie.</w:t>
      </w:r>
    </w:p>
    <w:p>
      <w:pPr>
        <w:jc w:val="center"/>
      </w:pPr>
      <w:r>
        <w:rPr>
          <w:rFonts w:ascii="Source Serif Pro" w:hAnsi="Source Serif Pro"/>
          <w:b/>
          <w:color w:val="001D30"/>
          <w:sz w:val="48"/>
        </w:rPr>
        <w:t>Wirkungshaushalt</w:t>
      </w:r>
    </w:p>
    <w:p>
      <w:pPr>
        <w:jc w:val="center"/>
      </w:pPr>
      <w:r>
        <w:rPr>
          <w:color w:val="252A3C"/>
          <w:sz w:val="26"/>
        </w:rPr>
        <w:t>Öffentliche Mittel nach realer Zustandsveränderung steuern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Dokumenttyp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Einzeldossier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Autorin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Natalie Weber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Referenz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Wirkungsökonomie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Version / Status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v0.1 / Diskussionsfassung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Stand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24.05.2026</w:t>
            </w:r>
          </w:p>
        </w:tc>
      </w:tr>
    </w:tbl>
    <w:p>
      <w:pPr>
        <w:jc w:val="center"/>
      </w:pPr>
      <w:r>
        <w:rPr>
          <w:i/>
          <w:color w:val="666666"/>
          <w:sz w:val="18"/>
        </w:rPr>
        <w:t>Arbeitsfassung zur öffentlichen Online-Lesefassung, Dossier- und Portalarchitektur.</w:t>
      </w:r>
    </w:p>
    <w:p>
      <w:r>
        <w:br w:type="page"/>
      </w:r>
    </w:p>
    <w:p>
      <w:pPr>
        <w:pStyle w:val="Heading1"/>
        <w:pBdr>
          <w:bottom w:val="single" w:sz="12" w:color="2E7D5C"/>
        </w:pBdr>
      </w:pPr>
      <w:r>
        <w:t>Executive Summary</w:t>
      </w:r>
    </w:p>
    <w:p>
      <w:r>
        <w:t>Der Wirkungshaushalt fragt nicht nur, ob Geld ausgegeben wurde, sondern ob es reale Zustände verbessert, Schäden verhindert oder Resilienz stärkt.</w:t>
      </w:r>
    </w:p>
    <w:p>
      <w:pPr>
        <w:pStyle w:val="Heading1"/>
        <w:pBdr>
          <w:bottom w:val="single" w:sz="12" w:color="2E7D5C"/>
        </w:pBdr>
      </w:pPr>
      <w:r>
        <w:t>Dossierstruktur</w:t>
      </w:r>
    </w:p>
    <w:p>
      <w:pPr>
        <w:pStyle w:val="ListBullet"/>
      </w:pPr>
      <w:r>
        <w:t>Kurzfassung</w:t>
      </w:r>
    </w:p>
    <w:p>
      <w:pPr>
        <w:pStyle w:val="ListBullet"/>
      </w:pPr>
      <w:r>
        <w:t>Problem und alte Logik</w:t>
      </w:r>
    </w:p>
    <w:p>
      <w:pPr>
        <w:pStyle w:val="ListBullet"/>
      </w:pPr>
      <w:r>
        <w:t>Wirkungsökonomischer Perspektivwechsel</w:t>
      </w:r>
    </w:p>
    <w:p>
      <w:pPr>
        <w:pStyle w:val="ListBullet"/>
      </w:pPr>
      <w:r>
        <w:t>Politische Anforderungen</w:t>
      </w:r>
    </w:p>
    <w:p>
      <w:pPr>
        <w:pStyle w:val="ListBullet"/>
      </w:pPr>
      <w:r>
        <w:t>Ausgestaltungsspielraum</w:t>
      </w:r>
    </w:p>
    <w:p>
      <w:pPr>
        <w:pStyle w:val="ListBullet"/>
      </w:pPr>
      <w:r>
        <w:t>Daten, Verfahren und Rechtsschutz</w:t>
      </w:r>
    </w:p>
    <w:p>
      <w:pPr>
        <w:pStyle w:val="ListBullet"/>
      </w:pPr>
      <w:r>
        <w:t>Buchanker, SDG-/SDG+-Bezug und Quellen</w:t>
      </w:r>
    </w:p>
    <w:p>
      <w:pPr>
        <w:pStyle w:val="Heading1"/>
        <w:pBdr>
          <w:bottom w:val="single" w:sz="12" w:color="2E7D5C"/>
        </w:pBdr>
      </w:pPr>
      <w:r>
        <w:t>Alte Logik</w:t>
      </w:r>
    </w:p>
    <w:p>
      <w:r>
        <w:t>Haushalte messen Titel, Ausgaben, Zuständigkeiten und Mittelabfluss. Prävention sieht oft schlechter aus als Reparatur, weil verhinderte Schäden nicht sichtbar werden.</w:t>
      </w:r>
    </w:p>
    <w:p>
      <w:pPr>
        <w:pStyle w:val="Heading1"/>
        <w:pBdr>
          <w:bottom w:val="single" w:sz="12" w:color="2E7D5C"/>
        </w:pBdr>
      </w:pPr>
      <w:r>
        <w:t>Politische Anforderungen</w:t>
      </w:r>
    </w:p>
    <w:p>
      <w:r>
        <w:t>Politik muss Haushaltsrecht, Wirkungsprüfung, Evaluationspflichten, ressortübergreifende Budgets und transparente Wirkungsberichte einführen.</w:t>
      </w:r>
    </w:p>
    <w:p>
      <w:pPr>
        <w:pStyle w:val="Heading1"/>
        <w:pBdr>
          <w:bottom w:val="single" w:sz="12" w:color="2E7D5C"/>
        </w:pBdr>
      </w:pPr>
      <w:r>
        <w:t>Gestaltungsspielräume</w:t>
      </w:r>
    </w:p>
    <w:p>
      <w:r>
        <w:t>Einführung in Pilotressorts, Kommunen, Investitionshaushalten, Präventionsfonds oder als Begleitprüfung für neue Programme.</w:t>
      </w:r>
    </w:p>
    <w:p>
      <w:pPr>
        <w:pStyle w:val="Heading1"/>
        <w:pBdr>
          <w:bottom w:val="single" w:sz="12" w:color="2E7D5C"/>
        </w:pBdr>
      </w:pPr>
      <w:r>
        <w:t>Beispielrechnung</w:t>
      </w:r>
    </w:p>
    <w:p>
      <w:r>
        <w:t>Eine Maßnahme wird mit Kosten, erwarteter NWI-Spanne, Zielgruppenwirkung, Resilienzbeitrag, Umsetzungsrisiko und Korrekturfähigkeit bewertet. Die politische Entscheidung bleibt demokratisch, aber besser begründet.</w:t>
      </w:r>
    </w:p>
    <w:p>
      <w:pPr>
        <w:pStyle w:val="Heading1"/>
        <w:pBdr>
          <w:bottom w:val="single" w:sz="12" w:color="2E7D5C"/>
        </w:pBdr>
      </w:pPr>
      <w:r>
        <w:t>Standardmodul: Politische Anschlussfähigkeit</w:t>
      </w:r>
    </w:p>
    <w:p>
      <w:r>
        <w:t>Dieses Einzeldossier ist kein fertiges Parteiprogramm. Es benennt notwendige Aufgaben, Schutzplanken und Umsetzungsoptionen. Parteien, Parlamente, Länder, Kommunen und gesellschaftliche Akteure können innerhalb dieses Rahmens unterschiedliche Schwerpunkte setzen.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01D30"/>
          </w:tcPr>
          <w:p>
            <w:r>
              <w:rPr>
                <w:b/>
                <w:color w:val="FFFFFF"/>
                <w:sz w:val="17"/>
              </w:rPr>
              <w:t>Frage</w:t>
            </w:r>
          </w:p>
        </w:tc>
        <w:tc>
          <w:tcPr>
            <w:tcW w:type="dxa" w:w="5100"/>
            <w:shd w:fill="001D30"/>
          </w:tcPr>
          <w:p>
            <w:r>
              <w:rPr>
                <w:b/>
                <w:color w:val="FFFFFF"/>
                <w:sz w:val="17"/>
              </w:rPr>
              <w:t>Antwort im Dossier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Was muss Politik leisten?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Rechtsrahmen, Zuständigkeit, Datenzugang, Verhältnismäßigkeit, Evaluation und Beteiligung klären.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Was bleibt politisch offen?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Tempo, Instrumentenmix, Höhe von Sätzen, Ressortprioritäten, Pilotierung, föderale Ausgestaltung.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Welche Grenzen gelten?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Grundrechte, Demokratie, Rechtsstaatlichkeit, Rechtsschutz, Schutz vor Personenbewertung.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Wie wird gelernt?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Wirkungsberichte, öffentliche Konsultationen, Korrekturverfahren, Wirkungsrat.</w:t>
            </w:r>
          </w:p>
        </w:tc>
      </w:tr>
    </w:tbl>
    <w:p/>
    <w:p>
      <w:pPr>
        <w:pStyle w:val="Heading1"/>
        <w:pBdr>
          <w:bottom w:val="single" w:sz="12" w:color="2E7D5C"/>
        </w:pBdr>
      </w:pPr>
      <w:r>
        <w:t>Buchanker und Website-Zuordnung</w:t>
      </w:r>
    </w:p>
    <w:p>
      <w:pPr>
        <w:pStyle w:val="ListBullet"/>
      </w:pPr>
      <w:r>
        <w:t>Online-Buch: Teil VI – Recht, Staat und Institutionen</w:t>
      </w:r>
    </w:p>
    <w:p>
      <w:pPr>
        <w:pStyle w:val="ListBullet"/>
      </w:pPr>
      <w:r>
        <w:t>Online-Buch: Teil X – Staat, Politik und Demokratie</w:t>
      </w:r>
    </w:p>
    <w:p>
      <w:pPr>
        <w:pStyle w:val="ListBullet"/>
      </w:pPr>
      <w:r>
        <w:t>Website: /wirkungsfelder/staat-recht-demokratie/</w:t>
      </w:r>
    </w:p>
    <w:p>
      <w:pPr>
        <w:pStyle w:val="ListBullet"/>
      </w:pPr>
      <w:r>
        <w:t>Werkstatt: /werkstatt/dossiers/staat-recht-demokratie/</w:t>
      </w:r>
    </w:p>
    <w:p>
      <w:pPr>
        <w:pStyle w:val="ListBullet"/>
      </w:pPr>
      <w:r>
        <w:t>Werkzeugseiten: /werkzeuge/wirkungsrat/, /werkzeuge/wirkungshaushalt/, /werkzeuge/politische-wirkungspruefung/</w:t>
      </w:r>
    </w:p>
    <w:p>
      <w:pPr>
        <w:pStyle w:val="Heading1"/>
        <w:pBdr>
          <w:bottom w:val="single" w:sz="12" w:color="2E7D5C"/>
        </w:pBdr>
      </w:pPr>
      <w:r>
        <w:t>Quellen und interne Referenzen</w:t>
      </w:r>
    </w:p>
    <w:p>
      <w:pPr>
        <w:pStyle w:val="ListBullet"/>
      </w:pPr>
      <w:r>
        <w:t>Weber, Natalie: Die neue Ordnung des Wohlstands. Arbeitsfassung 2026. Besonders: Kapitel 10–23, 28, 31–40, 61–66.</w:t>
      </w:r>
    </w:p>
    <w:p>
      <w:pPr>
        <w:pStyle w:val="ListBullet"/>
      </w:pPr>
      <w:r>
        <w:t>Weber, Natalie: Führender Begriffsleitfaden der Wirkungsökonomie, Version 1.0, 21. Mai 2026.</w:t>
      </w:r>
    </w:p>
    <w:p>
      <w:pPr>
        <w:pStyle w:val="ListBullet"/>
      </w:pPr>
      <w:r>
        <w:t>Weber, Natalie: Working-Paper Wirkungssteuergesetz (WStG), Stand 8.10.2025.</w:t>
      </w:r>
    </w:p>
    <w:p>
      <w:pPr>
        <w:pStyle w:val="ListBullet"/>
      </w:pPr>
      <w:r>
        <w:t>Weber, Natalie: Der Wirkungsrat – Institutionelle Verankerung der Wirkungsökonomie, September 2025.</w:t>
      </w:r>
    </w:p>
    <w:p>
      <w:pPr>
        <w:pStyle w:val="ListBullet"/>
      </w:pPr>
      <w:r>
        <w:t>Weber, Natalie: Technische Leitlinien zum Wirkungssteuergesetz (WUStG), Vollversion Extended, August 2025.</w:t>
      </w:r>
    </w:p>
    <w:p>
      <w:pPr>
        <w:pStyle w:val="ListBullet"/>
      </w:pPr>
      <w:r>
        <w:t>Weber, Natalie: Whitepaper T-SROI – Der neue Standard für Impact-Controlling in der Wirkungsökonomie, 2025.</w:t>
      </w:r>
    </w:p>
    <w:p>
      <w:pPr>
        <w:pStyle w:val="ListBullet"/>
      </w:pPr>
      <w:r>
        <w:t>Weber, Natalie: Die neue Ordnung des Wohlstands, Arbeitsfassung 2026, Teil VI und Teil 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© 2026 Natalie Weber · Wirkungsökonomie · Einzeldossier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urce Sans Pro" w:hAnsi="Source Sans Pro"/>
        <w:b/>
        <w:color w:val="2E7D5C"/>
        <w:sz w:val="16"/>
      </w:rPr>
      <w:t>WIRKUNGSÖKONOMIE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Pro" w:hAnsi="Source Sans Pro" w:eastAsia="Source Sans Pro"/>
      <w:color w:val="252A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