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7D5C"/>
          <w:sz w:val="22"/>
        </w:rPr>
        <w:t>WIRKUNGSÖKONOMIE</w:t>
      </w:r>
    </w:p>
    <w:p>
      <w:pPr>
        <w:pStyle w:val="Title"/>
        <w:spacing w:before="360" w:after="120"/>
        <w:jc w:val="center"/>
      </w:pPr>
      <w:r>
        <w:rPr>
          <w:color w:val="0B1020"/>
          <w:sz w:val="56"/>
        </w:rPr>
        <w:t>Wirkungssteuer 3.0</w:t>
      </w:r>
    </w:p>
    <w:p>
      <w:pPr>
        <w:pStyle w:val="Title"/>
        <w:spacing w:before="0" w:after="240"/>
        <w:jc w:val="center"/>
      </w:pPr>
      <w:r>
        <w:rPr>
          <w:color w:val="0B1020"/>
          <w:sz w:val="46"/>
        </w:rPr>
        <w:t>und Wirkungssteuergesetz (WStG) 3.0</w:t>
      </w:r>
    </w:p>
    <w:p>
      <w:pPr>
        <w:pStyle w:val="Subtitle"/>
        <w:spacing w:after="400"/>
        <w:jc w:val="center"/>
      </w:pPr>
      <w:r>
        <w:rPr>
          <w:color w:val="2C2C2E"/>
          <w:sz w:val="22"/>
        </w:rPr>
        <w:t>Gesamtneufassung · Systemarchitektur · Gesetzesentwurf · Kommentierung · Steuerartenmatrix · Umsetzungspfad</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9B3C"/>
              <w:top w:val="nil"/>
              <w:right w:val="nil"/>
              <w:bottom w:val="nil"/>
            </w:tcBorders>
          </w:tcPr>
          <w:p>
            <w:r>
              <w:rPr>
                <w:rFonts w:ascii="Noto Sans" w:hAnsi="Noto Sans"/>
                <w:b/>
                <w:color w:val="C89B3C"/>
                <w:sz w:val="17"/>
              </w:rPr>
              <w:t>Leitformel</w:t>
            </w:r>
          </w:p>
          <w:p>
            <w:pPr>
              <w:pStyle w:val="Callout"/>
            </w:pPr>
            <w:r>
              <w:rPr>
                <w:rFonts w:ascii="Noto Sans" w:hAnsi="Noto Sans"/>
                <w:color w:val="2C2C2E"/>
                <w:sz w:val="18"/>
              </w:rPr>
              <w:t>Steuern sind in der Wirkungsökonomie nicht nur Einnahmeinstrumente. Sie können Rückkopplung sein: Sie führen nachgewiesene und rechtlich bewertete Wirkung in wirtschaftliche Entscheidungen zurück. Positive Netto-Wirkung für Mensch, Planet und Demokratie wird anschlussfähiger; schwere negative Wirkung bleibt nicht folgenlos.</w:t>
            </w:r>
          </w:p>
        </w:tc>
      </w:tr>
    </w:tbl>
    <w:p>
      <w:pPr>
        <w:spacing w:after="0"/>
      </w:pPr>
    </w:p>
    <w:p>
      <w:pPr>
        <w:spacing w:before="520"/>
        <w:jc w:val="center"/>
      </w:pPr>
      <w:r>
        <w:rPr>
          <w:color w:val="2C2C2E"/>
          <w:sz w:val="20"/>
        </w:rPr>
        <w:t>Autorin: Natalie Weber</w:t>
        <w:br/>
        <w:t>Stand: 17. August 2026</w:t>
        <w:br/>
        <w:t>Version: 3.0 · Referenz- und Diskussionsentwurf</w:t>
      </w:r>
    </w:p>
    <w:p>
      <w:pPr>
        <w:spacing w:before="280"/>
        <w:jc w:val="center"/>
      </w:pPr>
      <w:r>
        <w:rPr>
          <w:i/>
          <w:color w:val="C85A3C"/>
          <w:sz w:val="17"/>
        </w:rPr>
        <w:t>Kein geltendes Recht. Keine Rechtsberatung. Tarife, Schwellen und Module sind – soweit nicht ausdrücklich als geltendes Recht bezeichnet – WÖk-Entwurfs- oder Simulationsparameter.</w:t>
      </w:r>
    </w:p>
    <w:p>
      <w:r>
        <w:br w:type="page"/>
      </w:r>
    </w:p>
    <w:p>
      <w:pPr>
        <w:pStyle w:val="Heading1"/>
      </w:pPr>
      <w:r>
        <w:t>Inhaltsübersicht</w:t>
      </w:r>
    </w:p>
    <w:p>
      <w:pPr>
        <w:pStyle w:val="Lead"/>
      </w:pPr>
      <w:r>
        <w:t>Die Übersicht zeigt die Hauptstruktur. Der Gesetzesentwurf selbst enthält 125 kommentierte Paragrafen, gegliedert in neun Abschnitte.</w:t>
      </w:r>
    </w:p>
    <w:p>
      <w:pPr>
        <w:spacing w:after="30"/>
        <w:ind w:left="340" w:hanging="198"/>
      </w:pPr>
      <w:r>
        <w:rPr>
          <w:b/>
        </w:rPr>
        <w:t xml:space="preserve">• </w:t>
      </w:r>
      <w:r>
        <w:rPr>
          <w:b/>
          <w:sz w:val="16"/>
        </w:rPr>
        <w:t>Dokumentenstatus, Vorrang und Leselogik</w:t>
      </w:r>
    </w:p>
    <w:p>
      <w:pPr>
        <w:spacing w:after="30"/>
        <w:ind w:left="340" w:hanging="198"/>
      </w:pPr>
      <w:r>
        <w:rPr>
          <w:b/>
        </w:rPr>
        <w:t xml:space="preserve">• </w:t>
      </w:r>
      <w:r>
        <w:rPr>
          <w:b/>
          <w:sz w:val="16"/>
        </w:rPr>
        <w:t>Executive Summary</w:t>
      </w:r>
    </w:p>
    <w:p>
      <w:pPr>
        <w:spacing w:after="30"/>
        <w:ind w:left="340" w:hanging="198"/>
      </w:pPr>
      <w:r>
        <w:rPr>
          <w:b/>
        </w:rPr>
        <w:t xml:space="preserve">• </w:t>
      </w:r>
      <w:r>
        <w:rPr>
          <w:b/>
          <w:sz w:val="16"/>
        </w:rPr>
        <w:t>TEIL A – Wirkungssteuer als Systemarchitektur</w:t>
      </w:r>
    </w:p>
    <w:p>
      <w:pPr>
        <w:spacing w:after="30"/>
        <w:ind w:left="680" w:hanging="198"/>
      </w:pPr>
      <w:r>
        <w:rPr>
          <w:b w:val="0"/>
        </w:rPr>
        <w:t xml:space="preserve">– </w:t>
      </w:r>
      <w:r>
        <w:rPr>
          <w:b w:val="0"/>
          <w:sz w:val="15"/>
        </w:rPr>
        <w:t>1. Warum Steuerwirkung überhaupt neu gedacht werden muss</w:t>
      </w:r>
    </w:p>
    <w:p>
      <w:pPr>
        <w:spacing w:after="30"/>
        <w:ind w:left="680" w:hanging="198"/>
      </w:pPr>
      <w:r>
        <w:rPr>
          <w:b w:val="0"/>
        </w:rPr>
        <w:t xml:space="preserve">– </w:t>
      </w:r>
      <w:r>
        <w:rPr>
          <w:b w:val="0"/>
          <w:sz w:val="15"/>
        </w:rPr>
        <w:t>2. Die sechs Module der Wirkungsarchitektur im Steuerrecht</w:t>
      </w:r>
    </w:p>
    <w:p>
      <w:pPr>
        <w:spacing w:after="30"/>
        <w:ind w:left="680" w:hanging="198"/>
      </w:pPr>
      <w:r>
        <w:rPr>
          <w:b w:val="0"/>
        </w:rPr>
        <w:t xml:space="preserve">– </w:t>
      </w:r>
      <w:r>
        <w:rPr>
          <w:b w:val="0"/>
          <w:sz w:val="15"/>
        </w:rPr>
        <w:t>3. Der normative Rahmen: MPD, SDGs, SDG+ und Recht</w:t>
      </w:r>
    </w:p>
    <w:p>
      <w:pPr>
        <w:spacing w:after="30"/>
        <w:ind w:left="680" w:hanging="198"/>
      </w:pPr>
      <w:r>
        <w:rPr>
          <w:b w:val="0"/>
        </w:rPr>
        <w:t xml:space="preserve">– </w:t>
      </w:r>
      <w:r>
        <w:rPr>
          <w:b w:val="0"/>
          <w:sz w:val="15"/>
        </w:rPr>
        <w:t>4. Wirkungsgrenzen, Nichtkompensation und Reverse Merit Order</w:t>
      </w:r>
    </w:p>
    <w:p>
      <w:pPr>
        <w:spacing w:after="30"/>
        <w:ind w:left="680" w:hanging="198"/>
      </w:pPr>
      <w:r>
        <w:rPr>
          <w:b w:val="0"/>
        </w:rPr>
        <w:t xml:space="preserve">– </w:t>
      </w:r>
      <w:r>
        <w:rPr>
          <w:b w:val="0"/>
          <w:sz w:val="15"/>
        </w:rPr>
        <w:t>5. Der neue Kernmechanismus</w:t>
      </w:r>
    </w:p>
    <w:p>
      <w:pPr>
        <w:spacing w:after="30"/>
        <w:ind w:left="680" w:hanging="198"/>
      </w:pPr>
      <w:r>
        <w:rPr>
          <w:b w:val="0"/>
        </w:rPr>
        <w:t xml:space="preserve">– </w:t>
      </w:r>
      <w:r>
        <w:rPr>
          <w:b w:val="0"/>
          <w:sz w:val="15"/>
        </w:rPr>
        <w:t>6. Haushaltsneutralität und fiskalische Robustheit</w:t>
      </w:r>
    </w:p>
    <w:p>
      <w:pPr>
        <w:spacing w:after="30"/>
        <w:ind w:left="680" w:hanging="198"/>
      </w:pPr>
      <w:r>
        <w:rPr>
          <w:b w:val="0"/>
        </w:rPr>
        <w:t xml:space="preserve">– </w:t>
      </w:r>
      <w:r>
        <w:rPr>
          <w:b w:val="0"/>
          <w:sz w:val="15"/>
        </w:rPr>
        <w:t>7. Freiheit, Markt und Verteilung</w:t>
      </w:r>
    </w:p>
    <w:p>
      <w:pPr>
        <w:spacing w:after="30"/>
        <w:ind w:left="680" w:hanging="198"/>
      </w:pPr>
      <w:r>
        <w:rPr>
          <w:b w:val="0"/>
        </w:rPr>
        <w:t xml:space="preserve">– </w:t>
      </w:r>
      <w:r>
        <w:rPr>
          <w:b w:val="0"/>
          <w:sz w:val="15"/>
        </w:rPr>
        <w:t>8. Europäische und internationale Realität</w:t>
      </w:r>
    </w:p>
    <w:p>
      <w:pPr>
        <w:spacing w:after="30"/>
        <w:ind w:left="340" w:hanging="198"/>
      </w:pPr>
      <w:r>
        <w:rPr>
          <w:b/>
        </w:rPr>
        <w:t xml:space="preserve">• </w:t>
      </w:r>
      <w:r>
        <w:rPr>
          <w:b/>
          <w:sz w:val="16"/>
        </w:rPr>
        <w:t>TEIL B – Wirkungssteuergesetz (WStG) 3.0</w:t>
      </w:r>
    </w:p>
    <w:p>
      <w:pPr>
        <w:spacing w:after="30"/>
        <w:ind w:left="680" w:hanging="198"/>
      </w:pPr>
      <w:r>
        <w:rPr>
          <w:b w:val="0"/>
        </w:rPr>
        <w:t xml:space="preserve">– </w:t>
      </w:r>
      <w:r>
        <w:rPr>
          <w:b w:val="0"/>
          <w:sz w:val="15"/>
        </w:rPr>
        <w:t>Abschnitt 1 – Allgemeine Bestimmungen (§§ 1–10)</w:t>
      </w:r>
    </w:p>
    <w:p>
      <w:pPr>
        <w:spacing w:after="30"/>
        <w:ind w:left="680" w:hanging="198"/>
      </w:pPr>
      <w:r>
        <w:rPr>
          <w:b w:val="0"/>
        </w:rPr>
        <w:t xml:space="preserve">– </w:t>
      </w:r>
      <w:r>
        <w:rPr>
          <w:b w:val="0"/>
          <w:sz w:val="15"/>
        </w:rPr>
        <w:t>Abschnitt 2 – Wirkungsbegriff, Evidenz und Bewertung (§§ 11–30)</w:t>
      </w:r>
    </w:p>
    <w:p>
      <w:pPr>
        <w:spacing w:after="30"/>
        <w:ind w:left="680" w:hanging="198"/>
      </w:pPr>
      <w:r>
        <w:rPr>
          <w:b w:val="0"/>
        </w:rPr>
        <w:t xml:space="preserve">– </w:t>
      </w:r>
      <w:r>
        <w:rPr>
          <w:b w:val="0"/>
          <w:sz w:val="15"/>
        </w:rPr>
        <w:t>Abschnitt 3 – Daten-, Register- und Digitalarchitektur (§§ 31–42)</w:t>
      </w:r>
    </w:p>
    <w:p>
      <w:pPr>
        <w:spacing w:after="30"/>
        <w:ind w:left="680" w:hanging="198"/>
      </w:pPr>
      <w:r>
        <w:rPr>
          <w:b w:val="0"/>
        </w:rPr>
        <w:t xml:space="preserve">– </w:t>
      </w:r>
      <w:r>
        <w:rPr>
          <w:b w:val="0"/>
          <w:sz w:val="15"/>
        </w:rPr>
        <w:t>Abschnitt 4 – Governance, Wirkungsrat und institutionelle Sicherung (§§ 43–53)</w:t>
      </w:r>
    </w:p>
    <w:p>
      <w:pPr>
        <w:spacing w:after="30"/>
        <w:ind w:left="680" w:hanging="198"/>
      </w:pPr>
      <w:r>
        <w:rPr>
          <w:b w:val="0"/>
        </w:rPr>
        <w:t xml:space="preserve">– </w:t>
      </w:r>
      <w:r>
        <w:rPr>
          <w:b w:val="0"/>
          <w:sz w:val="15"/>
        </w:rPr>
        <w:t>Abschnitt 5 – Allgemeine steuerliche Rückkopplungslogik (§§ 54–65)</w:t>
      </w:r>
    </w:p>
    <w:p>
      <w:pPr>
        <w:spacing w:after="30"/>
        <w:ind w:left="680" w:hanging="198"/>
      </w:pPr>
      <w:r>
        <w:rPr>
          <w:b w:val="0"/>
        </w:rPr>
        <w:t xml:space="preserve">– </w:t>
      </w:r>
      <w:r>
        <w:rPr>
          <w:b w:val="0"/>
          <w:sz w:val="15"/>
        </w:rPr>
        <w:t>Abschnitt 6 – Steuerartspezifische Wirkungsmodule (§§ 66–92)</w:t>
      </w:r>
    </w:p>
    <w:p>
      <w:pPr>
        <w:spacing w:after="30"/>
        <w:ind w:left="680" w:hanging="198"/>
      </w:pPr>
      <w:r>
        <w:rPr>
          <w:b w:val="0"/>
        </w:rPr>
        <w:t xml:space="preserve">– </w:t>
      </w:r>
      <w:r>
        <w:rPr>
          <w:b w:val="0"/>
          <w:sz w:val="15"/>
        </w:rPr>
        <w:t>Abschnitt 7 – Steuernahe und nichtsteuerliche Fiskalinstrumente (§§ 93–100)</w:t>
      </w:r>
    </w:p>
    <w:p>
      <w:pPr>
        <w:spacing w:after="30"/>
        <w:ind w:left="680" w:hanging="198"/>
      </w:pPr>
      <w:r>
        <w:rPr>
          <w:b w:val="0"/>
        </w:rPr>
        <w:t xml:space="preserve">– </w:t>
      </w:r>
      <w:r>
        <w:rPr>
          <w:b w:val="0"/>
          <w:sz w:val="15"/>
        </w:rPr>
        <w:t>Abschnitt 8 – Verfahren, Kontrolle und Rechtsschutz (§§ 101–114)</w:t>
      </w:r>
    </w:p>
    <w:p>
      <w:pPr>
        <w:spacing w:after="30"/>
        <w:ind w:left="680" w:hanging="198"/>
      </w:pPr>
      <w:r>
        <w:rPr>
          <w:b w:val="0"/>
        </w:rPr>
        <w:t xml:space="preserve">– </w:t>
      </w:r>
      <w:r>
        <w:rPr>
          <w:b w:val="0"/>
          <w:sz w:val="15"/>
        </w:rPr>
        <w:t>Abschnitt 9 – Pilotierung, EU-Pfad und Übergang (§§ 115–125)</w:t>
      </w:r>
    </w:p>
    <w:p>
      <w:pPr>
        <w:spacing w:after="30"/>
        <w:ind w:left="340" w:hanging="198"/>
      </w:pPr>
      <w:r>
        <w:rPr>
          <w:b/>
        </w:rPr>
        <w:t xml:space="preserve">• </w:t>
      </w:r>
      <w:r>
        <w:rPr>
          <w:b/>
          <w:sz w:val="16"/>
        </w:rPr>
        <w:t>TEIL C – Steuerartenatlas: Jede Steuer im Wirkungscheck</w:t>
      </w:r>
    </w:p>
    <w:p>
      <w:pPr>
        <w:spacing w:after="30"/>
        <w:ind w:left="680" w:hanging="198"/>
      </w:pPr>
      <w:r>
        <w:rPr>
          <w:b w:val="0"/>
        </w:rPr>
        <w:t xml:space="preserve">– </w:t>
      </w:r>
      <w:r>
        <w:rPr>
          <w:b w:val="0"/>
          <w:sz w:val="15"/>
        </w:rPr>
        <w:t>Priorisierung für eine reale Einführung</w:t>
      </w:r>
    </w:p>
    <w:p>
      <w:pPr>
        <w:spacing w:after="30"/>
        <w:ind w:left="340" w:hanging="198"/>
      </w:pPr>
      <w:r>
        <w:rPr>
          <w:b/>
        </w:rPr>
        <w:t xml:space="preserve">• </w:t>
      </w:r>
      <w:r>
        <w:rPr>
          <w:b/>
          <w:sz w:val="16"/>
        </w:rPr>
        <w:t>TEIL D – Daten, Scorecards, Technik und Governance</w:t>
      </w:r>
    </w:p>
    <w:p>
      <w:pPr>
        <w:spacing w:after="30"/>
        <w:ind w:left="340" w:hanging="198"/>
      </w:pPr>
      <w:r>
        <w:rPr>
          <w:b/>
        </w:rPr>
        <w:t xml:space="preserve">• </w:t>
      </w:r>
      <w:r>
        <w:rPr>
          <w:b/>
          <w:sz w:val="16"/>
        </w:rPr>
        <w:t>TEIL E – Umsetzungspfad 2026–2040</w:t>
      </w:r>
    </w:p>
    <w:p>
      <w:pPr>
        <w:spacing w:after="30"/>
        <w:ind w:left="340" w:hanging="198"/>
      </w:pPr>
      <w:r>
        <w:rPr>
          <w:b/>
        </w:rPr>
        <w:t xml:space="preserve">• </w:t>
      </w:r>
      <w:r>
        <w:rPr>
          <w:b/>
          <w:sz w:val="16"/>
        </w:rPr>
        <w:t>ANHANG A – WÖk-Simulationsparameter</w:t>
      </w:r>
    </w:p>
    <w:p>
      <w:pPr>
        <w:spacing w:after="30"/>
        <w:ind w:left="340" w:hanging="198"/>
      </w:pPr>
      <w:r>
        <w:rPr>
          <w:b/>
        </w:rPr>
        <w:t xml:space="preserve">• </w:t>
      </w:r>
      <w:r>
        <w:rPr>
          <w:b/>
          <w:sz w:val="16"/>
        </w:rPr>
        <w:t>ANHANG B – Steuerliche Entscheidungslogik</w:t>
      </w:r>
    </w:p>
    <w:p>
      <w:pPr>
        <w:spacing w:after="30"/>
        <w:ind w:left="340" w:hanging="198"/>
      </w:pPr>
      <w:r>
        <w:rPr>
          <w:b/>
        </w:rPr>
        <w:t xml:space="preserve">• </w:t>
      </w:r>
      <w:r>
        <w:rPr>
          <w:b/>
          <w:sz w:val="16"/>
        </w:rPr>
        <w:t>ANHANG C – Mindestanforderungen an Einzelsteuergesetze</w:t>
      </w:r>
    </w:p>
    <w:p>
      <w:pPr>
        <w:spacing w:after="30"/>
        <w:ind w:left="340" w:hanging="198"/>
      </w:pPr>
      <w:r>
        <w:rPr>
          <w:b/>
        </w:rPr>
        <w:t xml:space="preserve">• </w:t>
      </w:r>
      <w:r>
        <w:rPr>
          <w:b/>
          <w:sz w:val="16"/>
        </w:rPr>
        <w:t>ANHANG D – Begriffe der Wirkungssteuer 3.0</w:t>
      </w:r>
    </w:p>
    <w:p>
      <w:pPr>
        <w:spacing w:after="30"/>
        <w:ind w:left="340" w:hanging="198"/>
      </w:pPr>
      <w:r>
        <w:rPr>
          <w:b/>
        </w:rPr>
        <w:t xml:space="preserve">• </w:t>
      </w:r>
      <w:r>
        <w:rPr>
          <w:b/>
          <w:sz w:val="16"/>
        </w:rPr>
        <w:t>Quellen und Referenzbasis</w:t>
      </w:r>
    </w:p>
    <w:p>
      <w:pPr>
        <w:spacing w:after="30"/>
        <w:ind w:left="340" w:hanging="198"/>
      </w:pPr>
      <w:r>
        <w:rPr>
          <w:b/>
        </w:rPr>
        <w:t xml:space="preserve">• </w:t>
      </w:r>
      <w:r>
        <w:rPr>
          <w:b/>
          <w:sz w:val="16"/>
        </w:rPr>
        <w:t>Schlussbemerkung</w:t>
      </w:r>
    </w:p>
    <w:p>
      <w:r>
        <w:br w:type="page"/>
      </w:r>
    </w:p>
    <w:p>
      <w:pPr>
        <w:pStyle w:val="Heading1"/>
      </w:pPr>
      <w:r>
        <w:t>Dokumentenstatus, Vorrang und Leselogik</w:t>
      </w:r>
    </w:p>
    <w:p>
      <w:r>
        <w:rPr>
          <w:rFonts w:ascii="Noto Sans" w:hAnsi="Noto Sans"/>
        </w:rPr>
        <w:t>Dieses Dokument ist eine echte Gesamtneufassung. Es übernimmt die historische Fassung des WStG vom Oktober 2025 nicht als Ausgangstext, sondern nutzt sie als dokumentierten Entwicklungsstand. Maßgeblich für die Neufassung sind der aktuelle Begriffsleitfaden, das Referenzwerk 2026, die aktuelle Governance-Logik, das technische Masterregister sowie die seitdem entwickelte Steuer-, Daten-, Resilienz-, Rechts- und Rückkopplungsarchitektur. [I1][I2][I3][I4][I5][I6]</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5A3C"/>
              <w:top w:val="nil"/>
              <w:right w:val="nil"/>
              <w:bottom w:val="nil"/>
            </w:tcBorders>
          </w:tcPr>
          <w:p>
            <w:r>
              <w:rPr>
                <w:rFonts w:ascii="Noto Sans" w:hAnsi="Noto Sans"/>
                <w:b/>
                <w:color w:val="C85A3C"/>
                <w:sz w:val="17"/>
              </w:rPr>
              <w:t>Status</w:t>
            </w:r>
          </w:p>
          <w:p>
            <w:pPr>
              <w:pStyle w:val="Callout"/>
            </w:pPr>
            <w:r>
              <w:rPr>
                <w:rFonts w:ascii="Noto Sans" w:hAnsi="Noto Sans"/>
                <w:color w:val="2C2C2E"/>
                <w:sz w:val="18"/>
              </w:rPr>
              <w:t>Das WStG 3.0 ist ein WÖk-Gesetzesentwurf und eine Zielarchitektur. Es ersetzt kein geltendes Steuerrecht. Eine Umsetzung erfordert je Steuerart eigene demokratische Gesetzgebung sowie Verfassungs-, Unions-, Haushalts- und Vollzugsprüfung.</w:t>
            </w:r>
          </w:p>
        </w:tc>
      </w:tr>
    </w:tbl>
    <w:p>
      <w:pPr>
        <w:spacing w:after="0"/>
      </w:pPr>
    </w:p>
    <w:tbl>
      <w:tblPr>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2438"/>
            <w:shd w:fill="0B1020"/>
            <w:tcMar>
              <w:top w:w="55" w:type="dxa"/>
              <w:start w:w="55" w:type="dxa"/>
              <w:bottom w:w="55" w:type="dxa"/>
              <w:end w:w="55" w:type="dxa"/>
            </w:tcMar>
          </w:tcPr>
          <w:p>
            <w:r>
              <w:rPr>
                <w:rFonts w:ascii="Noto Sans" w:hAnsi="Noto Sans"/>
                <w:b/>
                <w:color w:val="FFFFFF"/>
                <w:sz w:val="15"/>
              </w:rPr>
              <w:t>Feld</w:t>
            </w:r>
          </w:p>
        </w:tc>
        <w:tc>
          <w:tcPr>
            <w:tcW w:type="dxa" w:w="6973"/>
            <w:shd w:fill="0B1020"/>
            <w:tcMar>
              <w:top w:w="55" w:type="dxa"/>
              <w:start w:w="55" w:type="dxa"/>
              <w:bottom w:w="55" w:type="dxa"/>
              <w:end w:w="55" w:type="dxa"/>
            </w:tcMar>
          </w:tcPr>
          <w:p>
            <w:r>
              <w:rPr>
                <w:rFonts w:ascii="Noto Sans" w:hAnsi="Noto Sans"/>
                <w:b/>
                <w:color w:val="FFFFFF"/>
                <w:sz w:val="15"/>
              </w:rPr>
              <w:t>Festlegung</w:t>
            </w:r>
          </w:p>
        </w:tc>
      </w:tr>
      <w:tr>
        <w:trPr>
          <w:cantSplit/>
        </w:trPr>
        <w:tc>
          <w:tcPr>
            <w:tcW w:type="dxa" w:w="2438"/>
            <w:tcMar>
              <w:top w:w="45" w:type="dxa"/>
              <w:start w:w="50" w:type="dxa"/>
              <w:bottom w:w="45" w:type="dxa"/>
              <w:end w:w="50" w:type="dxa"/>
            </w:tcMar>
            <w:vAlign w:val="top"/>
          </w:tcPr>
          <w:p>
            <w:r>
              <w:rPr>
                <w:rFonts w:ascii="Noto Sans" w:hAnsi="Noto Sans"/>
                <w:color w:val="2C2C2E"/>
                <w:sz w:val="15"/>
              </w:rPr>
              <w:t>Dokumenttyp</w:t>
            </w:r>
          </w:p>
        </w:tc>
        <w:tc>
          <w:tcPr>
            <w:tcW w:type="dxa" w:w="6973"/>
            <w:tcMar>
              <w:top w:w="45" w:type="dxa"/>
              <w:start w:w="50" w:type="dxa"/>
              <w:bottom w:w="45" w:type="dxa"/>
              <w:end w:w="50" w:type="dxa"/>
            </w:tcMar>
            <w:vAlign w:val="top"/>
          </w:tcPr>
          <w:p>
            <w:r>
              <w:rPr>
                <w:rFonts w:ascii="Noto Sans" w:hAnsi="Noto Sans"/>
                <w:color w:val="2C2C2E"/>
                <w:sz w:val="15"/>
              </w:rPr>
              <w:t>Gesamtneufassung / Referenz- und Diskussionsentwurf</w:t>
            </w:r>
          </w:p>
        </w:tc>
      </w:tr>
      <w:tr>
        <w:trPr>
          <w:cantSplit/>
        </w:trPr>
        <w:tc>
          <w:tcPr>
            <w:tcW w:type="dxa" w:w="2438"/>
            <w:tcMar>
              <w:top w:w="45" w:type="dxa"/>
              <w:start w:w="50" w:type="dxa"/>
              <w:bottom w:w="45" w:type="dxa"/>
              <w:end w:w="50" w:type="dxa"/>
            </w:tcMar>
            <w:vAlign w:val="top"/>
            <w:shd w:fill="FAF9F7"/>
          </w:tcPr>
          <w:p>
            <w:r>
              <w:rPr>
                <w:rFonts w:ascii="Noto Sans" w:hAnsi="Noto Sans"/>
                <w:color w:val="2C2C2E"/>
                <w:sz w:val="15"/>
              </w:rPr>
              <w:t>Version</w:t>
            </w:r>
          </w:p>
        </w:tc>
        <w:tc>
          <w:tcPr>
            <w:tcW w:type="dxa" w:w="6973"/>
            <w:tcMar>
              <w:top w:w="45" w:type="dxa"/>
              <w:start w:w="50" w:type="dxa"/>
              <w:bottom w:w="45" w:type="dxa"/>
              <w:end w:w="50" w:type="dxa"/>
            </w:tcMar>
            <w:vAlign w:val="top"/>
            <w:shd w:fill="FAF9F7"/>
          </w:tcPr>
          <w:p>
            <w:r>
              <w:rPr>
                <w:rFonts w:ascii="Noto Sans" w:hAnsi="Noto Sans"/>
                <w:color w:val="2C2C2E"/>
                <w:sz w:val="15"/>
              </w:rPr>
              <w:t>3.0</w:t>
            </w:r>
          </w:p>
        </w:tc>
      </w:tr>
      <w:tr>
        <w:trPr>
          <w:cantSplit/>
        </w:trPr>
        <w:tc>
          <w:tcPr>
            <w:tcW w:type="dxa" w:w="2438"/>
            <w:tcMar>
              <w:top w:w="45" w:type="dxa"/>
              <w:start w:w="50" w:type="dxa"/>
              <w:bottom w:w="45" w:type="dxa"/>
              <w:end w:w="50" w:type="dxa"/>
            </w:tcMar>
            <w:vAlign w:val="top"/>
          </w:tcPr>
          <w:p>
            <w:r>
              <w:rPr>
                <w:rFonts w:ascii="Noto Sans" w:hAnsi="Noto Sans"/>
                <w:color w:val="2C2C2E"/>
                <w:sz w:val="15"/>
              </w:rPr>
              <w:t>Stand</w:t>
            </w:r>
          </w:p>
        </w:tc>
        <w:tc>
          <w:tcPr>
            <w:tcW w:type="dxa" w:w="6973"/>
            <w:tcMar>
              <w:top w:w="45" w:type="dxa"/>
              <w:start w:w="50" w:type="dxa"/>
              <w:bottom w:w="45" w:type="dxa"/>
              <w:end w:w="50" w:type="dxa"/>
            </w:tcMar>
            <w:vAlign w:val="top"/>
          </w:tcPr>
          <w:p>
            <w:r>
              <w:rPr>
                <w:rFonts w:ascii="Noto Sans" w:hAnsi="Noto Sans"/>
                <w:color w:val="2C2C2E"/>
                <w:sz w:val="15"/>
              </w:rPr>
              <w:t>17. August 2026</w:t>
            </w:r>
          </w:p>
        </w:tc>
      </w:tr>
      <w:tr>
        <w:trPr>
          <w:cantSplit/>
        </w:trPr>
        <w:tc>
          <w:tcPr>
            <w:tcW w:type="dxa" w:w="2438"/>
            <w:tcMar>
              <w:top w:w="45" w:type="dxa"/>
              <w:start w:w="50" w:type="dxa"/>
              <w:bottom w:w="45" w:type="dxa"/>
              <w:end w:w="50" w:type="dxa"/>
            </w:tcMar>
            <w:vAlign w:val="top"/>
            <w:shd w:fill="FAF9F7"/>
          </w:tcPr>
          <w:p>
            <w:r>
              <w:rPr>
                <w:rFonts w:ascii="Noto Sans" w:hAnsi="Noto Sans"/>
                <w:color w:val="2C2C2E"/>
                <w:sz w:val="15"/>
              </w:rPr>
              <w:t>Autorin</w:t>
            </w:r>
          </w:p>
        </w:tc>
        <w:tc>
          <w:tcPr>
            <w:tcW w:type="dxa" w:w="6973"/>
            <w:tcMar>
              <w:top w:w="45" w:type="dxa"/>
              <w:start w:w="50" w:type="dxa"/>
              <w:bottom w:w="45" w:type="dxa"/>
              <w:end w:w="50" w:type="dxa"/>
            </w:tcMar>
            <w:vAlign w:val="top"/>
            <w:shd w:fill="FAF9F7"/>
          </w:tcPr>
          <w:p>
            <w:r>
              <w:rPr>
                <w:rFonts w:ascii="Noto Sans" w:hAnsi="Noto Sans"/>
                <w:color w:val="2C2C2E"/>
                <w:sz w:val="15"/>
              </w:rPr>
              <w:t>Natalie Weber</w:t>
            </w:r>
          </w:p>
        </w:tc>
      </w:tr>
      <w:tr>
        <w:trPr>
          <w:cantSplit/>
        </w:trPr>
        <w:tc>
          <w:tcPr>
            <w:tcW w:type="dxa" w:w="2438"/>
            <w:tcMar>
              <w:top w:w="45" w:type="dxa"/>
              <w:start w:w="50" w:type="dxa"/>
              <w:bottom w:w="45" w:type="dxa"/>
              <w:end w:w="50" w:type="dxa"/>
            </w:tcMar>
            <w:vAlign w:val="top"/>
          </w:tcPr>
          <w:p>
            <w:r>
              <w:rPr>
                <w:rFonts w:ascii="Noto Sans" w:hAnsi="Noto Sans"/>
                <w:color w:val="2C2C2E"/>
                <w:sz w:val="15"/>
              </w:rPr>
              <w:t>Normativer Kern</w:t>
            </w:r>
          </w:p>
        </w:tc>
        <w:tc>
          <w:tcPr>
            <w:tcW w:type="dxa" w:w="6973"/>
            <w:tcMar>
              <w:top w:w="45" w:type="dxa"/>
              <w:start w:w="50" w:type="dxa"/>
              <w:bottom w:w="45" w:type="dxa"/>
              <w:end w:w="50" w:type="dxa"/>
            </w:tcMar>
            <w:vAlign w:val="top"/>
          </w:tcPr>
          <w:p>
            <w:r>
              <w:rPr>
                <w:rFonts w:ascii="Noto Sans" w:hAnsi="Noto Sans"/>
                <w:color w:val="2C2C2E"/>
                <w:sz w:val="15"/>
              </w:rPr>
              <w:t>Mensch, Planet und Demokratie (MPD)</w:t>
            </w:r>
          </w:p>
        </w:tc>
      </w:tr>
      <w:tr>
        <w:trPr>
          <w:cantSplit/>
        </w:trPr>
        <w:tc>
          <w:tcPr>
            <w:tcW w:type="dxa" w:w="2438"/>
            <w:tcMar>
              <w:top w:w="45" w:type="dxa"/>
              <w:start w:w="50" w:type="dxa"/>
              <w:bottom w:w="45" w:type="dxa"/>
              <w:end w:w="50" w:type="dxa"/>
            </w:tcMar>
            <w:vAlign w:val="top"/>
            <w:shd w:fill="FAF9F7"/>
          </w:tcPr>
          <w:p>
            <w:r>
              <w:rPr>
                <w:rFonts w:ascii="Noto Sans" w:hAnsi="Noto Sans"/>
                <w:color w:val="2C2C2E"/>
                <w:sz w:val="15"/>
              </w:rPr>
              <w:t>Zielgröße</w:t>
            </w:r>
          </w:p>
        </w:tc>
        <w:tc>
          <w:tcPr>
            <w:tcW w:type="dxa" w:w="6973"/>
            <w:tcMar>
              <w:top w:w="45" w:type="dxa"/>
              <w:start w:w="50" w:type="dxa"/>
              <w:bottom w:w="45" w:type="dxa"/>
              <w:end w:w="50" w:type="dxa"/>
            </w:tcMar>
            <w:vAlign w:val="top"/>
            <w:shd w:fill="FAF9F7"/>
          </w:tcPr>
          <w:p>
            <w:r>
              <w:rPr>
                <w:rFonts w:ascii="Noto Sans" w:hAnsi="Noto Sans"/>
                <w:color w:val="2C2C2E"/>
                <w:sz w:val="15"/>
              </w:rPr>
              <w:t>Positive Netto-Wirkung unter Wirkungsgrenzen und Nichtkompensation</w:t>
            </w:r>
          </w:p>
        </w:tc>
      </w:tr>
      <w:tr>
        <w:trPr>
          <w:cantSplit/>
        </w:trPr>
        <w:tc>
          <w:tcPr>
            <w:tcW w:type="dxa" w:w="2438"/>
            <w:tcMar>
              <w:top w:w="45" w:type="dxa"/>
              <w:start w:w="50" w:type="dxa"/>
              <w:bottom w:w="45" w:type="dxa"/>
              <w:end w:w="50" w:type="dxa"/>
            </w:tcMar>
            <w:vAlign w:val="top"/>
          </w:tcPr>
          <w:p>
            <w:r>
              <w:rPr>
                <w:rFonts w:ascii="Noto Sans" w:hAnsi="Noto Sans"/>
                <w:color w:val="2C2C2E"/>
                <w:sz w:val="15"/>
              </w:rPr>
              <w:t>Rechtsstatus</w:t>
            </w:r>
          </w:p>
        </w:tc>
        <w:tc>
          <w:tcPr>
            <w:tcW w:type="dxa" w:w="6973"/>
            <w:tcMar>
              <w:top w:w="45" w:type="dxa"/>
              <w:start w:w="50" w:type="dxa"/>
              <w:bottom w:w="45" w:type="dxa"/>
              <w:end w:w="50" w:type="dxa"/>
            </w:tcMar>
            <w:vAlign w:val="top"/>
          </w:tcPr>
          <w:p>
            <w:r>
              <w:rPr>
                <w:rFonts w:ascii="Noto Sans" w:hAnsi="Noto Sans"/>
                <w:color w:val="2C2C2E"/>
                <w:sz w:val="15"/>
              </w:rPr>
              <w:t>WÖk-Konzept; nicht geltendes Recht</w:t>
            </w:r>
          </w:p>
        </w:tc>
      </w:tr>
      <w:tr>
        <w:trPr>
          <w:cantSplit/>
        </w:trPr>
        <w:tc>
          <w:tcPr>
            <w:tcW w:type="dxa" w:w="2438"/>
            <w:tcMar>
              <w:top w:w="45" w:type="dxa"/>
              <w:start w:w="50" w:type="dxa"/>
              <w:bottom w:w="45" w:type="dxa"/>
              <w:end w:w="50" w:type="dxa"/>
            </w:tcMar>
            <w:vAlign w:val="top"/>
            <w:shd w:fill="FAF9F7"/>
          </w:tcPr>
          <w:p>
            <w:r>
              <w:rPr>
                <w:rFonts w:ascii="Noto Sans" w:hAnsi="Noto Sans"/>
                <w:color w:val="2C2C2E"/>
                <w:sz w:val="15"/>
              </w:rPr>
              <w:t>Fachlicher Vorrang</w:t>
            </w:r>
          </w:p>
        </w:tc>
        <w:tc>
          <w:tcPr>
            <w:tcW w:type="dxa" w:w="6973"/>
            <w:tcMar>
              <w:top w:w="45" w:type="dxa"/>
              <w:start w:w="50" w:type="dxa"/>
              <w:bottom w:w="45" w:type="dxa"/>
              <w:end w:w="50" w:type="dxa"/>
            </w:tcMar>
            <w:vAlign w:val="top"/>
            <w:shd w:fill="FAF9F7"/>
          </w:tcPr>
          <w:p>
            <w:r>
              <w:rPr>
                <w:rFonts w:ascii="Noto Sans" w:hAnsi="Noto Sans"/>
                <w:color w:val="2C2C2E"/>
                <w:sz w:val="15"/>
              </w:rPr>
              <w:t>Begriffsleitfaden v1.5, aktuelle Governance und Masterregister vor historischen Entwürfen</w:t>
            </w:r>
          </w:p>
        </w:tc>
      </w:tr>
      <w:tr>
        <w:trPr>
          <w:cantSplit/>
        </w:trPr>
        <w:tc>
          <w:tcPr>
            <w:tcW w:type="dxa" w:w="2438"/>
            <w:tcMar>
              <w:top w:w="45" w:type="dxa"/>
              <w:start w:w="50" w:type="dxa"/>
              <w:bottom w:w="45" w:type="dxa"/>
              <w:end w:w="50" w:type="dxa"/>
            </w:tcMar>
            <w:vAlign w:val="top"/>
          </w:tcPr>
          <w:p>
            <w:r>
              <w:rPr>
                <w:rFonts w:ascii="Noto Sans" w:hAnsi="Noto Sans"/>
                <w:color w:val="2C2C2E"/>
                <w:sz w:val="15"/>
              </w:rPr>
              <w:t>Vollzugsprinzip</w:t>
            </w:r>
          </w:p>
        </w:tc>
        <w:tc>
          <w:tcPr>
            <w:tcW w:type="dxa" w:w="6973"/>
            <w:tcMar>
              <w:top w:w="45" w:type="dxa"/>
              <w:start w:w="50" w:type="dxa"/>
              <w:bottom w:w="45" w:type="dxa"/>
              <w:end w:w="50" w:type="dxa"/>
            </w:tcMar>
            <w:vAlign w:val="top"/>
          </w:tcPr>
          <w:p>
            <w:r>
              <w:rPr>
                <w:rFonts w:ascii="Noto Sans" w:hAnsi="Noto Sans"/>
                <w:color w:val="2C2C2E"/>
                <w:sz w:val="15"/>
              </w:rPr>
              <w:t>Bestehende Steuerarten bleiben Ausgangspunkt; Wirkung wird nur über gesetzlich definierte Module rückgekoppelt</w:t>
            </w:r>
          </w:p>
        </w:tc>
      </w:tr>
      <w:tr>
        <w:trPr>
          <w:cantSplit/>
        </w:trPr>
        <w:tc>
          <w:tcPr>
            <w:tcW w:type="dxa" w:w="2438"/>
            <w:tcMar>
              <w:top w:w="45" w:type="dxa"/>
              <w:start w:w="50" w:type="dxa"/>
              <w:bottom w:w="45" w:type="dxa"/>
              <w:end w:w="50" w:type="dxa"/>
            </w:tcMar>
            <w:vAlign w:val="top"/>
            <w:shd w:fill="FAF9F7"/>
          </w:tcPr>
          <w:p>
            <w:r>
              <w:rPr>
                <w:rFonts w:ascii="Noto Sans" w:hAnsi="Noto Sans"/>
                <w:color w:val="2C2C2E"/>
                <w:sz w:val="15"/>
              </w:rPr>
              <w:t>Tarifhoheit</w:t>
            </w:r>
          </w:p>
        </w:tc>
        <w:tc>
          <w:tcPr>
            <w:tcW w:type="dxa" w:w="6973"/>
            <w:tcMar>
              <w:top w:w="45" w:type="dxa"/>
              <w:start w:w="50" w:type="dxa"/>
              <w:bottom w:w="45" w:type="dxa"/>
              <w:end w:w="50" w:type="dxa"/>
            </w:tcMar>
            <w:vAlign w:val="top"/>
            <w:shd w:fill="FAF9F7"/>
          </w:tcPr>
          <w:p>
            <w:r>
              <w:rPr>
                <w:rFonts w:ascii="Noto Sans" w:hAnsi="Noto Sans"/>
                <w:color w:val="2C2C2E"/>
                <w:sz w:val="15"/>
              </w:rPr>
              <w:t>Beim demokratischen Gesetzgeber, nicht beim Wirkungsrat oder einer Scorecard</w:t>
            </w:r>
          </w:p>
        </w:tc>
      </w:tr>
    </w:tbl>
    <w:p>
      <w:pPr>
        <w:pStyle w:val="Heading2"/>
      </w:pPr>
      <w:r>
        <w:t>Was dieses Dokument bewusst nicht tut</w:t>
      </w:r>
    </w:p>
    <w:p>
      <w:pPr>
        <w:ind w:left="340" w:hanging="198"/>
      </w:pPr>
      <w:r>
        <w:rPr>
          <w:b/>
        </w:rPr>
        <w:t xml:space="preserve">• </w:t>
      </w:r>
      <w:r>
        <w:t>Es schafft keine moralische Rangliste von Menschen und keine allgemeine Personenbewertung.</w:t>
      </w:r>
    </w:p>
    <w:p>
      <w:pPr>
        <w:ind w:left="340" w:hanging="198"/>
      </w:pPr>
      <w:r>
        <w:rPr>
          <w:b/>
        </w:rPr>
        <w:t xml:space="preserve">• </w:t>
      </w:r>
      <w:r>
        <w:t>Es setzt Wirkung nicht mit Absicht, Aktivität, Output, Reichweite oder Bericht gleich.</w:t>
      </w:r>
    </w:p>
    <w:p>
      <w:pPr>
        <w:ind w:left="340" w:hanging="198"/>
      </w:pPr>
      <w:r>
        <w:rPr>
          <w:b/>
        </w:rPr>
        <w:t xml:space="preserve">• </w:t>
      </w:r>
      <w:r>
        <w:t>Es behandelt fehlende Daten nicht als neutrale Wirkung.</w:t>
      </w:r>
    </w:p>
    <w:p>
      <w:pPr>
        <w:ind w:left="340" w:hanging="198"/>
      </w:pPr>
      <w:r>
        <w:rPr>
          <w:b/>
        </w:rPr>
        <w:t xml:space="preserve">• </w:t>
      </w:r>
      <w:r>
        <w:t>Es lässt keinen Durchschnittsscore schwere Schäden wegmitteln.</w:t>
      </w:r>
    </w:p>
    <w:p>
      <w:pPr>
        <w:ind w:left="340" w:hanging="198"/>
      </w:pPr>
      <w:r>
        <w:rPr>
          <w:b/>
        </w:rPr>
        <w:t xml:space="preserve">• </w:t>
      </w:r>
      <w:r>
        <w:t>Es macht aus WÖk-IDs keine Produkt- oder Personenidentitäten; WÖk-IDs bleiben Indikator-IDs.</w:t>
      </w:r>
    </w:p>
    <w:p>
      <w:pPr>
        <w:ind w:left="340" w:hanging="198"/>
      </w:pPr>
      <w:r>
        <w:rPr>
          <w:b/>
        </w:rPr>
        <w:t xml:space="preserve">• </w:t>
      </w:r>
      <w:r>
        <w:t>Es behauptet keine pauschale EU- oder Verfassungskonformität eines noch nicht ausformulierten Einzelsteuergesetzes.</w:t>
      </w:r>
    </w:p>
    <w:p>
      <w:pPr>
        <w:ind w:left="340" w:hanging="198"/>
      </w:pPr>
      <w:r>
        <w:rPr>
          <w:b/>
        </w:rPr>
        <w:t xml:space="preserve">• </w:t>
      </w:r>
      <w:r>
        <w:t>Es verspricht keine mathematische Vollständigkeit. Unsicherheit, Versionierung und Korrektur sind Teil des Systems.</w:t>
      </w:r>
    </w:p>
    <w:p>
      <w:pPr>
        <w:pStyle w:val="Heading2"/>
      </w:pPr>
      <w:r>
        <w:t>Wie das Dokument zu lesen ist</w:t>
      </w:r>
    </w:p>
    <w:p>
      <w:r>
        <w:rPr>
          <w:rFonts w:ascii="Noto Sans" w:hAnsi="Noto Sans"/>
        </w:rPr>
        <w:t>Teil A erklärt die Wirkungssteuer als System. Teil B enthält den vollständigen Rahmengesetzentwurf mit Kommentierung. Teil C ordnet jede relevante Steuerart ein. Teil D beschreibt Daten, Technik, Governance und Vollzug. Teil E enthält Übergang, Piloten und den europäischen Pfad. Die Anhänge dokumentieren den technischen Stand, Modellparameter, Korrekturen gegenüber 2025 und die Quellenbasis.</w:t>
      </w:r>
    </w:p>
    <w:p>
      <w:r>
        <w:br w:type="page"/>
      </w:r>
    </w:p>
    <w:p>
      <w:pPr>
        <w:pStyle w:val="Heading1"/>
      </w:pPr>
      <w:r>
        <w:t>Executive Summary</w:t>
      </w:r>
    </w:p>
    <w:p>
      <w:r>
        <w:rPr>
          <w:rFonts w:ascii="Noto Sans" w:hAnsi="Noto Sans"/>
        </w:rPr>
        <w:t>Die Wirkungssteuer 3.0 ist keine neue „Supersteuer“. Sie ist eine modulare fiskalische Rückkopplungsarchitektur. Ausgangspunkt bleibt die jeweilige bestehende Steuer mit ihrem eigenen Steuergegenstand, ihrer Bemessungsgrundlage, ihrer Kompetenzordnung und ihrer Finanzierungsfunktion. Wirkung kommt nur dort hinzu, wo ein fachlich belastbarer Wirkmechanismus, ein rechtlich legitimer Anknüpfungspunkt und eine administrierbare Datenbasis vorhanden sind.</w:t>
      </w:r>
    </w:p>
    <w:p>
      <w:r>
        <w:rPr>
          <w:rFonts w:ascii="Noto Sans" w:hAnsi="Noto Sans"/>
        </w:rPr>
        <w:t>Der zentrale Konstruktionswechsel gegenüber den frühen WStG-Fassungen lautet: Eine Scorecard bestimmt nicht unmittelbar den Steuerbetrag. Scorecards, WÖk-IDs, Benchmarks, Datenqualitätsklassen und die Reverse Merit Order liefern prüfbare Evidenz und Schutzlogik. Erst ein demokratisch beschlossenes steuerartspezifisches Modul übersetzt bestimmte Wirkungsmerkmale in einen Bonus, Malus, Freibetrag, Zuschlag, Tarifunterschied, Abzug, Förderzugang oder eine andere steuerliche Rechtsfolge.</w:t>
      </w:r>
    </w:p>
    <w:p>
      <w:r>
        <w:rPr>
          <w:rFonts w:ascii="Noto Sans" w:hAnsi="Noto Sans"/>
        </w:rPr>
        <w:t>Damit bleibt das Steuerrecht rechtsstaatlich lesbar: Steuerpflichtige müssen erkennen können, welcher Tatbestand welche Rechtsfolge auslöst. Der Wirkungsrat kann Methoden, Datenqualität und Register sichern, aber keine Steuersätze festsetzen. Steuerliche Lenkung bleibt Gesetzgebung. Rechtsschutz, Begründung, Verhältnismäßigkeit, Datenschutz, Diskriminierungsfreiheit und europäische Kompetenzgrenzen sind keine nachträglichen Zusätze, sondern Teil der Architektur.</w:t>
      </w:r>
    </w:p>
    <w:p>
      <w:r>
        <w:rPr>
          <w:rFonts w:ascii="Noto Sans" w:hAnsi="Noto Sans"/>
        </w:rPr>
        <w:t>Das System denkt zugleich weiter als Steuerrecht. Wirkung wird auch über öffentliche Beschaffung, Subventionen, Gebühren, Beiträge, Förderprogramme, Haushalte, Garantien, Versicherbarkeit und Kapitalzugang rückgekoppelt. Die Steuer ist ein starker Hebel – aber nicht jeder Wirkungsfall ist ein Steuerfall.</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2F7D5C"/>
              <w:top w:val="nil"/>
              <w:right w:val="nil"/>
              <w:bottom w:val="nil"/>
            </w:tcBorders>
          </w:tcPr>
          <w:p>
            <w:r>
              <w:rPr>
                <w:rFonts w:ascii="Noto Sans" w:hAnsi="Noto Sans"/>
                <w:b/>
                <w:color w:val="2F7D5C"/>
                <w:sz w:val="17"/>
              </w:rPr>
              <w:t>Kernsatz</w:t>
            </w:r>
          </w:p>
          <w:p>
            <w:pPr>
              <w:pStyle w:val="Callout"/>
            </w:pPr>
            <w:r>
              <w:rPr>
                <w:rFonts w:ascii="Noto Sans" w:hAnsi="Noto Sans"/>
                <w:color w:val="2C2C2E"/>
                <w:sz w:val="18"/>
              </w:rPr>
              <w:t>Wirkungssteuer 3.0 bedeutet: Bestehende Steuer + gesetzliches Wirkungsmodul + geprüfter Wirkungsnachweis + Schutzregeln + Rechtsschutz + Evaluation.</w:t>
            </w:r>
          </w:p>
        </w:tc>
      </w:tr>
    </w:tbl>
    <w:p>
      <w:pPr>
        <w:spacing w:after="0"/>
      </w:pPr>
    </w:p>
    <w:p>
      <w:pPr>
        <w:pStyle w:val="Heading2"/>
      </w:pPr>
      <w:r>
        <w:t>Die zwölf Bauprinzipien</w:t>
      </w:r>
    </w:p>
    <w:p>
      <w:pPr>
        <w:ind w:left="425" w:hanging="312"/>
      </w:pPr>
      <w:r>
        <w:rPr>
          <w:b/>
        </w:rPr>
        <w:t xml:space="preserve">1. </w:t>
      </w:r>
      <w:r>
        <w:t>Steuerfunktion bleibt erhalten: Fiskalzweck, Leistungsfähigkeitsprinzip, kommunale Finanzautonomie oder spezifische Verbrauchslenkung werden nicht durch einen Universalscore ersetzt.</w:t>
      </w:r>
    </w:p>
    <w:p>
      <w:pPr>
        <w:ind w:left="425" w:hanging="312"/>
      </w:pPr>
      <w:r>
        <w:rPr>
          <w:b/>
        </w:rPr>
        <w:t xml:space="preserve">2. </w:t>
      </w:r>
      <w:r>
        <w:t>Wirkung ist tatsächliche Zustandsveränderung. Ex ante arbeitet das Steuerrecht mit Wirkungspotenzial, Wirkungsrisiko, Mechanismen und gesetzlich legitimierten Proxygrößen.</w:t>
      </w:r>
    </w:p>
    <w:p>
      <w:pPr>
        <w:ind w:left="425" w:hanging="312"/>
      </w:pPr>
      <w:r>
        <w:rPr>
          <w:b/>
        </w:rPr>
        <w:t xml:space="preserve">3. </w:t>
      </w:r>
      <w:r>
        <w:t>Mensch, Planet und Demokratie sind gekoppelte Schutz- und Referenzräume, keine frei addierbaren Säulen.</w:t>
      </w:r>
    </w:p>
    <w:p>
      <w:pPr>
        <w:ind w:left="425" w:hanging="312"/>
      </w:pPr>
      <w:r>
        <w:rPr>
          <w:b/>
        </w:rPr>
        <w:t xml:space="preserve">4. </w:t>
      </w:r>
      <w:r>
        <w:t>Nichtkompensation schützt rote Linien. Die Reverse Merit Order operationalisiert dieses Schutzprinzip dort, wo eine aggregierte Bewertung überhaupt erforderlich ist.</w:t>
      </w:r>
    </w:p>
    <w:p>
      <w:pPr>
        <w:ind w:left="425" w:hanging="312"/>
      </w:pPr>
      <w:r>
        <w:rPr>
          <w:b/>
        </w:rPr>
        <w:t xml:space="preserve">5. </w:t>
      </w:r>
      <w:r>
        <w:t>Keine Daten sind nicht neutral. Offen bleibt offen; steuerliche Entlastung braucht grundsätzlich einen belastbaren Nachweis.</w:t>
      </w:r>
    </w:p>
    <w:p>
      <w:pPr>
        <w:ind w:left="425" w:hanging="312"/>
      </w:pPr>
      <w:r>
        <w:rPr>
          <w:b/>
        </w:rPr>
        <w:t xml:space="preserve">6. </w:t>
      </w:r>
      <w:r>
        <w:t>Keine Personenbewertung. Einkommensteuerliche Anreize knüpfen an objektive Tatbestände, Tätigkeiten oder Aufwendungen an – nicht an eine moralische Bewertung eines Menschen.</w:t>
      </w:r>
    </w:p>
    <w:p>
      <w:pPr>
        <w:ind w:left="425" w:hanging="312"/>
      </w:pPr>
      <w:r>
        <w:rPr>
          <w:b/>
        </w:rPr>
        <w:t xml:space="preserve">7. </w:t>
      </w:r>
      <w:r>
        <w:t>Tarife sind Gesetz. Scorecards sind Evidenz. Der Wirkungsrat ist methodische Sicherung, kein Ersatzgesetzgeber.</w:t>
      </w:r>
    </w:p>
    <w:p>
      <w:pPr>
        <w:ind w:left="425" w:hanging="312"/>
      </w:pPr>
      <w:r>
        <w:rPr>
          <w:b/>
        </w:rPr>
        <w:t xml:space="preserve">8. </w:t>
      </w:r>
      <w:r>
        <w:t>Keine doppelte Bepreisung ohne Begründung. Bestehende CO₂-, Energie-, Verbrauchs- oder Emissionspreise werden in der Wirkungsanalyse berücksichtigt.</w:t>
      </w:r>
    </w:p>
    <w:p>
      <w:pPr>
        <w:ind w:left="425" w:hanging="312"/>
      </w:pPr>
      <w:r>
        <w:rPr>
          <w:b/>
        </w:rPr>
        <w:t xml:space="preserve">9. </w:t>
      </w:r>
      <w:r>
        <w:t>Wirkungsdaten werden wiederverwendbar: vorhandene Steuer-, Produkt-, Lieferketten-, DPP-, Umwelt-, Sozial- und Risikodaten bilden die Basis.</w:t>
      </w:r>
    </w:p>
    <w:p>
      <w:pPr>
        <w:ind w:left="425" w:hanging="312"/>
      </w:pPr>
      <w:r>
        <w:rPr>
          <w:b/>
        </w:rPr>
        <w:t xml:space="preserve">10. </w:t>
      </w:r>
      <w:r>
        <w:t>Verhältnismäßigkeit und KMU-Fähigkeit sind Designbedingungen. Standardwerte, Safe Harbours, Branchenprofile und stufenweise Assurance können Aufwand begrenzen.</w:t>
      </w:r>
    </w:p>
    <w:p>
      <w:pPr>
        <w:ind w:left="425" w:hanging="312"/>
      </w:pPr>
      <w:r>
        <w:rPr>
          <w:b/>
        </w:rPr>
        <w:t xml:space="preserve">11. </w:t>
      </w:r>
      <w:r>
        <w:t>Haushaltsneutralität ist eine sinnvolle Einführungs- und Kalibrierungslogik, aber kein unveränderliches Dogma.</w:t>
      </w:r>
    </w:p>
    <w:p>
      <w:pPr>
        <w:ind w:left="425" w:hanging="312"/>
      </w:pPr>
      <w:r>
        <w:rPr>
          <w:b/>
        </w:rPr>
        <w:t xml:space="preserve">12. </w:t>
      </w:r>
      <w:r>
        <w:t>Das System ist lernfähig: Pilotierung, Sunset-Klauseln, Evaluation, Versionskontrolle und demokratische Nachsteuerung gehören zum Gesetz.</w:t>
      </w:r>
    </w:p>
    <w:p>
      <w:pPr>
        <w:pStyle w:val="Heading2"/>
      </w:pPr>
      <w:r>
        <w:t>Was sich gegenüber 2025 grundlegend geändert hat</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567"/>
            <w:shd w:fill="0B1020"/>
            <w:tcMar>
              <w:top w:w="55" w:type="dxa"/>
              <w:start w:w="55" w:type="dxa"/>
              <w:bottom w:w="55" w:type="dxa"/>
              <w:end w:w="55" w:type="dxa"/>
            </w:tcMar>
          </w:tcPr>
          <w:p>
            <w:r>
              <w:rPr>
                <w:rFonts w:ascii="Noto Sans" w:hAnsi="Noto Sans"/>
                <w:b/>
                <w:color w:val="FFFFFF"/>
                <w:sz w:val="13"/>
              </w:rPr>
              <w:t>Nr.</w:t>
            </w:r>
          </w:p>
        </w:tc>
        <w:tc>
          <w:tcPr>
            <w:tcW w:type="dxa" w:w="4082"/>
            <w:shd w:fill="0B1020"/>
            <w:tcMar>
              <w:top w:w="55" w:type="dxa"/>
              <w:start w:w="55" w:type="dxa"/>
              <w:bottom w:w="55" w:type="dxa"/>
              <w:end w:w="55" w:type="dxa"/>
            </w:tcMar>
          </w:tcPr>
          <w:p>
            <w:r>
              <w:rPr>
                <w:rFonts w:ascii="Noto Sans" w:hAnsi="Noto Sans"/>
                <w:b/>
                <w:color w:val="FFFFFF"/>
                <w:sz w:val="13"/>
              </w:rPr>
              <w:t>Frühere Logik</w:t>
            </w:r>
          </w:p>
        </w:tc>
        <w:tc>
          <w:tcPr>
            <w:tcW w:type="dxa" w:w="4762"/>
            <w:shd w:fill="0B1020"/>
            <w:tcMar>
              <w:top w:w="55" w:type="dxa"/>
              <w:start w:w="55" w:type="dxa"/>
              <w:bottom w:w="55" w:type="dxa"/>
              <w:end w:w="55" w:type="dxa"/>
            </w:tcMar>
          </w:tcPr>
          <w:p>
            <w:r>
              <w:rPr>
                <w:rFonts w:ascii="Noto Sans" w:hAnsi="Noto Sans"/>
                <w:b/>
                <w:color w:val="FFFFFF"/>
                <w:sz w:val="13"/>
              </w:rPr>
              <w:t>Neufassung 3.0</w:t>
            </w:r>
          </w:p>
        </w:tc>
      </w:tr>
      <w:tr>
        <w:trPr>
          <w:cantSplit/>
        </w:trPr>
        <w:tc>
          <w:tcPr>
            <w:tcW w:type="dxa" w:w="567"/>
            <w:tcMar>
              <w:top w:w="45" w:type="dxa"/>
              <w:start w:w="50" w:type="dxa"/>
              <w:bottom w:w="45" w:type="dxa"/>
              <w:end w:w="50" w:type="dxa"/>
            </w:tcMar>
            <w:vAlign w:val="top"/>
          </w:tcPr>
          <w:p>
            <w:r>
              <w:rPr>
                <w:rFonts w:ascii="Noto Sans" w:hAnsi="Noto Sans"/>
                <w:color w:val="2C2C2E"/>
                <w:sz w:val="13"/>
              </w:rPr>
              <w:t>1</w:t>
            </w:r>
          </w:p>
        </w:tc>
        <w:tc>
          <w:tcPr>
            <w:tcW w:type="dxa" w:w="4082"/>
            <w:tcMar>
              <w:top w:w="45" w:type="dxa"/>
              <w:start w:w="50" w:type="dxa"/>
              <w:bottom w:w="45" w:type="dxa"/>
              <w:end w:w="50" w:type="dxa"/>
            </w:tcMar>
            <w:vAlign w:val="top"/>
          </w:tcPr>
          <w:p>
            <w:r>
              <w:rPr>
                <w:rFonts w:ascii="Noto Sans" w:hAnsi="Noto Sans"/>
                <w:color w:val="2C2C2E"/>
                <w:sz w:val="13"/>
              </w:rPr>
              <w:t>Eine einzige Wirkungs-Supersteuer</w:t>
            </w:r>
          </w:p>
        </w:tc>
        <w:tc>
          <w:tcPr>
            <w:tcW w:type="dxa" w:w="4762"/>
            <w:tcMar>
              <w:top w:w="45" w:type="dxa"/>
              <w:start w:w="50" w:type="dxa"/>
              <w:bottom w:w="45" w:type="dxa"/>
              <w:end w:w="50" w:type="dxa"/>
            </w:tcMar>
            <w:vAlign w:val="top"/>
          </w:tcPr>
          <w:p>
            <w:r>
              <w:rPr>
                <w:rFonts w:ascii="Noto Sans" w:hAnsi="Noto Sans"/>
                <w:color w:val="2C2C2E"/>
                <w:sz w:val="13"/>
              </w:rPr>
              <w:t>Modulare Architektur je bestehender Steuerart</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2</w:t>
            </w:r>
          </w:p>
        </w:tc>
        <w:tc>
          <w:tcPr>
            <w:tcW w:type="dxa" w:w="4082"/>
            <w:tcMar>
              <w:top w:w="45" w:type="dxa"/>
              <w:start w:w="50" w:type="dxa"/>
              <w:bottom w:w="45" w:type="dxa"/>
              <w:end w:w="50" w:type="dxa"/>
            </w:tcMar>
            <w:vAlign w:val="top"/>
            <w:shd w:fill="FAF9F7"/>
          </w:tcPr>
          <w:p>
            <w:r>
              <w:rPr>
                <w:rFonts w:ascii="Noto Sans" w:hAnsi="Noto Sans"/>
                <w:color w:val="2C2C2E"/>
                <w:sz w:val="13"/>
              </w:rPr>
              <w:t>Gesamtscore setzt unmittelbar Tarif</w:t>
            </w:r>
          </w:p>
        </w:tc>
        <w:tc>
          <w:tcPr>
            <w:tcW w:type="dxa" w:w="4762"/>
            <w:tcMar>
              <w:top w:w="45" w:type="dxa"/>
              <w:start w:w="50" w:type="dxa"/>
              <w:bottom w:w="45" w:type="dxa"/>
              <w:end w:w="50" w:type="dxa"/>
            </w:tcMar>
            <w:vAlign w:val="top"/>
            <w:shd w:fill="FAF9F7"/>
          </w:tcPr>
          <w:p>
            <w:r>
              <w:rPr>
                <w:rFonts w:ascii="Noto Sans" w:hAnsi="Noto Sans"/>
                <w:color w:val="2C2C2E"/>
                <w:sz w:val="13"/>
              </w:rPr>
              <w:t>Scorecard liefert Evidenz; Tarifwirkung nur durch Gesetz</w:t>
            </w:r>
          </w:p>
        </w:tc>
      </w:tr>
      <w:tr>
        <w:trPr>
          <w:cantSplit/>
        </w:trPr>
        <w:tc>
          <w:tcPr>
            <w:tcW w:type="dxa" w:w="567"/>
            <w:tcMar>
              <w:top w:w="45" w:type="dxa"/>
              <w:start w:w="50" w:type="dxa"/>
              <w:bottom w:w="45" w:type="dxa"/>
              <w:end w:w="50" w:type="dxa"/>
            </w:tcMar>
            <w:vAlign w:val="top"/>
          </w:tcPr>
          <w:p>
            <w:r>
              <w:rPr>
                <w:rFonts w:ascii="Noto Sans" w:hAnsi="Noto Sans"/>
                <w:color w:val="2C2C2E"/>
                <w:sz w:val="13"/>
              </w:rPr>
              <w:t>3</w:t>
            </w:r>
          </w:p>
        </w:tc>
        <w:tc>
          <w:tcPr>
            <w:tcW w:type="dxa" w:w="4082"/>
            <w:tcMar>
              <w:top w:w="45" w:type="dxa"/>
              <w:start w:w="50" w:type="dxa"/>
              <w:bottom w:w="45" w:type="dxa"/>
              <w:end w:w="50" w:type="dxa"/>
            </w:tcMar>
            <w:vAlign w:val="top"/>
          </w:tcPr>
          <w:p>
            <w:r>
              <w:rPr>
                <w:rFonts w:ascii="Noto Sans" w:hAnsi="Noto Sans"/>
                <w:color w:val="2C2C2E"/>
                <w:sz w:val="13"/>
              </w:rPr>
              <w:t>WÖk-ID als Objekt-/Produkt-ID</w:t>
            </w:r>
          </w:p>
        </w:tc>
        <w:tc>
          <w:tcPr>
            <w:tcW w:type="dxa" w:w="4762"/>
            <w:tcMar>
              <w:top w:w="45" w:type="dxa"/>
              <w:start w:w="50" w:type="dxa"/>
              <w:bottom w:w="45" w:type="dxa"/>
              <w:end w:w="50" w:type="dxa"/>
            </w:tcMar>
            <w:vAlign w:val="top"/>
          </w:tcPr>
          <w:p>
            <w:r>
              <w:rPr>
                <w:rFonts w:ascii="Noto Sans" w:hAnsi="Noto Sans"/>
                <w:color w:val="2C2C2E"/>
                <w:sz w:val="13"/>
              </w:rPr>
              <w:t>WÖk-ID = Indikator-ID; Produktidentität separat, z. B. über DPP</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4</w:t>
            </w:r>
          </w:p>
        </w:tc>
        <w:tc>
          <w:tcPr>
            <w:tcW w:type="dxa" w:w="4082"/>
            <w:tcMar>
              <w:top w:w="45" w:type="dxa"/>
              <w:start w:w="50" w:type="dxa"/>
              <w:bottom w:w="45" w:type="dxa"/>
              <w:end w:w="50" w:type="dxa"/>
            </w:tcMar>
            <w:vAlign w:val="top"/>
            <w:shd w:fill="FAF9F7"/>
          </w:tcPr>
          <w:p>
            <w:r>
              <w:rPr>
                <w:rFonts w:ascii="Noto Sans" w:hAnsi="Noto Sans"/>
                <w:color w:val="2C2C2E"/>
                <w:sz w:val="13"/>
              </w:rPr>
              <w:t>Fehlende Daten = neutral</w:t>
            </w:r>
          </w:p>
        </w:tc>
        <w:tc>
          <w:tcPr>
            <w:tcW w:type="dxa" w:w="4762"/>
            <w:tcMar>
              <w:top w:w="45" w:type="dxa"/>
              <w:start w:w="50" w:type="dxa"/>
              <w:bottom w:w="45" w:type="dxa"/>
              <w:end w:w="50" w:type="dxa"/>
            </w:tcMar>
            <w:vAlign w:val="top"/>
            <w:shd w:fill="FAF9F7"/>
          </w:tcPr>
          <w:p>
            <w:r>
              <w:rPr>
                <w:rFonts w:ascii="Noto Sans" w:hAnsi="Noto Sans"/>
                <w:color w:val="2C2C2E"/>
                <w:sz w:val="13"/>
              </w:rPr>
              <w:t>Fehlende Daten = offen; keine Entlastung ohne Nachweis</w:t>
            </w:r>
          </w:p>
        </w:tc>
      </w:tr>
      <w:tr>
        <w:trPr>
          <w:cantSplit/>
        </w:trPr>
        <w:tc>
          <w:tcPr>
            <w:tcW w:type="dxa" w:w="567"/>
            <w:tcMar>
              <w:top w:w="45" w:type="dxa"/>
              <w:start w:w="50" w:type="dxa"/>
              <w:bottom w:w="45" w:type="dxa"/>
              <w:end w:w="50" w:type="dxa"/>
            </w:tcMar>
            <w:vAlign w:val="top"/>
          </w:tcPr>
          <w:p>
            <w:r>
              <w:rPr>
                <w:rFonts w:ascii="Noto Sans" w:hAnsi="Noto Sans"/>
                <w:color w:val="2C2C2E"/>
                <w:sz w:val="13"/>
              </w:rPr>
              <w:t>5</w:t>
            </w:r>
          </w:p>
        </w:tc>
        <w:tc>
          <w:tcPr>
            <w:tcW w:type="dxa" w:w="4082"/>
            <w:tcMar>
              <w:top w:w="45" w:type="dxa"/>
              <w:start w:w="50" w:type="dxa"/>
              <w:bottom w:w="45" w:type="dxa"/>
              <w:end w:w="50" w:type="dxa"/>
            </w:tcMar>
            <w:vAlign w:val="top"/>
          </w:tcPr>
          <w:p>
            <w:r>
              <w:rPr>
                <w:rFonts w:ascii="Noto Sans" w:hAnsi="Noto Sans"/>
                <w:color w:val="2C2C2E"/>
                <w:sz w:val="13"/>
              </w:rPr>
              <w:t>Individuelle Wirkungsbewertung von Personen</w:t>
            </w:r>
          </w:p>
        </w:tc>
        <w:tc>
          <w:tcPr>
            <w:tcW w:type="dxa" w:w="4762"/>
            <w:tcMar>
              <w:top w:w="45" w:type="dxa"/>
              <w:start w:w="50" w:type="dxa"/>
              <w:bottom w:w="45" w:type="dxa"/>
              <w:end w:w="50" w:type="dxa"/>
            </w:tcMar>
            <w:vAlign w:val="top"/>
          </w:tcPr>
          <w:p>
            <w:r>
              <w:rPr>
                <w:rFonts w:ascii="Noto Sans" w:hAnsi="Noto Sans"/>
                <w:color w:val="2C2C2E"/>
                <w:sz w:val="13"/>
              </w:rPr>
              <w:t>Keine Personenbewertung; nur objektive Tatbestände/Tätigkeiten</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6</w:t>
            </w:r>
          </w:p>
        </w:tc>
        <w:tc>
          <w:tcPr>
            <w:tcW w:type="dxa" w:w="4082"/>
            <w:tcMar>
              <w:top w:w="45" w:type="dxa"/>
              <w:start w:w="50" w:type="dxa"/>
              <w:bottom w:w="45" w:type="dxa"/>
              <w:end w:w="50" w:type="dxa"/>
            </w:tcMar>
            <w:vAlign w:val="top"/>
            <w:shd w:fill="FAF9F7"/>
          </w:tcPr>
          <w:p>
            <w:r>
              <w:rPr>
                <w:rFonts w:ascii="Noto Sans" w:hAnsi="Noto Sans"/>
                <w:color w:val="2C2C2E"/>
                <w:sz w:val="13"/>
              </w:rPr>
              <w:t>Einkommensteuer nach „persönlicher Wirkung“</w:t>
            </w:r>
          </w:p>
        </w:tc>
        <w:tc>
          <w:tcPr>
            <w:tcW w:type="dxa" w:w="4762"/>
            <w:tcMar>
              <w:top w:w="45" w:type="dxa"/>
              <w:start w:w="50" w:type="dxa"/>
              <w:bottom w:w="45" w:type="dxa"/>
              <w:end w:w="50" w:type="dxa"/>
            </w:tcMar>
            <w:vAlign w:val="top"/>
            <w:shd w:fill="FAF9F7"/>
          </w:tcPr>
          <w:p>
            <w:r>
              <w:rPr>
                <w:rFonts w:ascii="Noto Sans" w:hAnsi="Noto Sans"/>
                <w:color w:val="2C2C2E"/>
                <w:sz w:val="13"/>
              </w:rPr>
              <w:t>Leistungsfähigkeit bleibt primär; begrenzte objektive Wirkungsmodule</w:t>
            </w:r>
          </w:p>
        </w:tc>
      </w:tr>
      <w:tr>
        <w:trPr>
          <w:cantSplit/>
        </w:trPr>
        <w:tc>
          <w:tcPr>
            <w:tcW w:type="dxa" w:w="567"/>
            <w:tcMar>
              <w:top w:w="45" w:type="dxa"/>
              <w:start w:w="50" w:type="dxa"/>
              <w:bottom w:w="45" w:type="dxa"/>
              <w:end w:w="50" w:type="dxa"/>
            </w:tcMar>
            <w:vAlign w:val="top"/>
          </w:tcPr>
          <w:p>
            <w:r>
              <w:rPr>
                <w:rFonts w:ascii="Noto Sans" w:hAnsi="Noto Sans"/>
                <w:color w:val="2C2C2E"/>
                <w:sz w:val="13"/>
              </w:rPr>
              <w:t>7</w:t>
            </w:r>
          </w:p>
        </w:tc>
        <w:tc>
          <w:tcPr>
            <w:tcW w:type="dxa" w:w="4082"/>
            <w:tcMar>
              <w:top w:w="45" w:type="dxa"/>
              <w:start w:w="50" w:type="dxa"/>
              <w:bottom w:w="45" w:type="dxa"/>
              <w:end w:w="50" w:type="dxa"/>
            </w:tcMar>
            <w:vAlign w:val="top"/>
          </w:tcPr>
          <w:p>
            <w:r>
              <w:rPr>
                <w:rFonts w:ascii="Noto Sans" w:hAnsi="Noto Sans"/>
                <w:color w:val="2C2C2E"/>
                <w:sz w:val="13"/>
              </w:rPr>
              <w:t>Nichtkompensation als pauschales Worst-Case-Prinzip</w:t>
            </w:r>
          </w:p>
        </w:tc>
        <w:tc>
          <w:tcPr>
            <w:tcW w:type="dxa" w:w="4762"/>
            <w:tcMar>
              <w:top w:w="45" w:type="dxa"/>
              <w:start w:w="50" w:type="dxa"/>
              <w:bottom w:w="45" w:type="dxa"/>
              <w:end w:w="50" w:type="dxa"/>
            </w:tcMar>
            <w:vAlign w:val="top"/>
          </w:tcPr>
          <w:p>
            <w:r>
              <w:rPr>
                <w:rFonts w:ascii="Noto Sans" w:hAnsi="Noto Sans"/>
                <w:color w:val="2C2C2E"/>
                <w:sz w:val="13"/>
              </w:rPr>
              <w:t>Materialitäts- und grenzbezogene Schutzlogik; RMO als Methode</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8</w:t>
            </w:r>
          </w:p>
        </w:tc>
        <w:tc>
          <w:tcPr>
            <w:tcW w:type="dxa" w:w="4082"/>
            <w:tcMar>
              <w:top w:w="45" w:type="dxa"/>
              <w:start w:w="50" w:type="dxa"/>
              <w:bottom w:w="45" w:type="dxa"/>
              <w:end w:w="50" w:type="dxa"/>
            </w:tcMar>
            <w:vAlign w:val="top"/>
            <w:shd w:fill="FAF9F7"/>
          </w:tcPr>
          <w:p>
            <w:r>
              <w:rPr>
                <w:rFonts w:ascii="Noto Sans" w:hAnsi="Noto Sans"/>
                <w:color w:val="2C2C2E"/>
                <w:sz w:val="13"/>
              </w:rPr>
              <w:t>Wirkungsrat setzt Sätze/Grenzen</w:t>
            </w:r>
          </w:p>
        </w:tc>
        <w:tc>
          <w:tcPr>
            <w:tcW w:type="dxa" w:w="4762"/>
            <w:tcMar>
              <w:top w:w="45" w:type="dxa"/>
              <w:start w:w="50" w:type="dxa"/>
              <w:bottom w:w="45" w:type="dxa"/>
              <w:end w:w="50" w:type="dxa"/>
            </w:tcMar>
            <w:vAlign w:val="top"/>
            <w:shd w:fill="FAF9F7"/>
          </w:tcPr>
          <w:p>
            <w:r>
              <w:rPr>
                <w:rFonts w:ascii="Noto Sans" w:hAnsi="Noto Sans"/>
                <w:color w:val="2C2C2E"/>
                <w:sz w:val="13"/>
              </w:rPr>
              <w:t>Wirkungsrat sichert Methodik; Gesetzgeber setzt Steuern und Rechtsfolgen</w:t>
            </w:r>
          </w:p>
        </w:tc>
      </w:tr>
      <w:tr>
        <w:trPr>
          <w:cantSplit/>
        </w:trPr>
        <w:tc>
          <w:tcPr>
            <w:tcW w:type="dxa" w:w="567"/>
            <w:tcMar>
              <w:top w:w="45" w:type="dxa"/>
              <w:start w:w="50" w:type="dxa"/>
              <w:bottom w:w="45" w:type="dxa"/>
              <w:end w:w="50" w:type="dxa"/>
            </w:tcMar>
            <w:vAlign w:val="top"/>
          </w:tcPr>
          <w:p>
            <w:r>
              <w:rPr>
                <w:rFonts w:ascii="Noto Sans" w:hAnsi="Noto Sans"/>
                <w:color w:val="2C2C2E"/>
                <w:sz w:val="13"/>
              </w:rPr>
              <w:t>9</w:t>
            </w:r>
          </w:p>
        </w:tc>
        <w:tc>
          <w:tcPr>
            <w:tcW w:type="dxa" w:w="4082"/>
            <w:tcMar>
              <w:top w:w="45" w:type="dxa"/>
              <w:start w:w="50" w:type="dxa"/>
              <w:bottom w:w="45" w:type="dxa"/>
              <w:end w:w="50" w:type="dxa"/>
            </w:tcMar>
            <w:vAlign w:val="top"/>
          </w:tcPr>
          <w:p>
            <w:r>
              <w:rPr>
                <w:rFonts w:ascii="Noto Sans" w:hAnsi="Noto Sans"/>
                <w:color w:val="2C2C2E"/>
                <w:sz w:val="13"/>
              </w:rPr>
              <w:t>Ein zentrales moralisches Wirkungssteuerkonto</w:t>
            </w:r>
          </w:p>
        </w:tc>
        <w:tc>
          <w:tcPr>
            <w:tcW w:type="dxa" w:w="4762"/>
            <w:tcMar>
              <w:top w:w="45" w:type="dxa"/>
              <w:start w:w="50" w:type="dxa"/>
              <w:bottom w:w="45" w:type="dxa"/>
              <w:end w:w="50" w:type="dxa"/>
            </w:tcMar>
            <w:vAlign w:val="top"/>
          </w:tcPr>
          <w:p>
            <w:r>
              <w:rPr>
                <w:rFonts w:ascii="Noto Sans" w:hAnsi="Noto Sans"/>
                <w:color w:val="2C2C2E"/>
                <w:sz w:val="13"/>
              </w:rPr>
              <w:t>Wirkungsnachweiskonto je Tatbestand, ohne steuerartenübergreifende Moralbilanz</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10</w:t>
            </w:r>
          </w:p>
        </w:tc>
        <w:tc>
          <w:tcPr>
            <w:tcW w:type="dxa" w:w="4082"/>
            <w:tcMar>
              <w:top w:w="45" w:type="dxa"/>
              <w:start w:w="50" w:type="dxa"/>
              <w:bottom w:w="45" w:type="dxa"/>
              <w:end w:w="50" w:type="dxa"/>
            </w:tcMar>
            <w:vAlign w:val="top"/>
            <w:shd w:fill="FAF9F7"/>
          </w:tcPr>
          <w:p>
            <w:r>
              <w:rPr>
                <w:rFonts w:ascii="Noto Sans" w:hAnsi="Noto Sans"/>
                <w:color w:val="2C2C2E"/>
                <w:sz w:val="13"/>
              </w:rPr>
              <w:t>Art. 20a GG als Universalbegründung</w:t>
            </w:r>
          </w:p>
        </w:tc>
        <w:tc>
          <w:tcPr>
            <w:tcW w:type="dxa" w:w="4762"/>
            <w:tcMar>
              <w:top w:w="45" w:type="dxa"/>
              <w:start w:w="50" w:type="dxa"/>
              <w:bottom w:w="45" w:type="dxa"/>
              <w:end w:w="50" w:type="dxa"/>
            </w:tcMar>
            <w:vAlign w:val="top"/>
            <w:shd w:fill="FAF9F7"/>
          </w:tcPr>
          <w:p>
            <w:r>
              <w:rPr>
                <w:rFonts w:ascii="Noto Sans" w:hAnsi="Noto Sans"/>
                <w:color w:val="2C2C2E"/>
                <w:sz w:val="13"/>
              </w:rPr>
              <w:t>Mehrschichtige Verfassungsprüfung: Art. 3, 12, 14, 19(4), 20a, Kompetenzordnung u. a.</w:t>
            </w:r>
          </w:p>
        </w:tc>
      </w:tr>
      <w:tr>
        <w:trPr>
          <w:cantSplit/>
        </w:trPr>
        <w:tc>
          <w:tcPr>
            <w:tcW w:type="dxa" w:w="567"/>
            <w:tcMar>
              <w:top w:w="45" w:type="dxa"/>
              <w:start w:w="50" w:type="dxa"/>
              <w:bottom w:w="45" w:type="dxa"/>
              <w:end w:w="50" w:type="dxa"/>
            </w:tcMar>
            <w:vAlign w:val="top"/>
          </w:tcPr>
          <w:p>
            <w:r>
              <w:rPr>
                <w:rFonts w:ascii="Noto Sans" w:hAnsi="Noto Sans"/>
                <w:color w:val="2C2C2E"/>
                <w:sz w:val="13"/>
              </w:rPr>
              <w:t>11</w:t>
            </w:r>
          </w:p>
        </w:tc>
        <w:tc>
          <w:tcPr>
            <w:tcW w:type="dxa" w:w="4082"/>
            <w:tcMar>
              <w:top w:w="45" w:type="dxa"/>
              <w:start w:w="50" w:type="dxa"/>
              <w:bottom w:w="45" w:type="dxa"/>
              <w:end w:w="50" w:type="dxa"/>
            </w:tcMar>
            <w:vAlign w:val="top"/>
          </w:tcPr>
          <w:p>
            <w:r>
              <w:rPr>
                <w:rFonts w:ascii="Noto Sans" w:hAnsi="Noto Sans"/>
                <w:color w:val="2C2C2E"/>
                <w:sz w:val="13"/>
              </w:rPr>
              <w:t>Freie nationale Umsatzsteuersätze 0/5/10/15/25</w:t>
            </w:r>
          </w:p>
        </w:tc>
        <w:tc>
          <w:tcPr>
            <w:tcW w:type="dxa" w:w="4762"/>
            <w:tcMar>
              <w:top w:w="45" w:type="dxa"/>
              <w:start w:w="50" w:type="dxa"/>
              <w:bottom w:w="45" w:type="dxa"/>
              <w:end w:w="50" w:type="dxa"/>
            </w:tcMar>
            <w:vAlign w:val="top"/>
          </w:tcPr>
          <w:p>
            <w:r>
              <w:rPr>
                <w:rFonts w:ascii="Noto Sans" w:hAnsi="Noto Sans"/>
                <w:color w:val="2C2C2E"/>
                <w:sz w:val="13"/>
              </w:rPr>
              <w:t>EU-Mehrwertsteuerrecht beachten; Zwei-Geschwindigkeiten-Pfad</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12</w:t>
            </w:r>
          </w:p>
        </w:tc>
        <w:tc>
          <w:tcPr>
            <w:tcW w:type="dxa" w:w="4082"/>
            <w:tcMar>
              <w:top w:w="45" w:type="dxa"/>
              <w:start w:w="50" w:type="dxa"/>
              <w:bottom w:w="45" w:type="dxa"/>
              <w:end w:w="50" w:type="dxa"/>
            </w:tcMar>
            <w:vAlign w:val="top"/>
            <w:shd w:fill="FAF9F7"/>
          </w:tcPr>
          <w:p>
            <w:r>
              <w:rPr>
                <w:rFonts w:ascii="Noto Sans" w:hAnsi="Noto Sans"/>
                <w:color w:val="2C2C2E"/>
                <w:sz w:val="13"/>
              </w:rPr>
              <w:t>Jede negative Wirkung zusätzlich bepreisen</w:t>
            </w:r>
          </w:p>
        </w:tc>
        <w:tc>
          <w:tcPr>
            <w:tcW w:type="dxa" w:w="4762"/>
            <w:tcMar>
              <w:top w:w="45" w:type="dxa"/>
              <w:start w:w="50" w:type="dxa"/>
              <w:bottom w:w="45" w:type="dxa"/>
              <w:end w:w="50" w:type="dxa"/>
            </w:tcMar>
            <w:vAlign w:val="top"/>
            <w:shd w:fill="FAF9F7"/>
          </w:tcPr>
          <w:p>
            <w:r>
              <w:rPr>
                <w:rFonts w:ascii="Noto Sans" w:hAnsi="Noto Sans"/>
                <w:color w:val="2C2C2E"/>
                <w:sz w:val="13"/>
              </w:rPr>
              <w:t>Doppelbepreisung, Interaktion mit ETS/CBAM/Energie- und Verbrauchsteuern prüfen</w:t>
            </w:r>
          </w:p>
        </w:tc>
      </w:tr>
      <w:tr>
        <w:trPr>
          <w:cantSplit/>
        </w:trPr>
        <w:tc>
          <w:tcPr>
            <w:tcW w:type="dxa" w:w="567"/>
            <w:tcMar>
              <w:top w:w="45" w:type="dxa"/>
              <w:start w:w="50" w:type="dxa"/>
              <w:bottom w:w="45" w:type="dxa"/>
              <w:end w:w="50" w:type="dxa"/>
            </w:tcMar>
            <w:vAlign w:val="top"/>
          </w:tcPr>
          <w:p>
            <w:r>
              <w:rPr>
                <w:rFonts w:ascii="Noto Sans" w:hAnsi="Noto Sans"/>
                <w:color w:val="2C2C2E"/>
                <w:sz w:val="13"/>
              </w:rPr>
              <w:t>13</w:t>
            </w:r>
          </w:p>
        </w:tc>
        <w:tc>
          <w:tcPr>
            <w:tcW w:type="dxa" w:w="4082"/>
            <w:tcMar>
              <w:top w:w="45" w:type="dxa"/>
              <w:start w:w="50" w:type="dxa"/>
              <w:bottom w:w="45" w:type="dxa"/>
              <w:end w:w="50" w:type="dxa"/>
            </w:tcMar>
            <w:vAlign w:val="top"/>
          </w:tcPr>
          <w:p>
            <w:r>
              <w:rPr>
                <w:rFonts w:ascii="Noto Sans" w:hAnsi="Noto Sans"/>
                <w:color w:val="2C2C2E"/>
                <w:sz w:val="13"/>
              </w:rPr>
              <w:t>Haushaltsneutralität als Dauerprinzip</w:t>
            </w:r>
          </w:p>
        </w:tc>
        <w:tc>
          <w:tcPr>
            <w:tcW w:type="dxa" w:w="4762"/>
            <w:tcMar>
              <w:top w:w="45" w:type="dxa"/>
              <w:start w:w="50" w:type="dxa"/>
              <w:bottom w:w="45" w:type="dxa"/>
              <w:end w:w="50" w:type="dxa"/>
            </w:tcMar>
            <w:vAlign w:val="top"/>
          </w:tcPr>
          <w:p>
            <w:r>
              <w:rPr>
                <w:rFonts w:ascii="Noto Sans" w:hAnsi="Noto Sans"/>
                <w:color w:val="2C2C2E"/>
                <w:sz w:val="13"/>
              </w:rPr>
              <w:t>Einführungskorridor; spätere demokratische Neuentscheidung möglich</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14</w:t>
            </w:r>
          </w:p>
        </w:tc>
        <w:tc>
          <w:tcPr>
            <w:tcW w:type="dxa" w:w="4082"/>
            <w:tcMar>
              <w:top w:w="45" w:type="dxa"/>
              <w:start w:w="50" w:type="dxa"/>
              <w:bottom w:w="45" w:type="dxa"/>
              <w:end w:w="50" w:type="dxa"/>
            </w:tcMar>
            <w:vAlign w:val="top"/>
            <w:shd w:fill="FAF9F7"/>
          </w:tcPr>
          <w:p>
            <w:r>
              <w:rPr>
                <w:rFonts w:ascii="Noto Sans" w:hAnsi="Noto Sans"/>
                <w:color w:val="2C2C2E"/>
                <w:sz w:val="13"/>
              </w:rPr>
              <w:t>Einheitliche Datenpflicht für alle</w:t>
            </w:r>
          </w:p>
        </w:tc>
        <w:tc>
          <w:tcPr>
            <w:tcW w:type="dxa" w:w="4762"/>
            <w:tcMar>
              <w:top w:w="45" w:type="dxa"/>
              <w:start w:w="50" w:type="dxa"/>
              <w:bottom w:w="45" w:type="dxa"/>
              <w:end w:w="50" w:type="dxa"/>
            </w:tcMar>
            <w:vAlign w:val="top"/>
            <w:shd w:fill="FAF9F7"/>
          </w:tcPr>
          <w:p>
            <w:r>
              <w:rPr>
                <w:rFonts w:ascii="Noto Sans" w:hAnsi="Noto Sans"/>
                <w:color w:val="2C2C2E"/>
                <w:sz w:val="13"/>
              </w:rPr>
              <w:t>Materialität, KMU-Safe-Harbours, Branchenstandardwerte und abgestufte Assurance</w:t>
            </w:r>
          </w:p>
        </w:tc>
      </w:tr>
      <w:tr>
        <w:trPr>
          <w:cantSplit/>
        </w:trPr>
        <w:tc>
          <w:tcPr>
            <w:tcW w:type="dxa" w:w="567"/>
            <w:tcMar>
              <w:top w:w="45" w:type="dxa"/>
              <w:start w:w="50" w:type="dxa"/>
              <w:bottom w:w="45" w:type="dxa"/>
              <w:end w:w="50" w:type="dxa"/>
            </w:tcMar>
            <w:vAlign w:val="top"/>
          </w:tcPr>
          <w:p>
            <w:r>
              <w:rPr>
                <w:rFonts w:ascii="Noto Sans" w:hAnsi="Noto Sans"/>
                <w:color w:val="2C2C2E"/>
                <w:sz w:val="13"/>
              </w:rPr>
              <w:t>15</w:t>
            </w:r>
          </w:p>
        </w:tc>
        <w:tc>
          <w:tcPr>
            <w:tcW w:type="dxa" w:w="4082"/>
            <w:tcMar>
              <w:top w:w="45" w:type="dxa"/>
              <w:start w:w="50" w:type="dxa"/>
              <w:bottom w:w="45" w:type="dxa"/>
              <w:end w:w="50" w:type="dxa"/>
            </w:tcMar>
            <w:vAlign w:val="top"/>
          </w:tcPr>
          <w:p>
            <w:r>
              <w:rPr>
                <w:rFonts w:ascii="Noto Sans" w:hAnsi="Noto Sans"/>
                <w:color w:val="2C2C2E"/>
                <w:sz w:val="13"/>
              </w:rPr>
              <w:t>Jede Steuer muss wirkungsbezogen werden</w:t>
            </w:r>
          </w:p>
        </w:tc>
        <w:tc>
          <w:tcPr>
            <w:tcW w:type="dxa" w:w="4762"/>
            <w:tcMar>
              <w:top w:w="45" w:type="dxa"/>
              <w:start w:w="50" w:type="dxa"/>
              <w:bottom w:w="45" w:type="dxa"/>
              <w:end w:w="50" w:type="dxa"/>
            </w:tcMar>
            <w:vAlign w:val="top"/>
          </w:tcPr>
          <w:p>
            <w:r>
              <w:rPr>
                <w:rFonts w:ascii="Noto Sans" w:hAnsi="Noto Sans"/>
                <w:color w:val="2C2C2E"/>
                <w:sz w:val="13"/>
              </w:rPr>
              <w:t>Low-fit-Steuern bewusst schlank lassen</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16</w:t>
            </w:r>
          </w:p>
        </w:tc>
        <w:tc>
          <w:tcPr>
            <w:tcW w:type="dxa" w:w="4082"/>
            <w:tcMar>
              <w:top w:w="45" w:type="dxa"/>
              <w:start w:w="50" w:type="dxa"/>
              <w:bottom w:w="45" w:type="dxa"/>
              <w:end w:w="50" w:type="dxa"/>
            </w:tcMar>
            <w:vAlign w:val="top"/>
            <w:shd w:fill="FAF9F7"/>
          </w:tcPr>
          <w:p>
            <w:r>
              <w:rPr>
                <w:rFonts w:ascii="Noto Sans" w:hAnsi="Noto Sans"/>
                <w:color w:val="2C2C2E"/>
                <w:sz w:val="13"/>
              </w:rPr>
              <w:t>Steuer als alleinige Rückkopplung</w:t>
            </w:r>
          </w:p>
        </w:tc>
        <w:tc>
          <w:tcPr>
            <w:tcW w:type="dxa" w:w="4762"/>
            <w:tcMar>
              <w:top w:w="45" w:type="dxa"/>
              <w:start w:w="50" w:type="dxa"/>
              <w:bottom w:w="45" w:type="dxa"/>
              <w:end w:w="50" w:type="dxa"/>
            </w:tcMar>
            <w:vAlign w:val="top"/>
            <w:shd w:fill="FAF9F7"/>
          </w:tcPr>
          <w:p>
            <w:r>
              <w:rPr>
                <w:rFonts w:ascii="Noto Sans" w:hAnsi="Noto Sans"/>
                <w:color w:val="2C2C2E"/>
                <w:sz w:val="13"/>
              </w:rPr>
              <w:t>Steuern mit Beschaffung, Förderung, Gebühren, Haushalt, Kapital und Versicherung verzahnen</w:t>
            </w:r>
          </w:p>
        </w:tc>
      </w:tr>
      <w:tr>
        <w:trPr>
          <w:cantSplit/>
        </w:trPr>
        <w:tc>
          <w:tcPr>
            <w:tcW w:type="dxa" w:w="567"/>
            <w:tcMar>
              <w:top w:w="45" w:type="dxa"/>
              <w:start w:w="50" w:type="dxa"/>
              <w:bottom w:w="45" w:type="dxa"/>
              <w:end w:w="50" w:type="dxa"/>
            </w:tcMar>
            <w:vAlign w:val="top"/>
          </w:tcPr>
          <w:p>
            <w:r>
              <w:rPr>
                <w:rFonts w:ascii="Noto Sans" w:hAnsi="Noto Sans"/>
                <w:color w:val="2C2C2E"/>
                <w:sz w:val="13"/>
              </w:rPr>
              <w:t>17</w:t>
            </w:r>
          </w:p>
        </w:tc>
        <w:tc>
          <w:tcPr>
            <w:tcW w:type="dxa" w:w="4082"/>
            <w:tcMar>
              <w:top w:w="45" w:type="dxa"/>
              <w:start w:w="50" w:type="dxa"/>
              <w:bottom w:w="45" w:type="dxa"/>
              <w:end w:w="50" w:type="dxa"/>
            </w:tcMar>
            <w:vAlign w:val="top"/>
          </w:tcPr>
          <w:p>
            <w:r>
              <w:rPr>
                <w:rFonts w:ascii="Noto Sans" w:hAnsi="Noto Sans"/>
                <w:color w:val="2C2C2E"/>
                <w:sz w:val="13"/>
              </w:rPr>
              <w:t>Frühe Punktgenauigkeit suggeriert Reife</w:t>
            </w:r>
          </w:p>
        </w:tc>
        <w:tc>
          <w:tcPr>
            <w:tcW w:type="dxa" w:w="4762"/>
            <w:tcMar>
              <w:top w:w="45" w:type="dxa"/>
              <w:start w:w="50" w:type="dxa"/>
              <w:bottom w:w="45" w:type="dxa"/>
              <w:end w:w="50" w:type="dxa"/>
            </w:tcMar>
            <w:vAlign w:val="top"/>
          </w:tcPr>
          <w:p>
            <w:r>
              <w:rPr>
                <w:rFonts w:ascii="Noto Sans" w:hAnsi="Noto Sans"/>
                <w:color w:val="2C2C2E"/>
                <w:sz w:val="13"/>
              </w:rPr>
              <w:t>Pilotdaten, aktive Benchmarks, Evidenzgrad und offene Grenzen sichtbar machen</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18</w:t>
            </w:r>
          </w:p>
        </w:tc>
        <w:tc>
          <w:tcPr>
            <w:tcW w:type="dxa" w:w="4082"/>
            <w:tcMar>
              <w:top w:w="45" w:type="dxa"/>
              <w:start w:w="50" w:type="dxa"/>
              <w:bottom w:w="45" w:type="dxa"/>
              <w:end w:w="50" w:type="dxa"/>
            </w:tcMar>
            <w:vAlign w:val="top"/>
            <w:shd w:fill="FAF9F7"/>
          </w:tcPr>
          <w:p>
            <w:r>
              <w:rPr>
                <w:rFonts w:ascii="Noto Sans" w:hAnsi="Noto Sans"/>
                <w:color w:val="2C2C2E"/>
                <w:sz w:val="13"/>
              </w:rPr>
              <w:t>Rechtsschutz als Nachsatz</w:t>
            </w:r>
          </w:p>
        </w:tc>
        <w:tc>
          <w:tcPr>
            <w:tcW w:type="dxa" w:w="4762"/>
            <w:tcMar>
              <w:top w:w="45" w:type="dxa"/>
              <w:start w:w="50" w:type="dxa"/>
              <w:bottom w:w="45" w:type="dxa"/>
              <w:end w:w="50" w:type="dxa"/>
            </w:tcMar>
            <w:vAlign w:val="top"/>
            <w:shd w:fill="FAF9F7"/>
          </w:tcPr>
          <w:p>
            <w:r>
              <w:rPr>
                <w:rFonts w:ascii="Noto Sans" w:hAnsi="Noto Sans"/>
                <w:color w:val="2C2C2E"/>
                <w:sz w:val="13"/>
              </w:rPr>
              <w:t>Begründung, Einspruch, Korrektur, Datenschutz und gerichtlicher Rechtsschutz als Kerndesign</w:t>
            </w:r>
          </w:p>
        </w:tc>
      </w:tr>
    </w:tbl>
    <w:p>
      <w:r>
        <w:br w:type="page"/>
      </w:r>
    </w:p>
    <w:p>
      <w:pPr>
        <w:pStyle w:val="Heading1"/>
      </w:pPr>
      <w:r>
        <w:t>TEIL A – Wirkungssteuer als Systemarchitektur</w:t>
      </w:r>
    </w:p>
    <w:p>
      <w:pPr>
        <w:pStyle w:val="Heading2"/>
      </w:pPr>
      <w:r>
        <w:t>1. Warum Steuerwirkung überhaupt neu gedacht werden muss</w:t>
      </w:r>
    </w:p>
    <w:p>
      <w:r>
        <w:rPr>
          <w:rFonts w:ascii="Noto Sans" w:hAnsi="Noto Sans"/>
        </w:rPr>
        <w:t>Das bestehende Steuersystem sieht Geldflüsse sehr präzise: Einkommen, Umsätze, Gewinne, Konsum, Eigentum, Erwerbsvorgänge, Energie, Fahrzeuge und zahlreiche besondere Verbrauchstatbestände. Es sieht die reale Zustandsveränderung, die diesen Geldflüssen vorausgeht oder folgt, dagegen nur punktuell. Genau hier setzt die Wirkungsökonomie an. Sie will nicht die vorhandenen Steuerfunktionen löschen, sondern dort eine zusätzliche Rückkopplung einbauen, wo reale Schäden oder positive Systemleistungen im bisherigen Signal fehlen. [I2][I3]</w:t>
      </w:r>
    </w:p>
    <w:p>
      <w:r>
        <w:rPr>
          <w:rFonts w:ascii="Noto Sans" w:hAnsi="Noto Sans"/>
        </w:rPr>
        <w:t>Das ist keine moralische Zusatzsteuer. Die Frage ist funktional: Welche wirtschaftliche Aktivität verändert welche Zustände? Welche dieser Veränderungen werden bereits über Marktpreis, Haftung, Regulierung, Emissionshandel oder bestehende Abgaben zurückgeführt? Welche bleiben externalisiert? Und welches Instrument ist für die verbleibende Lücke am geeignetsten?</w:t>
      </w:r>
    </w:p>
    <w:p>
      <w:r>
        <w:rPr>
          <w:rFonts w:ascii="Noto Sans" w:hAnsi="Noto Sans"/>
        </w:rPr>
        <w:t>Die Antwort kann eine Steuer sein, aber auch Beschaffung, Regulierung, Haftung, Förderung, Versicherung oder Kapitalanforderung. Wirkungsökonomie ist deshalb keine Steuerideologie. Sie ist eine Rückkopplungsarchitektur, in der das Steuerrecht dort eingesetzt wird, wo es tatsächlich trägt.</w:t>
      </w:r>
    </w:p>
    <w:p>
      <w:pPr>
        <w:pStyle w:val="Heading2"/>
      </w:pPr>
      <w:r>
        <w:t>2. Die sechs Module der Wirkungsarchitektur im Steuerrecht</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1531"/>
            <w:shd w:fill="0B1020"/>
            <w:tcMar>
              <w:top w:w="55" w:type="dxa"/>
              <w:start w:w="55" w:type="dxa"/>
              <w:bottom w:w="55" w:type="dxa"/>
              <w:end w:w="55" w:type="dxa"/>
            </w:tcMar>
          </w:tcPr>
          <w:p>
            <w:r>
              <w:rPr>
                <w:rFonts w:ascii="Noto Sans" w:hAnsi="Noto Sans"/>
                <w:b/>
                <w:color w:val="FFFFFF"/>
                <w:sz w:val="14"/>
              </w:rPr>
              <w:t>Modul</w:t>
            </w:r>
          </w:p>
        </w:tc>
        <w:tc>
          <w:tcPr>
            <w:tcW w:type="dxa" w:w="3685"/>
            <w:shd w:fill="0B1020"/>
            <w:tcMar>
              <w:top w:w="55" w:type="dxa"/>
              <w:start w:w="55" w:type="dxa"/>
              <w:bottom w:w="55" w:type="dxa"/>
              <w:end w:w="55" w:type="dxa"/>
            </w:tcMar>
          </w:tcPr>
          <w:p>
            <w:r>
              <w:rPr>
                <w:rFonts w:ascii="Noto Sans" w:hAnsi="Noto Sans"/>
                <w:b/>
                <w:color w:val="FFFFFF"/>
                <w:sz w:val="14"/>
              </w:rPr>
              <w:t>WÖk-Frage</w:t>
            </w:r>
          </w:p>
        </w:tc>
        <w:tc>
          <w:tcPr>
            <w:tcW w:type="dxa" w:w="4195"/>
            <w:shd w:fill="0B1020"/>
            <w:tcMar>
              <w:top w:w="55" w:type="dxa"/>
              <w:start w:w="55" w:type="dxa"/>
              <w:bottom w:w="55" w:type="dxa"/>
              <w:end w:w="55" w:type="dxa"/>
            </w:tcMar>
          </w:tcPr>
          <w:p>
            <w:r>
              <w:rPr>
                <w:rFonts w:ascii="Noto Sans" w:hAnsi="Noto Sans"/>
                <w:b/>
                <w:color w:val="FFFFFF"/>
                <w:sz w:val="14"/>
              </w:rPr>
              <w:t>Steuerliche Übersetzung</w:t>
            </w:r>
          </w:p>
        </w:tc>
      </w:tr>
      <w:tr>
        <w:trPr>
          <w:cantSplit/>
        </w:trPr>
        <w:tc>
          <w:tcPr>
            <w:tcW w:type="dxa" w:w="1531"/>
            <w:tcMar>
              <w:top w:w="45" w:type="dxa"/>
              <w:start w:w="50" w:type="dxa"/>
              <w:bottom w:w="45" w:type="dxa"/>
              <w:end w:w="50" w:type="dxa"/>
            </w:tcMar>
            <w:vAlign w:val="top"/>
          </w:tcPr>
          <w:p>
            <w:r>
              <w:rPr>
                <w:rFonts w:ascii="Noto Sans" w:hAnsi="Noto Sans"/>
                <w:color w:val="2C2C2E"/>
                <w:sz w:val="14"/>
              </w:rPr>
              <w:t>A · Vorwirkung</w:t>
            </w:r>
          </w:p>
        </w:tc>
        <w:tc>
          <w:tcPr>
            <w:tcW w:type="dxa" w:w="3685"/>
            <w:tcMar>
              <w:top w:w="45" w:type="dxa"/>
              <w:start w:w="50" w:type="dxa"/>
              <w:bottom w:w="45" w:type="dxa"/>
              <w:end w:w="50" w:type="dxa"/>
            </w:tcMar>
            <w:vAlign w:val="top"/>
          </w:tcPr>
          <w:p>
            <w:r>
              <w:rPr>
                <w:rFonts w:ascii="Noto Sans" w:hAnsi="Noto Sans"/>
                <w:color w:val="2C2C2E"/>
                <w:sz w:val="14"/>
              </w:rPr>
              <w:t>Auslöser, Wirkungspotenzial, Wirkungsrisiko, Mechanismus, Annahmen</w:t>
            </w:r>
          </w:p>
        </w:tc>
        <w:tc>
          <w:tcPr>
            <w:tcW w:type="dxa" w:w="4195"/>
            <w:tcMar>
              <w:top w:w="45" w:type="dxa"/>
              <w:start w:w="50" w:type="dxa"/>
              <w:bottom w:w="45" w:type="dxa"/>
              <w:end w:w="50" w:type="dxa"/>
            </w:tcMar>
            <w:vAlign w:val="top"/>
          </w:tcPr>
          <w:p>
            <w:r>
              <w:rPr>
                <w:rFonts w:ascii="Noto Sans" w:hAnsi="Noto Sans"/>
                <w:color w:val="2C2C2E"/>
                <w:sz w:val="14"/>
              </w:rPr>
              <w:t>Ex-ante-Prüfung von Steuerdesign und Proxygrößen</w:t>
            </w:r>
          </w:p>
        </w:tc>
      </w:tr>
      <w:tr>
        <w:trPr>
          <w:cantSplit/>
        </w:trPr>
        <w:tc>
          <w:tcPr>
            <w:tcW w:type="dxa" w:w="1531"/>
            <w:tcMar>
              <w:top w:w="45" w:type="dxa"/>
              <w:start w:w="50" w:type="dxa"/>
              <w:bottom w:w="45" w:type="dxa"/>
              <w:end w:w="50" w:type="dxa"/>
            </w:tcMar>
            <w:vAlign w:val="top"/>
            <w:shd w:fill="FAF9F7"/>
          </w:tcPr>
          <w:p>
            <w:r>
              <w:rPr>
                <w:rFonts w:ascii="Noto Sans" w:hAnsi="Noto Sans"/>
                <w:color w:val="2C2C2E"/>
                <w:sz w:val="14"/>
              </w:rPr>
              <w:t>B · Ermittlung</w:t>
            </w:r>
          </w:p>
        </w:tc>
        <w:tc>
          <w:tcPr>
            <w:tcW w:type="dxa" w:w="3685"/>
            <w:tcMar>
              <w:top w:w="45" w:type="dxa"/>
              <w:start w:w="50" w:type="dxa"/>
              <w:bottom w:w="45" w:type="dxa"/>
              <w:end w:w="50" w:type="dxa"/>
            </w:tcMar>
            <w:vAlign w:val="top"/>
            <w:shd w:fill="FAF9F7"/>
          </w:tcPr>
          <w:p>
            <w:r>
              <w:rPr>
                <w:rFonts w:ascii="Noto Sans" w:hAnsi="Noto Sans"/>
                <w:color w:val="2C2C2E"/>
                <w:sz w:val="14"/>
              </w:rPr>
              <w:t>Output, Empfänger, Wirkungsraum, tatsächliche Zustandsveränderung</w:t>
            </w:r>
          </w:p>
        </w:tc>
        <w:tc>
          <w:tcPr>
            <w:tcW w:type="dxa" w:w="4195"/>
            <w:tcMar>
              <w:top w:w="45" w:type="dxa"/>
              <w:start w:w="50" w:type="dxa"/>
              <w:bottom w:w="45" w:type="dxa"/>
              <w:end w:w="50" w:type="dxa"/>
            </w:tcMar>
            <w:vAlign w:val="top"/>
            <w:shd w:fill="FAF9F7"/>
          </w:tcPr>
          <w:p>
            <w:r>
              <w:rPr>
                <w:rFonts w:ascii="Noto Sans" w:hAnsi="Noto Sans"/>
                <w:color w:val="2C2C2E"/>
                <w:sz w:val="14"/>
              </w:rPr>
              <w:t>Nachweis- und Datentatbestände</w:t>
            </w:r>
          </w:p>
        </w:tc>
      </w:tr>
      <w:tr>
        <w:trPr>
          <w:cantSplit/>
        </w:trPr>
        <w:tc>
          <w:tcPr>
            <w:tcW w:type="dxa" w:w="1531"/>
            <w:tcMar>
              <w:top w:w="45" w:type="dxa"/>
              <w:start w:w="50" w:type="dxa"/>
              <w:bottom w:w="45" w:type="dxa"/>
              <w:end w:w="50" w:type="dxa"/>
            </w:tcMar>
            <w:vAlign w:val="top"/>
          </w:tcPr>
          <w:p>
            <w:r>
              <w:rPr>
                <w:rFonts w:ascii="Noto Sans" w:hAnsi="Noto Sans"/>
                <w:color w:val="2C2C2E"/>
                <w:sz w:val="14"/>
              </w:rPr>
              <w:t>C · Evidenz/Zurechnung</w:t>
            </w:r>
          </w:p>
        </w:tc>
        <w:tc>
          <w:tcPr>
            <w:tcW w:type="dxa" w:w="3685"/>
            <w:tcMar>
              <w:top w:w="45" w:type="dxa"/>
              <w:start w:w="50" w:type="dxa"/>
              <w:bottom w:w="45" w:type="dxa"/>
              <w:end w:w="50" w:type="dxa"/>
            </w:tcMar>
            <w:vAlign w:val="top"/>
          </w:tcPr>
          <w:p>
            <w:r>
              <w:rPr>
                <w:rFonts w:ascii="Noto Sans" w:hAnsi="Noto Sans"/>
                <w:color w:val="2C2C2E"/>
                <w:sz w:val="14"/>
              </w:rPr>
              <w:t>Baseline, Gegenfaktum, Datenqualität, Beitrag, Unsicherheit</w:t>
            </w:r>
          </w:p>
        </w:tc>
        <w:tc>
          <w:tcPr>
            <w:tcW w:type="dxa" w:w="4195"/>
            <w:tcMar>
              <w:top w:w="45" w:type="dxa"/>
              <w:start w:w="50" w:type="dxa"/>
              <w:bottom w:w="45" w:type="dxa"/>
              <w:end w:w="50" w:type="dxa"/>
            </w:tcMar>
            <w:vAlign w:val="top"/>
          </w:tcPr>
          <w:p>
            <w:r>
              <w:rPr>
                <w:rFonts w:ascii="Noto Sans" w:hAnsi="Noto Sans"/>
                <w:color w:val="2C2C2E"/>
                <w:sz w:val="14"/>
              </w:rPr>
              <w:t>Assurance, Belegstufen, Prüfpfad</w:t>
            </w:r>
          </w:p>
        </w:tc>
      </w:tr>
      <w:tr>
        <w:trPr>
          <w:cantSplit/>
        </w:trPr>
        <w:tc>
          <w:tcPr>
            <w:tcW w:type="dxa" w:w="1531"/>
            <w:tcMar>
              <w:top w:w="45" w:type="dxa"/>
              <w:start w:w="50" w:type="dxa"/>
              <w:bottom w:w="45" w:type="dxa"/>
              <w:end w:w="50" w:type="dxa"/>
            </w:tcMar>
            <w:vAlign w:val="top"/>
            <w:shd w:fill="FAF9F7"/>
          </w:tcPr>
          <w:p>
            <w:r>
              <w:rPr>
                <w:rFonts w:ascii="Noto Sans" w:hAnsi="Noto Sans"/>
                <w:color w:val="2C2C2E"/>
                <w:sz w:val="14"/>
              </w:rPr>
              <w:t>D · Bewertung</w:t>
            </w:r>
          </w:p>
        </w:tc>
        <w:tc>
          <w:tcPr>
            <w:tcW w:type="dxa" w:w="3685"/>
            <w:tcMar>
              <w:top w:w="45" w:type="dxa"/>
              <w:start w:w="50" w:type="dxa"/>
              <w:bottom w:w="45" w:type="dxa"/>
              <w:end w:w="50" w:type="dxa"/>
            </w:tcMar>
            <w:vAlign w:val="top"/>
            <w:shd w:fill="FAF9F7"/>
          </w:tcPr>
          <w:p>
            <w:r>
              <w:rPr>
                <w:rFonts w:ascii="Noto Sans" w:hAnsi="Noto Sans"/>
                <w:color w:val="2C2C2E"/>
                <w:sz w:val="14"/>
              </w:rPr>
              <w:t>Referenzrahmen, Richtung, Verteilung, Zeit, Kontext</w:t>
            </w:r>
          </w:p>
        </w:tc>
        <w:tc>
          <w:tcPr>
            <w:tcW w:type="dxa" w:w="4195"/>
            <w:tcMar>
              <w:top w:w="45" w:type="dxa"/>
              <w:start w:w="50" w:type="dxa"/>
              <w:bottom w:w="45" w:type="dxa"/>
              <w:end w:w="50" w:type="dxa"/>
            </w:tcMar>
            <w:vAlign w:val="top"/>
            <w:shd w:fill="FAF9F7"/>
          </w:tcPr>
          <w:p>
            <w:r>
              <w:rPr>
                <w:rFonts w:ascii="Noto Sans" w:hAnsi="Noto Sans"/>
                <w:color w:val="2C2C2E"/>
                <w:sz w:val="14"/>
              </w:rPr>
              <w:t>gesetzlich legitimierte Rechtsfolge statt stiller Moralannahme</w:t>
            </w:r>
          </w:p>
        </w:tc>
      </w:tr>
      <w:tr>
        <w:trPr>
          <w:cantSplit/>
        </w:trPr>
        <w:tc>
          <w:tcPr>
            <w:tcW w:type="dxa" w:w="1531"/>
            <w:tcMar>
              <w:top w:w="45" w:type="dxa"/>
              <w:start w:w="50" w:type="dxa"/>
              <w:bottom w:w="45" w:type="dxa"/>
              <w:end w:w="50" w:type="dxa"/>
            </w:tcMar>
            <w:vAlign w:val="top"/>
          </w:tcPr>
          <w:p>
            <w:r>
              <w:rPr>
                <w:rFonts w:ascii="Noto Sans" w:hAnsi="Noto Sans"/>
                <w:color w:val="2C2C2E"/>
                <w:sz w:val="14"/>
              </w:rPr>
              <w:t>E · Schutz/System</w:t>
            </w:r>
          </w:p>
        </w:tc>
        <w:tc>
          <w:tcPr>
            <w:tcW w:type="dxa" w:w="3685"/>
            <w:tcMar>
              <w:top w:w="45" w:type="dxa"/>
              <w:start w:w="50" w:type="dxa"/>
              <w:bottom w:w="45" w:type="dxa"/>
              <w:end w:w="50" w:type="dxa"/>
            </w:tcMar>
            <w:vAlign w:val="top"/>
          </w:tcPr>
          <w:p>
            <w:r>
              <w:rPr>
                <w:rFonts w:ascii="Noto Sans" w:hAnsi="Noto Sans"/>
                <w:color w:val="2C2C2E"/>
                <w:sz w:val="14"/>
              </w:rPr>
              <w:t>Wirkungsgrenzen, Nichtkompensation, RMO, Rebound, Leakage, Resilienz</w:t>
            </w:r>
          </w:p>
        </w:tc>
        <w:tc>
          <w:tcPr>
            <w:tcW w:type="dxa" w:w="4195"/>
            <w:tcMar>
              <w:top w:w="45" w:type="dxa"/>
              <w:start w:w="50" w:type="dxa"/>
              <w:bottom w:w="45" w:type="dxa"/>
              <w:end w:w="50" w:type="dxa"/>
            </w:tcMar>
            <w:vAlign w:val="top"/>
          </w:tcPr>
          <w:p>
            <w:r>
              <w:rPr>
                <w:rFonts w:ascii="Noto Sans" w:hAnsi="Noto Sans"/>
                <w:color w:val="2C2C2E"/>
                <w:sz w:val="14"/>
              </w:rPr>
              <w:t>Sperren, Kappungen, Ausschlüsse, Systemprüfung</w:t>
            </w:r>
          </w:p>
        </w:tc>
      </w:tr>
      <w:tr>
        <w:trPr>
          <w:cantSplit/>
        </w:trPr>
        <w:tc>
          <w:tcPr>
            <w:tcW w:type="dxa" w:w="1531"/>
            <w:tcMar>
              <w:top w:w="45" w:type="dxa"/>
              <w:start w:w="50" w:type="dxa"/>
              <w:bottom w:w="45" w:type="dxa"/>
              <w:end w:w="50" w:type="dxa"/>
            </w:tcMar>
            <w:vAlign w:val="top"/>
            <w:shd w:fill="FAF9F7"/>
          </w:tcPr>
          <w:p>
            <w:r>
              <w:rPr>
                <w:rFonts w:ascii="Noto Sans" w:hAnsi="Noto Sans"/>
                <w:color w:val="2C2C2E"/>
                <w:sz w:val="14"/>
              </w:rPr>
              <w:t>F · Rückkopplung/Lernen</w:t>
            </w:r>
          </w:p>
        </w:tc>
        <w:tc>
          <w:tcPr>
            <w:tcW w:type="dxa" w:w="3685"/>
            <w:tcMar>
              <w:top w:w="45" w:type="dxa"/>
              <w:start w:w="50" w:type="dxa"/>
              <w:bottom w:w="45" w:type="dxa"/>
              <w:end w:w="50" w:type="dxa"/>
            </w:tcMar>
            <w:vAlign w:val="top"/>
            <w:shd w:fill="FAF9F7"/>
          </w:tcPr>
          <w:p>
            <w:r>
              <w:rPr>
                <w:rFonts w:ascii="Noto Sans" w:hAnsi="Noto Sans"/>
                <w:color w:val="2C2C2E"/>
                <w:sz w:val="14"/>
              </w:rPr>
              <w:t>Preis, Steuer, Förderung, Beschaffung, Monitoring, Evaluation</w:t>
            </w:r>
          </w:p>
        </w:tc>
        <w:tc>
          <w:tcPr>
            <w:tcW w:type="dxa" w:w="4195"/>
            <w:tcMar>
              <w:top w:w="45" w:type="dxa"/>
              <w:start w:w="50" w:type="dxa"/>
              <w:bottom w:w="45" w:type="dxa"/>
              <w:end w:w="50" w:type="dxa"/>
            </w:tcMar>
            <w:vAlign w:val="top"/>
            <w:shd w:fill="FAF9F7"/>
          </w:tcPr>
          <w:p>
            <w:r>
              <w:rPr>
                <w:rFonts w:ascii="Noto Sans" w:hAnsi="Noto Sans"/>
                <w:color w:val="2C2C2E"/>
                <w:sz w:val="14"/>
              </w:rPr>
              <w:t>steuerliche Rechtsfolge plus Lern- und Anpassungsklausel</w:t>
            </w:r>
          </w:p>
        </w:tc>
      </w:tr>
    </w:tbl>
    <w:p>
      <w:pPr>
        <w:pStyle w:val="Heading2"/>
      </w:pPr>
      <w:r>
        <w:t>3. Der normative Rahmen: MPD, SDGs, SDG+ und Recht</w:t>
      </w:r>
    </w:p>
    <w:p>
      <w:r>
        <w:rPr>
          <w:rFonts w:ascii="Noto Sans" w:hAnsi="Noto Sans"/>
        </w:rPr>
        <w:t>Mensch, Planet und Demokratie bilden den gekoppelten normativen Kern der WÖk. Die SDGs und die Agenda 2030 sind ein internationaler Ziel- und Bezugsrahmen; SDG+ ist eine transparente WÖk-Erweiterung und keine offizielle UN-Kategorie. Geltendes Recht, Grundrechte, Fachrecht und technische Grenzwerte bleiben eine eigene Normebene. [I4][I5]</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9B3C"/>
              <w:top w:val="nil"/>
              <w:right w:val="nil"/>
              <w:bottom w:val="nil"/>
            </w:tcBorders>
          </w:tcPr>
          <w:p>
            <w:r>
              <w:rPr>
                <w:rFonts w:ascii="Noto Sans" w:hAnsi="Noto Sans"/>
                <w:b/>
                <w:color w:val="C89B3C"/>
                <w:sz w:val="17"/>
              </w:rPr>
              <w:t>Rechtsstaatliche Leitplanke</w:t>
            </w:r>
          </w:p>
          <w:p>
            <w:pPr>
              <w:pStyle w:val="Callout"/>
            </w:pPr>
            <w:r>
              <w:rPr>
                <w:rFonts w:ascii="Noto Sans" w:hAnsi="Noto Sans"/>
                <w:color w:val="2C2C2E"/>
                <w:sz w:val="18"/>
              </w:rPr>
              <w:t>Eine Steuer kann nicht allein deshalb erhoben oder abgesenkt werden, weil ein WÖk-Score dies nahelegt. Steuergegenstand, Tatbestand, Bemessungsgrundlage, Belastungsgrund, Gleichbehandlung und Rechtsfolge müssen gesetzlich bestimmt und rechtlich überprüfbar sein.</w:t>
            </w:r>
          </w:p>
        </w:tc>
      </w:tr>
    </w:tbl>
    <w:p>
      <w:pPr>
        <w:spacing w:after="0"/>
      </w:pPr>
    </w:p>
    <w:p>
      <w:pPr>
        <w:pStyle w:val="Heading2"/>
      </w:pPr>
      <w:r>
        <w:t>4. Wirkungsgrenzen, Nichtkompensation und Reverse Merit Order</w:t>
      </w:r>
    </w:p>
    <w:p>
      <w:r>
        <w:rPr>
          <w:rFonts w:ascii="Noto Sans" w:hAnsi="Noto Sans"/>
        </w:rPr>
        <w:t>Die Nichtkompensation schützt vor Ablasslogik: Schwere oder grenzverletzende Schäden dürfen nicht durch gute Werte an anderer Stelle neutralisiert werden. Die Reverse Merit Order ist eine mögliche Bewertungslogik, mit der das kritischste zentrale Wirkungsfeld eine Gesamtbewertung begrenzt. Sie ist kein universeller Automatismus. Materialität, Rechtsstatus und Schutzgut bestimmen, wann ein negatives Feld eine steuerliche Entlastung sperrt. [I4][I6]</w:t>
      </w:r>
    </w:p>
    <w:p>
      <w:r>
        <w:rPr>
          <w:rFonts w:ascii="Noto Sans" w:hAnsi="Noto Sans"/>
        </w:rPr>
        <w:t>Steuerlich bedeutet das vor allem: Eine Begünstigung kann ausgeschlossen werden, wenn eine definierte rote Linie verletzt wird. Das ist rechtsklarer als ein universeller Durchschnittsscore, der beispielsweise eine schwere Menschenrechtsverletzung mit einer guten Klimabilanz verrechnet.</w:t>
      </w:r>
    </w:p>
    <w:p>
      <w:pPr>
        <w:pStyle w:val="Heading2"/>
      </w:pPr>
      <w:r>
        <w:t>5. Der neue Kernmechanismus</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2F7D5C"/>
              <w:top w:val="nil"/>
              <w:right w:val="nil"/>
              <w:bottom w:val="nil"/>
            </w:tcBorders>
          </w:tcPr>
          <w:p>
            <w:r>
              <w:rPr>
                <w:rFonts w:ascii="Noto Sans" w:hAnsi="Noto Sans"/>
                <w:b/>
                <w:color w:val="2F7D5C"/>
                <w:sz w:val="17"/>
              </w:rPr>
              <w:t>Formel</w:t>
            </w:r>
          </w:p>
          <w:p>
            <w:pPr>
              <w:pStyle w:val="Callout"/>
            </w:pPr>
            <w:r>
              <w:rPr>
                <w:rFonts w:ascii="Noto Sans" w:hAnsi="Noto Sans"/>
                <w:color w:val="2C2C2E"/>
                <w:sz w:val="18"/>
              </w:rPr>
              <w:t>Steuerbetrag = reguläre Steuer nach geltendem Einzelsteuergesetz ± gesetzlich definierte Wirkungsmodifikation. Die Wirkungsmodifikation entsteht nicht aus einem allgemeinen Score, sondern aus einem konkreten steuerlichen Tatbestand.</w:t>
            </w:r>
          </w:p>
        </w:tc>
      </w:tr>
    </w:tbl>
    <w:p>
      <w:pPr>
        <w:spacing w:after="0"/>
      </w:pPr>
    </w:p>
    <w:p>
      <w:r>
        <w:rPr>
          <w:rFonts w:ascii="Noto Sans" w:hAnsi="Noto Sans"/>
        </w:rPr>
        <w:t>Das WStG 3.0 schafft dafür die gemeinsame Sprache, Daten- und Governancebasis. Die materiellen Rechtsfolgen entstehen in Einzelmodulen. Ein Modul kann beispielsweise einen CO₂- oder Ressourcenparameter, eine Reparierbarkeitsklasse, einen objektiven Präventionsaufwand, eine nachgewiesene Kreislauffähigkeit oder eine definierte Schutzgrenzverletzung aufgreifen. Der Gesetzgeber entscheidet, ob daraus ein Zuschlag, Abzug, Freibetrag, Tarifkorridor, Förderzugang oder eine andere Rechtsfolge wird.</w:t>
      </w:r>
    </w:p>
    <w:p>
      <w:pPr>
        <w:pStyle w:val="Heading2"/>
      </w:pPr>
      <w:r>
        <w:t>6. Haushaltsneutralität und fiskalische Robustheit</w:t>
      </w:r>
    </w:p>
    <w:p>
      <w:r>
        <w:rPr>
          <w:rFonts w:ascii="Noto Sans" w:hAnsi="Noto Sans"/>
        </w:rPr>
        <w:t>Für die Einführung bleibt eine weitgehend haushaltsneutrale Kalibrierung sinnvoll: Die Reform soll zunächst die Richtung der Signale ändern, nicht über einen pauschalen Einnahmenanstieg überzeugen. Haushaltsneutralität ist jedoch keine mathematische Garantie für jede Periode und kein ewiges Dogma. Verhaltensänderungen, Bemessungsgrundlagen, Konjunktur und strukturelle Transformation verändern das Aufkommen. Deshalb braucht es Korridore, Monitoring und regelmäßige demokratische Rekalibrierung.</w:t>
      </w:r>
    </w:p>
    <w:p>
      <w:r>
        <w:rPr>
          <w:rFonts w:ascii="Noto Sans" w:hAnsi="Noto Sans"/>
        </w:rPr>
        <w:t>Die fiskalische Stabilität einzelner Ebenen muss separat betrachtet werden. Bei der Gewerbesteuer ist kommunale Planbarkeit ein anderes Schutzgut als beim Bund. Bei Umsatz- und Einkommensteuer sind Verteilungswirkungen zwischen Bund, Ländern und Gemeinden zu berücksichtigen. Wirkung darf nicht dazu führen, dass zentrale öffentliche Funktionen unfinanzierbar werden.</w:t>
      </w:r>
    </w:p>
    <w:p>
      <w:pPr>
        <w:pStyle w:val="Heading2"/>
      </w:pPr>
      <w:r>
        <w:t>7. Freiheit, Markt und Verteilung</w:t>
      </w:r>
    </w:p>
    <w:p>
      <w:r>
        <w:rPr>
          <w:rFonts w:ascii="Noto Sans" w:hAnsi="Noto Sans"/>
        </w:rPr>
        <w:t>Wirkungssteuerung ersetzt keine dezentrale Entscheidung. Sie verändert Signale, wenn Marktpreise relevante Wirkungen systematisch ausblenden. Verbraucherinnen und Verbraucher sollen nicht selbst globale Lieferketten rekonstruieren müssen. Unternehmen sollen nicht für jedes Produkt eine private Moral erfinden müssen. Der Staat soll transparente Regeln bereitstellen, nach denen relevante Wirkungsdaten in gesetzlich bestimmte Folgen übersetzt werden.</w:t>
      </w:r>
    </w:p>
    <w:p>
      <w:r>
        <w:rPr>
          <w:rFonts w:ascii="Noto Sans" w:hAnsi="Noto Sans"/>
        </w:rPr>
        <w:t>Soziale Verteilungswirkungen sind eigenständig zu prüfen. Ein ökologisch sinnvolles Preissignal kann regressiv wirken. Die Lösung besteht nicht darin, das Wirkungsproblem unsichtbar zu lassen, sondern Rückverteilung, Grundversorgung, Härtefallregeln oder pauschale Entlastungen so zu gestalten, dass der Lenkungsimpuls erhalten und soziale Überforderung vermieden wird.</w:t>
      </w:r>
    </w:p>
    <w:p>
      <w:pPr>
        <w:pStyle w:val="Heading2"/>
      </w:pPr>
      <w:r>
        <w:t>8. Europäische und internationale Realität</w:t>
      </w:r>
    </w:p>
    <w:p>
      <w:r>
        <w:rPr>
          <w:rFonts w:ascii="Noto Sans" w:hAnsi="Noto Sans"/>
        </w:rPr>
        <w:t>Besonders die Umsatzsteuer zeigt, warum WStG 3.0 modular sein muss. Die Mehrwertsteuer ist unionsrechtlich stark harmonisiert; Mitgliedstaaten können reduzierte, superreduzierte oder Nullsätze nur innerhalb des europäischen Rahmens anwenden. Eine universelle nationale 0/5/10/15/25-Productrate für beliebige Produktgruppen wäre daher kein seriöser unmittelbarer Einführungspfad. [E12]</w:t>
      </w:r>
    </w:p>
    <w:p>
      <w:r>
        <w:rPr>
          <w:rFonts w:ascii="Noto Sans" w:hAnsi="Noto Sans"/>
        </w:rPr>
        <w:t>Für die kurze und mittlere Frist setzt die Wirkungssteuer deshalb dort an, wo nationale oder europäische Kompetenzen bereits tragfähige Instrumente erlauben: Verbrauchsteuern, Energie- und Verkehrstatbestände, kommunale Aufwand- und Verbrauchsteuern, objektive Abzüge und Förderlogiken, produktbezogene Abgaben sowie europäische Weiterentwicklung. Langfristig kann eine wirkungsdifferenzierte Mehrwertsteuer ein EU-Reformprojekt sein.</w:t>
      </w:r>
    </w:p>
    <w:p>
      <w:r>
        <w:rPr>
          <w:rFonts w:ascii="Noto Sans" w:hAnsi="Noto Sans"/>
        </w:rPr>
        <w:t>Der digitale Produktpass nach der ESPR schafft zugleich eine wichtige Infrastruktur für produktbezogene Daten. Er ersetzt keine Bewertung, kann aber identifizierbare und maschinenlesbare Daten transportieren, auf die ein späteres Steuer- oder Beschaffungsmodul aufsetzt. [E13]</w:t>
      </w:r>
    </w:p>
    <w:p>
      <w:pPr>
        <w:pStyle w:val="Heading1"/>
      </w:pPr>
      <w:r>
        <w:t>TEIL B – Wirkungssteuergesetz (WStG) 3.0 · Vollentwurf mit Kommentierung</w:t>
      </w:r>
    </w:p>
    <w:p>
      <w:r>
        <w:rPr>
          <w:rFonts w:ascii="Noto Sans" w:hAnsi="Noto Sans"/>
        </w:rPr>
        <w:t>Der folgende Entwurf ist als Rahmengesetz aufgebaut. Er enthält gemeinsame Begriffe, Schutzregeln, Daten- und Governanceanforderungen, eine modulare Steuerarchitektur, Vollzugs- und Rechtsschutzregeln sowie einen gestuften Umsetzungspfad. Die Paragrafen sind bewusst ausführlich kommentiert, damit Entwurf, Begründung und Rechtsrisiken nicht ineinanderfallen.</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9B3C"/>
              <w:top w:val="nil"/>
              <w:right w:val="nil"/>
              <w:bottom w:val="nil"/>
            </w:tcBorders>
          </w:tcPr>
          <w:p>
            <w:r>
              <w:rPr>
                <w:rFonts w:ascii="Noto Sans" w:hAnsi="Noto Sans"/>
                <w:b/>
                <w:color w:val="C89B3C"/>
                <w:sz w:val="17"/>
              </w:rPr>
              <w:t>Leseschlüssel</w:t>
            </w:r>
          </w:p>
          <w:p>
            <w:pPr>
              <w:pStyle w:val="Callout"/>
            </w:pPr>
            <w:r>
              <w:rPr>
                <w:rFonts w:ascii="Noto Sans" w:hAnsi="Noto Sans"/>
                <w:color w:val="2C2C2E"/>
                <w:sz w:val="18"/>
              </w:rPr>
              <w:t>GESETZESTEXT = vorgeschlagene Norm. KOMMENTAR = WÖk-Auslegung. BEGRÜNDUNG = systemische und fachliche Motivation. RECHTS- UND UMSETZUNGSNOTIZ = offene Rechts-, Kompetenz-, Daten- oder Vollzugsfragen.</w:t>
            </w:r>
          </w:p>
        </w:tc>
      </w:tr>
    </w:tbl>
    <w:p>
      <w:pPr>
        <w:spacing w:after="0"/>
      </w:pPr>
    </w:p>
    <w:p>
      <w:pPr>
        <w:pStyle w:val="Heading2"/>
      </w:pPr>
      <w:r>
        <w:t>Abschnitt 1 – Allgemeine Bestimmungen</w:t>
      </w:r>
    </w:p>
    <w:p>
      <w:pPr>
        <w:pStyle w:val="Heading2"/>
        <w:keepNext/>
      </w:pPr>
      <w:r>
        <w:t>§ 1 Zweck des Gesetzes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Dieses Gesetz schafft einen Rahmen, in dem steuerliche und steuernahe Entscheidungen die nachgewiesene oder gesetzlich modellierte Wirkung wirtschaftlicher Aktivitäten auf Mensch, Planet und Demokratie berücksichtigen können.</w:t>
      </w:r>
    </w:p>
    <w:p>
      <w:pPr>
        <w:pStyle w:val="LawText"/>
        <w:ind w:left="113" w:hanging="113"/>
      </w:pPr>
      <w:r>
        <w:rPr>
          <w:rFonts w:ascii="Noto Sans" w:hAnsi="Noto Sans"/>
          <w:b/>
          <w:color w:val="0B1020"/>
          <w:sz w:val="18"/>
        </w:rPr>
        <w:t xml:space="preserve">(2) </w:t>
      </w:r>
      <w:r>
        <w:rPr>
          <w:rFonts w:ascii="Noto Sans" w:hAnsi="Noto Sans"/>
          <w:color w:val="2C2C2E"/>
          <w:sz w:val="18"/>
        </w:rPr>
        <w:t>Steuern dienen dabei nicht nur der Einnahmeerzielung, sondern können innerhalb der verfassungs- und unionsrechtlichen Grenzen als Rückkopplung eingesetzt werden, damit relevante positive Wirkung strukturell anschlussfähiger und relevante negative Wirkung weniger attraktiv wird.</w:t>
      </w:r>
    </w:p>
    <w:p>
      <w:pPr>
        <w:pStyle w:val="LawText"/>
        <w:ind w:left="113" w:hanging="113"/>
      </w:pPr>
      <w:r>
        <w:rPr>
          <w:rFonts w:ascii="Noto Sans" w:hAnsi="Noto Sans"/>
          <w:b/>
          <w:color w:val="0B1020"/>
          <w:sz w:val="18"/>
        </w:rPr>
        <w:t xml:space="preserve">(3) </w:t>
      </w:r>
      <w:r>
        <w:rPr>
          <w:rFonts w:ascii="Noto Sans" w:hAnsi="Noto Sans"/>
          <w:color w:val="2C2C2E"/>
          <w:sz w:val="18"/>
        </w:rPr>
        <w:t>Das Gesetz begründet keine allgemeine Moral- oder Personenbewertung. Es ordnet nur solche Wirkungen, die einem steuerlich bestimmten Gegenstand, einer Tätigkeit, einem Produkt, einer Organisation, einem Kapitalfluss oder einer öffentlichen Entscheidung hinreichend zurechenbar sind.</w:t>
      </w:r>
    </w:p>
    <w:p>
      <w:pPr>
        <w:pStyle w:val="Commentary"/>
      </w:pPr>
      <w:r>
        <w:rPr>
          <w:rFonts w:ascii="Noto Sans" w:hAnsi="Noto Sans"/>
          <w:b/>
          <w:color w:val="2F7D5C"/>
          <w:sz w:val="16"/>
        </w:rPr>
        <w:t xml:space="preserve">KOMMENTAR </w:t>
      </w:r>
      <w:r>
        <w:rPr>
          <w:rFonts w:ascii="Noto Sans" w:hAnsi="Noto Sans"/>
          <w:color w:val="2C2C2E"/>
          <w:sz w:val="17"/>
        </w:rPr>
        <w:t>§ 1 setzt die zentrale Korrektur gegenüber 2025: Wirkungssteuer ist keine einzige neue Steuer, sondern eine rechtsgebundene Rückkopplungsarchitektur. Wirkung ersetzt nicht die klassische Steuerfunktion, sondern ergänzt sie dort, wo eine belastbare Lenkungsbeziehung besteht.</w:t>
      </w:r>
    </w:p>
    <w:p>
      <w:pPr>
        <w:pStyle w:val="Rationale"/>
      </w:pPr>
      <w:r>
        <w:rPr>
          <w:rFonts w:ascii="Noto Sans" w:hAnsi="Noto Sans"/>
          <w:b/>
          <w:color w:val="C89B3C"/>
          <w:sz w:val="16"/>
        </w:rPr>
        <w:t xml:space="preserve">BEGRÜNDUNG </w:t>
      </w:r>
      <w:r>
        <w:rPr>
          <w:rFonts w:ascii="Noto Sans" w:hAnsi="Noto Sans"/>
          <w:color w:val="2C2C2E"/>
          <w:sz w:val="17"/>
        </w:rPr>
        <w:t>Die WÖk versteht Steuern als Rückkopplung. Der Staat bleibt Rückkopplungsarchitekt, nicht Planer privater Lebensführung. [I2][I3][I4]</w:t>
      </w:r>
    </w:p>
    <w:p>
      <w:pPr>
        <w:pStyle w:val="LegalNote"/>
      </w:pPr>
      <w:r>
        <w:rPr>
          <w:rFonts w:ascii="Noto Sans" w:hAnsi="Noto Sans"/>
          <w:b/>
          <w:color w:val="C85A3C"/>
          <w:sz w:val="16"/>
        </w:rPr>
        <w:t xml:space="preserve">RECHTS- UND UMSETZUNGSNOTIZ </w:t>
      </w:r>
      <w:r>
        <w:rPr>
          <w:rFonts w:ascii="Noto Sans" w:hAnsi="Noto Sans"/>
          <w:color w:val="2C2C2E"/>
          <w:sz w:val="17"/>
        </w:rPr>
        <w:t>Die steuerliche Lenkungsfunktion ist im deutschen Steuerrecht grundsätzlich möglich; jede konkrete Belastung braucht aber eine kompetenz-, gleichheits- und verhältnismäßige Rechtsgrundlage. [E1][E7][E8]</w:t>
      </w:r>
    </w:p>
    <w:p>
      <w:pPr>
        <w:pStyle w:val="Heading2"/>
        <w:keepNext/>
      </w:pPr>
      <w:r>
        <w:t>§ 2 Rahmencharakter und Modulprinzip</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Dieses Gesetz ist ein Rahmen- und Methodengesetz. Es ändert eine Einzelsteuer nur, wenn ein Wirkungsmodul durch Gesetz ausdrücklich aktiviert wird.</w:t>
      </w:r>
    </w:p>
    <w:p>
      <w:pPr>
        <w:pStyle w:val="LawText"/>
        <w:ind w:left="113" w:hanging="113"/>
      </w:pPr>
      <w:r>
        <w:rPr>
          <w:rFonts w:ascii="Noto Sans" w:hAnsi="Noto Sans"/>
          <w:b/>
          <w:color w:val="0B1020"/>
          <w:sz w:val="18"/>
        </w:rPr>
        <w:t xml:space="preserve">(2) </w:t>
      </w:r>
      <w:r>
        <w:rPr>
          <w:rFonts w:ascii="Noto Sans" w:hAnsi="Noto Sans"/>
          <w:color w:val="2C2C2E"/>
          <w:sz w:val="18"/>
        </w:rPr>
        <w:t>Ein Wirkungsmodul bestimmt mindestens Steuergegenstand, Datengrundlage, Schutzgrenzen, Tariffolge, Übergang, Rechtsschutz, Evaluation und Verhältnis zu bereits bestehenden Lenkungsinstrumenten.</w:t>
      </w:r>
    </w:p>
    <w:p>
      <w:pPr>
        <w:pStyle w:val="LawText"/>
        <w:ind w:left="113" w:hanging="113"/>
      </w:pPr>
      <w:r>
        <w:rPr>
          <w:rFonts w:ascii="Noto Sans" w:hAnsi="Noto Sans"/>
          <w:b/>
          <w:color w:val="0B1020"/>
          <w:sz w:val="18"/>
        </w:rPr>
        <w:t xml:space="preserve">(3) </w:t>
      </w:r>
      <w:r>
        <w:rPr>
          <w:rFonts w:ascii="Noto Sans" w:hAnsi="Noto Sans"/>
          <w:color w:val="2C2C2E"/>
          <w:sz w:val="18"/>
        </w:rPr>
        <w:t>Ohne Aktivierung eines Wirkungsmoduls bleibt die jeweilige Einzelsteuer nach ihrem bestehenden Recht unverändert.</w:t>
      </w:r>
    </w:p>
    <w:p>
      <w:pPr>
        <w:pStyle w:val="Commentary"/>
      </w:pPr>
      <w:r>
        <w:rPr>
          <w:rFonts w:ascii="Noto Sans" w:hAnsi="Noto Sans"/>
          <w:b/>
          <w:color w:val="2F7D5C"/>
          <w:sz w:val="16"/>
        </w:rPr>
        <w:t xml:space="preserve">KOMMENTAR </w:t>
      </w:r>
      <w:r>
        <w:rPr>
          <w:rFonts w:ascii="Noto Sans" w:hAnsi="Noto Sans"/>
          <w:color w:val="2C2C2E"/>
          <w:sz w:val="17"/>
        </w:rPr>
        <w:t>Der Rahmencharakter verhindert eine parallele Schattensteuerordnung. Die konkrete Steuerfolge entsteht im Einzelsteuergesetz oder in einem hinreichend bestimmten Änderungsgesetz - nicht allein aus einer Scorecard.</w:t>
      </w:r>
    </w:p>
    <w:p>
      <w:pPr>
        <w:pStyle w:val="Rationale"/>
      </w:pPr>
      <w:r>
        <w:rPr>
          <w:rFonts w:ascii="Noto Sans" w:hAnsi="Noto Sans"/>
          <w:b/>
          <w:color w:val="C89B3C"/>
          <w:sz w:val="16"/>
        </w:rPr>
        <w:t xml:space="preserve">BEGRÜNDUNG </w:t>
      </w:r>
      <w:r>
        <w:rPr>
          <w:rFonts w:ascii="Noto Sans" w:hAnsi="Noto Sans"/>
          <w:color w:val="2C2C2E"/>
          <w:sz w:val="17"/>
        </w:rPr>
        <w:t>Die Fassung 2.0 der Website hat bereits den Weg zum Rahmengesetz geöffnet. Version 3.0 macht daraus eine strikte Aktivierungslogik. [I7][I8]</w:t>
      </w:r>
    </w:p>
    <w:p>
      <w:pPr>
        <w:pStyle w:val="LegalNote"/>
      </w:pPr>
      <w:r>
        <w:rPr>
          <w:rFonts w:ascii="Noto Sans" w:hAnsi="Noto Sans"/>
          <w:b/>
          <w:color w:val="C85A3C"/>
          <w:sz w:val="16"/>
        </w:rPr>
        <w:t xml:space="preserve">RECHTS- UND UMSETZUNGSNOTIZ </w:t>
      </w:r>
      <w:r>
        <w:rPr>
          <w:rFonts w:ascii="Noto Sans" w:hAnsi="Noto Sans"/>
          <w:color w:val="2C2C2E"/>
          <w:sz w:val="17"/>
        </w:rPr>
        <w:t>Dies stärkt Bestimmtheit und demokratische Tarifhoheit und reduziert das Risiko einer unzulässigen Delegation auf technische Gremien.</w:t>
      </w:r>
    </w:p>
    <w:p>
      <w:pPr>
        <w:pStyle w:val="Heading2"/>
        <w:keepNext/>
      </w:pPr>
      <w:r>
        <w:t>§ 3 Geltungsbereich</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Das Gesetz gilt für natürliche und juristische Personen, Personenvereinigungen, Unternehmen, öffentliche Körperschaften und sonstige Rechtsträger, soweit ein aktiviertes Wirkungsmodul an einen steuerlich relevanten Sachverhalt anknüpft.</w:t>
      </w:r>
    </w:p>
    <w:p>
      <w:pPr>
        <w:pStyle w:val="LawText"/>
        <w:ind w:left="113" w:hanging="113"/>
      </w:pPr>
      <w:r>
        <w:rPr>
          <w:rFonts w:ascii="Noto Sans" w:hAnsi="Noto Sans"/>
          <w:b/>
          <w:color w:val="0B1020"/>
          <w:sz w:val="18"/>
        </w:rPr>
        <w:t xml:space="preserve">(2) </w:t>
      </w:r>
      <w:r>
        <w:rPr>
          <w:rFonts w:ascii="Noto Sans" w:hAnsi="Noto Sans"/>
          <w:color w:val="2C2C2E"/>
          <w:sz w:val="18"/>
        </w:rPr>
        <w:t>Für grenzüberschreitende Sachverhalte gelten die Grundsätze der unionsrechtlichen Gleichbehandlung, des internationalen Steuerrechts und der einschlägigen Handels- und Zollordnungen.</w:t>
      </w:r>
    </w:p>
    <w:p>
      <w:pPr>
        <w:pStyle w:val="LawText"/>
        <w:ind w:left="113" w:hanging="113"/>
      </w:pPr>
      <w:r>
        <w:rPr>
          <w:rFonts w:ascii="Noto Sans" w:hAnsi="Noto Sans"/>
          <w:b/>
          <w:color w:val="0B1020"/>
          <w:sz w:val="18"/>
        </w:rPr>
        <w:t xml:space="preserve">(3) </w:t>
      </w:r>
      <w:r>
        <w:rPr>
          <w:rFonts w:ascii="Noto Sans" w:hAnsi="Noto Sans"/>
          <w:color w:val="2C2C2E"/>
          <w:sz w:val="18"/>
        </w:rPr>
        <w:t>Wirkungsdaten dürfen nur erhoben werden, soweit sie für den jeweiligen steuerlichen Zweck erforderlich und verhältnismäßig sind.</w:t>
      </w:r>
    </w:p>
    <w:p>
      <w:pPr>
        <w:pStyle w:val="Commentary"/>
      </w:pPr>
      <w:r>
        <w:rPr>
          <w:rFonts w:ascii="Noto Sans" w:hAnsi="Noto Sans"/>
          <w:b/>
          <w:color w:val="2F7D5C"/>
          <w:sz w:val="16"/>
        </w:rPr>
        <w:t xml:space="preserve">KOMMENTAR </w:t>
      </w:r>
      <w:r>
        <w:rPr>
          <w:rFonts w:ascii="Noto Sans" w:hAnsi="Noto Sans"/>
          <w:color w:val="2C2C2E"/>
          <w:sz w:val="17"/>
        </w:rPr>
        <w:t>Geltungsbereich folgt dem Steuergegenstand, nicht einer pauschalen gesellschaftlichen Zuständigkeit. Das schützt vor Datenübergriff und vor dem alten Gedanken, jede Handlung müsse automatisch steuerlich bewertet werden.</w:t>
      </w:r>
    </w:p>
    <w:p>
      <w:pPr>
        <w:pStyle w:val="Rationale"/>
      </w:pPr>
      <w:r>
        <w:rPr>
          <w:rFonts w:ascii="Noto Sans" w:hAnsi="Noto Sans"/>
          <w:b/>
          <w:color w:val="C89B3C"/>
          <w:sz w:val="16"/>
        </w:rPr>
        <w:t xml:space="preserve">BEGRÜNDUNG </w:t>
      </w:r>
      <w:r>
        <w:rPr>
          <w:rFonts w:ascii="Noto Sans" w:hAnsi="Noto Sans"/>
          <w:color w:val="2C2C2E"/>
          <w:sz w:val="17"/>
        </w:rPr>
        <w:t>Wirkung ist relational und braucht einen definierten Wirkungsraum. Eine Steuer braucht zusätzlich einen gesetzlichen Tatbestand. [I4][I5]</w:t>
      </w:r>
    </w:p>
    <w:p>
      <w:pPr>
        <w:pStyle w:val="LegalNote"/>
      </w:pPr>
      <w:r>
        <w:rPr>
          <w:rFonts w:ascii="Noto Sans" w:hAnsi="Noto Sans"/>
          <w:b/>
          <w:color w:val="C85A3C"/>
          <w:sz w:val="16"/>
        </w:rPr>
        <w:t xml:space="preserve">RECHTS- UND UMSETZUNGSNOTIZ </w:t>
      </w:r>
      <w:r>
        <w:rPr>
          <w:rFonts w:ascii="Noto Sans" w:hAnsi="Noto Sans"/>
          <w:color w:val="2C2C2E"/>
          <w:sz w:val="17"/>
        </w:rPr>
        <w:t>Importe dürfen nicht durch willkürlich strengere Kriterien benachteiligt werden. Gleichartige in- und ausländische Produkte brauchen gleichartige Wirkungskriterien. [E16]</w:t>
      </w:r>
    </w:p>
    <w:p>
      <w:pPr>
        <w:pStyle w:val="Heading2"/>
        <w:keepNext/>
      </w:pPr>
      <w:r>
        <w:t>§ 4 Grundprinzipien der Wirkungssteuer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Wirkungssteuerliche Regelungen folgen den Prinzipien Wirkung statt Absicht, Evidenz vor Bewertung, Nichtkompensation schwerer Schäden, Verhältnismäßigkeit, Technologieneutralität, Transparenz, Revisionsfähigkeit und lernender Rückkopplung.</w:t>
      </w:r>
    </w:p>
    <w:p>
      <w:pPr>
        <w:pStyle w:val="LawText"/>
        <w:ind w:left="113" w:hanging="113"/>
      </w:pPr>
      <w:r>
        <w:rPr>
          <w:rFonts w:ascii="Noto Sans" w:hAnsi="Noto Sans"/>
          <w:b/>
          <w:color w:val="0B1020"/>
          <w:sz w:val="18"/>
        </w:rPr>
        <w:t xml:space="preserve">(2) </w:t>
      </w:r>
      <w:r>
        <w:rPr>
          <w:rFonts w:ascii="Noto Sans" w:hAnsi="Noto Sans"/>
          <w:color w:val="2C2C2E"/>
          <w:sz w:val="18"/>
        </w:rPr>
        <w:t>Eine Steuerfolge darf nicht allein aus Reichweite, Image, Selbstbeschreibung, Output oder einer ungeprüften Nachhaltigkeitsaussage abgeleitet werden.</w:t>
      </w:r>
    </w:p>
    <w:p>
      <w:pPr>
        <w:pStyle w:val="LawText"/>
        <w:ind w:left="113" w:hanging="113"/>
      </w:pPr>
      <w:r>
        <w:rPr>
          <w:rFonts w:ascii="Noto Sans" w:hAnsi="Noto Sans"/>
          <w:b/>
          <w:color w:val="0B1020"/>
          <w:sz w:val="18"/>
        </w:rPr>
        <w:t xml:space="preserve">(3) </w:t>
      </w:r>
      <w:r>
        <w:rPr>
          <w:rFonts w:ascii="Noto Sans" w:hAnsi="Noto Sans"/>
          <w:color w:val="2C2C2E"/>
          <w:sz w:val="18"/>
        </w:rPr>
        <w:t>Positive und negative Wirkung, Unsicherheit, Verteilung, Zeitwirkung sowie Wirkungen erster, zweiter und dritter Ordnung sind angemessen zu berücksichtigen.</w:t>
      </w:r>
    </w:p>
    <w:p>
      <w:pPr>
        <w:pStyle w:val="Commentary"/>
      </w:pPr>
      <w:r>
        <w:rPr>
          <w:rFonts w:ascii="Noto Sans" w:hAnsi="Noto Sans"/>
          <w:b/>
          <w:color w:val="2F7D5C"/>
          <w:sz w:val="16"/>
        </w:rPr>
        <w:t xml:space="preserve">KOMMENTAR </w:t>
      </w:r>
      <w:r>
        <w:rPr>
          <w:rFonts w:ascii="Noto Sans" w:hAnsi="Noto Sans"/>
          <w:color w:val="2C2C2E"/>
          <w:sz w:val="17"/>
        </w:rPr>
        <w:t>Die Grundprinzipien transportieren den 2026er Begriffsstand direkt ins Steuerdesign. Sie verhindern, dass WÖk zu einem Etikettensystem wird.</w:t>
      </w:r>
    </w:p>
    <w:p>
      <w:pPr>
        <w:pStyle w:val="Rationale"/>
      </w:pPr>
      <w:r>
        <w:rPr>
          <w:rFonts w:ascii="Noto Sans" w:hAnsi="Noto Sans"/>
          <w:b/>
          <w:color w:val="C89B3C"/>
          <w:sz w:val="16"/>
        </w:rPr>
        <w:t xml:space="preserve">BEGRÜNDUNG </w:t>
      </w:r>
      <w:r>
        <w:rPr>
          <w:rFonts w:ascii="Noto Sans" w:hAnsi="Noto Sans"/>
          <w:color w:val="2C2C2E"/>
          <w:sz w:val="17"/>
        </w:rPr>
        <w:t>Wirkung ist tatsächliche Zustandsveränderung; Output und Potenzial sind nicht Wirkung. [I4][I5]</w:t>
      </w:r>
    </w:p>
    <w:p>
      <w:pPr>
        <w:pStyle w:val="Heading2"/>
        <w:keepNext/>
      </w:pPr>
      <w:r>
        <w:t>§ 5 Begriffsbestimmungen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 ist die tatsächliche Veränderung eines Zustands bei jemandem oder etwas, in einem bestimmten Wirkungsraum, Zeitraum und relativ zu einer Ausgangslage.</w:t>
      </w:r>
    </w:p>
    <w:p>
      <w:pPr>
        <w:pStyle w:val="LawText"/>
        <w:ind w:left="113" w:hanging="113"/>
      </w:pPr>
      <w:r>
        <w:rPr>
          <w:rFonts w:ascii="Noto Sans" w:hAnsi="Noto Sans"/>
          <w:b/>
          <w:color w:val="0B1020"/>
          <w:sz w:val="18"/>
        </w:rPr>
        <w:t xml:space="preserve">(2) </w:t>
      </w:r>
      <w:r>
        <w:rPr>
          <w:rFonts w:ascii="Noto Sans" w:hAnsi="Noto Sans"/>
          <w:color w:val="2C2C2E"/>
          <w:sz w:val="18"/>
        </w:rPr>
        <w:t>Wirkungspotenzial ist die Möglichkeit einer künftigen Zustandsveränderung; Wirkungsrisiko ist die Möglichkeit einer negativen oder destabilisierenden Zustandsveränderung.</w:t>
      </w:r>
    </w:p>
    <w:p>
      <w:pPr>
        <w:pStyle w:val="LawText"/>
        <w:ind w:left="113" w:hanging="113"/>
      </w:pPr>
      <w:r>
        <w:rPr>
          <w:rFonts w:ascii="Noto Sans" w:hAnsi="Noto Sans"/>
          <w:b/>
          <w:color w:val="0B1020"/>
          <w:sz w:val="18"/>
        </w:rPr>
        <w:t xml:space="preserve">(3) </w:t>
      </w:r>
      <w:r>
        <w:rPr>
          <w:rFonts w:ascii="Noto Sans" w:hAnsi="Noto Sans"/>
          <w:color w:val="2C2C2E"/>
          <w:sz w:val="18"/>
        </w:rPr>
        <w:t>Netto-Wirkung ist die mehrdimensionale Gesamtbetrachtung unter Berücksichtigung von positiven, negativen, neutralen, ambivalenten und offenen Befunden, Datenqualität, Verteilung, Zeit, Nebenfolgen und Wirkungsgrenzen.</w:t>
      </w:r>
    </w:p>
    <w:p>
      <w:pPr>
        <w:pStyle w:val="LawText"/>
        <w:ind w:left="113" w:hanging="113"/>
      </w:pPr>
      <w:r>
        <w:rPr>
          <w:rFonts w:ascii="Noto Sans" w:hAnsi="Noto Sans"/>
          <w:b/>
          <w:color w:val="0B1020"/>
          <w:sz w:val="18"/>
        </w:rPr>
        <w:t xml:space="preserve">(4) </w:t>
      </w:r>
      <w:r>
        <w:rPr>
          <w:rFonts w:ascii="Noto Sans" w:hAnsi="Noto Sans"/>
          <w:color w:val="2C2C2E"/>
          <w:sz w:val="18"/>
        </w:rPr>
        <w:t>Wirkungsgrenze ist eine gesetzlich oder methodisch vorab begründete rote Linie. Nichtkompensation bedeutet, dass eine Verletzung einer solchen Grenze nicht beliebig durch positive Werte an anderer Stelle ausgeglichen werden darf.</w:t>
      </w:r>
    </w:p>
    <w:p>
      <w:pPr>
        <w:pStyle w:val="Commentary"/>
      </w:pPr>
      <w:r>
        <w:rPr>
          <w:rFonts w:ascii="Noto Sans" w:hAnsi="Noto Sans"/>
          <w:b/>
          <w:color w:val="2F7D5C"/>
          <w:sz w:val="16"/>
        </w:rPr>
        <w:t xml:space="preserve">KOMMENTAR </w:t>
      </w:r>
      <w:r>
        <w:rPr>
          <w:rFonts w:ascii="Noto Sans" w:hAnsi="Noto Sans"/>
          <w:color w:val="2C2C2E"/>
          <w:sz w:val="17"/>
        </w:rPr>
        <w:t>Die Definition ersetzt die 2025er Vorstellung eines universellen Gesamtwirkungswerts von -100 bis +100. Ein Summenscore kann intern nützlich sein, darf die Wirkungsstruktur aber nicht verdecken.</w:t>
      </w:r>
    </w:p>
    <w:p>
      <w:pPr>
        <w:pStyle w:val="Rationale"/>
      </w:pPr>
      <w:r>
        <w:rPr>
          <w:rFonts w:ascii="Noto Sans" w:hAnsi="Noto Sans"/>
          <w:b/>
          <w:color w:val="C89B3C"/>
          <w:sz w:val="16"/>
        </w:rPr>
        <w:t xml:space="preserve">BEGRÜNDUNG </w:t>
      </w:r>
      <w:r>
        <w:rPr>
          <w:rFonts w:ascii="Noto Sans" w:hAnsi="Noto Sans"/>
          <w:color w:val="2C2C2E"/>
          <w:sz w:val="17"/>
        </w:rPr>
        <w:t>Diese Definitionen folgen dem führenden Begriffsleitfaden v1.5. [I4]</w:t>
      </w:r>
    </w:p>
    <w:p>
      <w:pPr>
        <w:pStyle w:val="Heading2"/>
        <w:keepNext/>
      </w:pPr>
      <w:r>
        <w:t>§ 6 Referenzrahmen Mensch, Planet und Demokratie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Mensch, Planet und Demokratie bilden den gekoppelten normativen Wirkungsraum dieses Gesetzes.</w:t>
      </w:r>
    </w:p>
    <w:p>
      <w:pPr>
        <w:pStyle w:val="LawText"/>
        <w:ind w:left="113" w:hanging="113"/>
      </w:pPr>
      <w:r>
        <w:rPr>
          <w:rFonts w:ascii="Noto Sans" w:hAnsi="Noto Sans"/>
          <w:b/>
          <w:color w:val="0B1020"/>
          <w:sz w:val="18"/>
        </w:rPr>
        <w:t xml:space="preserve">(2) </w:t>
      </w:r>
      <w:r>
        <w:rPr>
          <w:rFonts w:ascii="Noto Sans" w:hAnsi="Noto Sans"/>
          <w:color w:val="2C2C2E"/>
          <w:sz w:val="18"/>
        </w:rPr>
        <w:t>Der Referenzrahmen wird durch Grund- und Menschenrechte, geltendes Recht, gesetzlich bestimmte Schutzgüter und Grenzwerte, die Ziele der Agenda 2030 sowie transparent ausgewiesene WÖk-Erweiterungen wie SDG+ konkretisiert.</w:t>
      </w:r>
    </w:p>
    <w:p>
      <w:pPr>
        <w:pStyle w:val="LawText"/>
        <w:ind w:left="113" w:hanging="113"/>
      </w:pPr>
      <w:r>
        <w:rPr>
          <w:rFonts w:ascii="Noto Sans" w:hAnsi="Noto Sans"/>
          <w:b/>
          <w:color w:val="0B1020"/>
          <w:sz w:val="18"/>
        </w:rPr>
        <w:t xml:space="preserve">(3) </w:t>
      </w:r>
      <w:r>
        <w:rPr>
          <w:rFonts w:ascii="Noto Sans" w:hAnsi="Noto Sans"/>
          <w:color w:val="2C2C2E"/>
          <w:sz w:val="18"/>
        </w:rPr>
        <w:t>SDG+ ist keine Kategorie der Vereinten Nationen. WÖk-eigene Kalibrierungen und Schwellen sind als solche kenntlich zu machen.</w:t>
      </w:r>
    </w:p>
    <w:p>
      <w:pPr>
        <w:pStyle w:val="Commentary"/>
      </w:pPr>
      <w:r>
        <w:rPr>
          <w:rFonts w:ascii="Noto Sans" w:hAnsi="Noto Sans"/>
          <w:b/>
          <w:color w:val="2F7D5C"/>
          <w:sz w:val="16"/>
        </w:rPr>
        <w:t xml:space="preserve">KOMMENTAR </w:t>
      </w:r>
      <w:r>
        <w:rPr>
          <w:rFonts w:ascii="Noto Sans" w:hAnsi="Noto Sans"/>
          <w:color w:val="2C2C2E"/>
          <w:sz w:val="17"/>
        </w:rPr>
        <w:t>Der neue Text trennt den politischen UN-Zielrahmen, die WÖk-Erweiterung und geltendes Recht. Das verhindert, dass WÖk private Schwellen als vermeintlich amtlich darstellt.</w:t>
      </w:r>
    </w:p>
    <w:p>
      <w:pPr>
        <w:pStyle w:val="Rationale"/>
      </w:pPr>
      <w:r>
        <w:rPr>
          <w:rFonts w:ascii="Noto Sans" w:hAnsi="Noto Sans"/>
          <w:b/>
          <w:color w:val="C89B3C"/>
          <w:sz w:val="16"/>
        </w:rPr>
        <w:t xml:space="preserve">BEGRÜNDUNG </w:t>
      </w:r>
      <w:r>
        <w:rPr>
          <w:rFonts w:ascii="Noto Sans" w:hAnsi="Noto Sans"/>
          <w:color w:val="2C2C2E"/>
          <w:sz w:val="17"/>
        </w:rPr>
        <w:t>MPD ist gekoppelt, nicht additiv. Demokratie ist zugleich Schutzgut und Korrekturraum. [I4][I5]</w:t>
      </w:r>
    </w:p>
    <w:p>
      <w:pPr>
        <w:pStyle w:val="Heading2"/>
        <w:keepNext/>
      </w:pPr>
      <w:r>
        <w:t>§ 7 Grundrechte, Freiheit und demokratische Begrenzung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Anwendung dieses Gesetzes ist an Menschenwürde, Gleichheit, Freiheitsrechte, Eigentumsschutz, Berufsfreiheit, Datenschutz, Rechtsschutz und demokratische Gesetzgebung gebunden.</w:t>
      </w:r>
    </w:p>
    <w:p>
      <w:pPr>
        <w:pStyle w:val="LawText"/>
        <w:ind w:left="113" w:hanging="113"/>
      </w:pPr>
      <w:r>
        <w:rPr>
          <w:rFonts w:ascii="Noto Sans" w:hAnsi="Noto Sans"/>
          <w:b/>
          <w:color w:val="0B1020"/>
          <w:sz w:val="18"/>
        </w:rPr>
        <w:t xml:space="preserve">(2) </w:t>
      </w:r>
      <w:r>
        <w:rPr>
          <w:rFonts w:ascii="Noto Sans" w:hAnsi="Noto Sans"/>
          <w:color w:val="2C2C2E"/>
          <w:sz w:val="18"/>
        </w:rPr>
        <w:t>Wirkungsbewertungen ersetzen keine parlamentarische Entscheidung, keine gerichtliche Kontrolle und keine individuelle Grundrechtsabwägung.</w:t>
      </w:r>
    </w:p>
    <w:p>
      <w:pPr>
        <w:pStyle w:val="LawText"/>
        <w:ind w:left="113" w:hanging="113"/>
      </w:pPr>
      <w:r>
        <w:rPr>
          <w:rFonts w:ascii="Noto Sans" w:hAnsi="Noto Sans"/>
          <w:b/>
          <w:color w:val="0B1020"/>
          <w:sz w:val="18"/>
        </w:rPr>
        <w:t xml:space="preserve">(3) </w:t>
      </w:r>
      <w:r>
        <w:rPr>
          <w:rFonts w:ascii="Noto Sans" w:hAnsi="Noto Sans"/>
          <w:color w:val="2C2C2E"/>
          <w:sz w:val="18"/>
        </w:rPr>
        <w:t>Wirkungssteuerliche Lenkung muss geeignet, erforderlich und angemessen sein; belastungsärmere Instrumente sind zu prüfen.</w:t>
      </w:r>
    </w:p>
    <w:p>
      <w:pPr>
        <w:pStyle w:val="Commentary"/>
      </w:pPr>
      <w:r>
        <w:rPr>
          <w:rFonts w:ascii="Noto Sans" w:hAnsi="Noto Sans"/>
          <w:b/>
          <w:color w:val="2F7D5C"/>
          <w:sz w:val="16"/>
        </w:rPr>
        <w:t xml:space="preserve">KOMMENTAR </w:t>
      </w:r>
      <w:r>
        <w:rPr>
          <w:rFonts w:ascii="Noto Sans" w:hAnsi="Noto Sans"/>
          <w:color w:val="2C2C2E"/>
          <w:sz w:val="17"/>
        </w:rPr>
        <w:t>Wirkung wird nicht technokratisch über Grundrechte gestellt. Dieser Paragraph ist der rechtsstaatliche Kern des WStG 3.0.</w:t>
      </w:r>
    </w:p>
    <w:p>
      <w:pPr>
        <w:pStyle w:val="Rationale"/>
      </w:pPr>
      <w:r>
        <w:rPr>
          <w:rFonts w:ascii="Noto Sans" w:hAnsi="Noto Sans"/>
          <w:b/>
          <w:color w:val="C89B3C"/>
          <w:sz w:val="16"/>
        </w:rPr>
        <w:t xml:space="preserve">BEGRÜNDUNG </w:t>
      </w:r>
      <w:r>
        <w:rPr>
          <w:rFonts w:ascii="Noto Sans" w:hAnsi="Noto Sans"/>
          <w:color w:val="2C2C2E"/>
          <w:sz w:val="17"/>
        </w:rPr>
        <w:t>Die Buchfassung ordnet Wirkung ausdrücklich unter Grundrechte, Demokratie, Rechtsstaatlichkeit, Verhältnismäßigkeit und Kontrolle. [I2][I3]</w:t>
      </w:r>
    </w:p>
    <w:p>
      <w:pPr>
        <w:pStyle w:val="LegalNote"/>
      </w:pPr>
      <w:r>
        <w:rPr>
          <w:rFonts w:ascii="Noto Sans" w:hAnsi="Noto Sans"/>
          <w:b/>
          <w:color w:val="C85A3C"/>
          <w:sz w:val="16"/>
        </w:rPr>
        <w:t xml:space="preserve">RECHTS- UND UMSETZUNGSNOTIZ </w:t>
      </w:r>
      <w:r>
        <w:rPr>
          <w:rFonts w:ascii="Noto Sans" w:hAnsi="Noto Sans"/>
          <w:color w:val="2C2C2E"/>
          <w:sz w:val="17"/>
        </w:rPr>
        <w:t>Besonders berührt sind Art. 3, 12, 14 und 19 Abs. 4 GG. [E2][E3][E4][E5]</w:t>
      </w:r>
    </w:p>
    <w:p>
      <w:pPr>
        <w:pStyle w:val="Heading2"/>
        <w:keepNext/>
      </w:pPr>
      <w:r>
        <w:t>§ 8 Steuerartenspezifische Gesetzgebung und Tarifhoheit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Steuersätze, Zuschläge, Ermäßigungen, Freibeträge, Gutschriften und sonstige belastende oder begünstigende Rechtsfolgen werden ausschließlich durch Gesetz oder auf einer hinreichend bestimmten gesetzlichen Ermächtigung festgelegt.</w:t>
      </w:r>
    </w:p>
    <w:p>
      <w:pPr>
        <w:pStyle w:val="LawText"/>
        <w:ind w:left="113" w:hanging="113"/>
      </w:pPr>
      <w:r>
        <w:rPr>
          <w:rFonts w:ascii="Noto Sans" w:hAnsi="Noto Sans"/>
          <w:b/>
          <w:color w:val="0B1020"/>
          <w:sz w:val="18"/>
        </w:rPr>
        <w:t xml:space="preserve">(2) </w:t>
      </w:r>
      <w:r>
        <w:rPr>
          <w:rFonts w:ascii="Noto Sans" w:hAnsi="Noto Sans"/>
          <w:color w:val="2C2C2E"/>
          <w:sz w:val="18"/>
        </w:rPr>
        <w:t>Ein Score, FinalScore, NWI, T-SROI oder eine WÖk-ID erzeugt für sich genommen keine Steuerfolge.</w:t>
      </w:r>
    </w:p>
    <w:p>
      <w:pPr>
        <w:pStyle w:val="LawText"/>
        <w:ind w:left="113" w:hanging="113"/>
      </w:pPr>
      <w:r>
        <w:rPr>
          <w:rFonts w:ascii="Noto Sans" w:hAnsi="Noto Sans"/>
          <w:b/>
          <w:color w:val="0B1020"/>
          <w:sz w:val="18"/>
        </w:rPr>
        <w:t xml:space="preserve">(3) </w:t>
      </w:r>
      <w:r>
        <w:rPr>
          <w:rFonts w:ascii="Noto Sans" w:hAnsi="Noto Sans"/>
          <w:color w:val="2C2C2E"/>
          <w:sz w:val="18"/>
        </w:rPr>
        <w:t>Methodische Gremien dürfen Daten- und Prüfstandards vorschlagen, aber keine eigenständigen Steuer- oder Belastungstarife setzen.</w:t>
      </w:r>
    </w:p>
    <w:p>
      <w:pPr>
        <w:pStyle w:val="Commentary"/>
      </w:pPr>
      <w:r>
        <w:rPr>
          <w:rFonts w:ascii="Noto Sans" w:hAnsi="Noto Sans"/>
          <w:b/>
          <w:color w:val="2F7D5C"/>
          <w:sz w:val="16"/>
        </w:rPr>
        <w:t xml:space="preserve">KOMMENTAR </w:t>
      </w:r>
      <w:r>
        <w:rPr>
          <w:rFonts w:ascii="Noto Sans" w:hAnsi="Noto Sans"/>
          <w:color w:val="2C2C2E"/>
          <w:sz w:val="17"/>
        </w:rPr>
        <w:t>Dies ist eine der wichtigsten Änderungen: Score und Tarif werden rechtlich getrennt. Das beseitigt die alte Vorstellung, der Wirkungsrat könne jährlich Steuersätze bestimmen.</w:t>
      </w:r>
    </w:p>
    <w:p>
      <w:pPr>
        <w:pStyle w:val="Rationale"/>
      </w:pPr>
      <w:r>
        <w:rPr>
          <w:rFonts w:ascii="Noto Sans" w:hAnsi="Noto Sans"/>
          <w:b/>
          <w:color w:val="C89B3C"/>
          <w:sz w:val="16"/>
        </w:rPr>
        <w:t xml:space="preserve">BEGRÜNDUNG </w:t>
      </w:r>
      <w:r>
        <w:rPr>
          <w:rFonts w:ascii="Noto Sans" w:hAnsi="Noto Sans"/>
          <w:color w:val="2C2C2E"/>
          <w:sz w:val="17"/>
        </w:rPr>
        <w:t>Auch die aktuelle WUStG-Leitlinie hält fest: Ein Score erzeugt keinen Satz. [I8]</w:t>
      </w:r>
    </w:p>
    <w:p>
      <w:pPr>
        <w:pStyle w:val="Heading2"/>
        <w:keepNext/>
      </w:pPr>
      <w:r>
        <w:t>§ 9 Verbot der Personenbewertung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Dieses Gesetz begründet keinen allgemeinen Wirkungswert für Menschen.</w:t>
      </w:r>
    </w:p>
    <w:p>
      <w:pPr>
        <w:pStyle w:val="LawText"/>
        <w:ind w:left="113" w:hanging="113"/>
      </w:pPr>
      <w:r>
        <w:rPr>
          <w:rFonts w:ascii="Noto Sans" w:hAnsi="Noto Sans"/>
          <w:b/>
          <w:color w:val="0B1020"/>
          <w:sz w:val="18"/>
        </w:rPr>
        <w:t xml:space="preserve">(2) </w:t>
      </w:r>
      <w:r>
        <w:rPr>
          <w:rFonts w:ascii="Noto Sans" w:hAnsi="Noto Sans"/>
          <w:color w:val="2C2C2E"/>
          <w:sz w:val="18"/>
        </w:rPr>
        <w:t>Steuerliche Folgen dürfen nicht an politische Haltung, Persönlichkeit, soziale Zugehörigkeit, moralische Gesamtbewertung oder einen persönlichen Wirkungs-Score anknüpfen.</w:t>
      </w:r>
    </w:p>
    <w:p>
      <w:pPr>
        <w:pStyle w:val="LawText"/>
        <w:ind w:left="113" w:hanging="113"/>
      </w:pPr>
      <w:r>
        <w:rPr>
          <w:rFonts w:ascii="Noto Sans" w:hAnsi="Noto Sans"/>
          <w:b/>
          <w:color w:val="0B1020"/>
          <w:sz w:val="18"/>
        </w:rPr>
        <w:t xml:space="preserve">(3) </w:t>
      </w:r>
      <w:r>
        <w:rPr>
          <w:rFonts w:ascii="Noto Sans" w:hAnsi="Noto Sans"/>
          <w:color w:val="2C2C2E"/>
          <w:sz w:val="18"/>
        </w:rPr>
        <w:t>Bei der Einkommensteuer dürfen nur gesetzlich bestimmte, objektivierbare Tatbestände wie Einkommenshöhe, Einkunftsquelle, nachgewiesene Tätigkeit oder konkret zurechenbarer Kapitalbezug berücksichtigt werden.</w:t>
      </w:r>
    </w:p>
    <w:p>
      <w:pPr>
        <w:pStyle w:val="Commentary"/>
      </w:pPr>
      <w:r>
        <w:rPr>
          <w:rFonts w:ascii="Noto Sans" w:hAnsi="Noto Sans"/>
          <w:b/>
          <w:color w:val="2F7D5C"/>
          <w:sz w:val="16"/>
        </w:rPr>
        <w:t xml:space="preserve">KOMMENTAR </w:t>
      </w:r>
      <w:r>
        <w:rPr>
          <w:rFonts w:ascii="Noto Sans" w:hAnsi="Noto Sans"/>
          <w:color w:val="2C2C2E"/>
          <w:sz w:val="17"/>
        </w:rPr>
        <w:t>Damit wird die 2025er WEstG-Logik eines individuellen Wirkungswerts ausdrücklich verlassen. Pflege oder Bildung können objektiv begünstigte Tatbestände sein, ohne Menschen moralisch zu ranken.</w:t>
      </w:r>
    </w:p>
    <w:p>
      <w:pPr>
        <w:pStyle w:val="Rationale"/>
      </w:pPr>
      <w:r>
        <w:rPr>
          <w:rFonts w:ascii="Noto Sans" w:hAnsi="Noto Sans"/>
          <w:b/>
          <w:color w:val="C89B3C"/>
          <w:sz w:val="16"/>
        </w:rPr>
        <w:t xml:space="preserve">BEGRÜNDUNG </w:t>
      </w:r>
      <w:r>
        <w:rPr>
          <w:rFonts w:ascii="Noto Sans" w:hAnsi="Noto Sans"/>
          <w:color w:val="2C2C2E"/>
          <w:sz w:val="17"/>
        </w:rPr>
        <w:t>No-person-score ist verbindliche WÖk-Governance. [I4][I5]</w:t>
      </w:r>
    </w:p>
    <w:p>
      <w:pPr>
        <w:pStyle w:val="Heading2"/>
        <w:keepNext/>
      </w:pPr>
      <w:r>
        <w:t>§ 10 Lernfähigkeit, Versionierung und Fehlbarkeit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Wirkungsmodelle, Benchmarks, Schwellen, Datenquellen und technische Regeln sind versioniert zu führen.</w:t>
      </w:r>
    </w:p>
    <w:p>
      <w:pPr>
        <w:pStyle w:val="LawText"/>
        <w:ind w:left="113" w:hanging="113"/>
      </w:pPr>
      <w:r>
        <w:rPr>
          <w:rFonts w:ascii="Noto Sans" w:hAnsi="Noto Sans"/>
          <w:b/>
          <w:color w:val="0B1020"/>
          <w:sz w:val="18"/>
        </w:rPr>
        <w:t xml:space="preserve">(2) </w:t>
      </w:r>
      <w:r>
        <w:rPr>
          <w:rFonts w:ascii="Noto Sans" w:hAnsi="Noto Sans"/>
          <w:color w:val="2C2C2E"/>
          <w:sz w:val="18"/>
        </w:rPr>
        <w:t>Fehler, Datenlücken und neue Evidenz sind transparent zu dokumentieren und in die Weiterentwicklung der Module zurückzuführen.</w:t>
      </w:r>
    </w:p>
    <w:p>
      <w:pPr>
        <w:pStyle w:val="LawText"/>
        <w:ind w:left="113" w:hanging="113"/>
      </w:pPr>
      <w:r>
        <w:rPr>
          <w:rFonts w:ascii="Noto Sans" w:hAnsi="Noto Sans"/>
          <w:b/>
          <w:color w:val="0B1020"/>
          <w:sz w:val="18"/>
        </w:rPr>
        <w:t xml:space="preserve">(3) </w:t>
      </w:r>
      <w:r>
        <w:rPr>
          <w:rFonts w:ascii="Noto Sans" w:hAnsi="Noto Sans"/>
          <w:color w:val="2C2C2E"/>
          <w:sz w:val="18"/>
        </w:rPr>
        <w:t>Materielle Änderungen einer Bewertungslogik dürfen nicht rückwirkend belastend angewandt werden, soweit das Gesetz nichts anderes rechtsstaatlich Zulässiges bestimmt.</w:t>
      </w:r>
    </w:p>
    <w:p>
      <w:pPr>
        <w:pStyle w:val="Commentary"/>
      </w:pPr>
      <w:r>
        <w:rPr>
          <w:rFonts w:ascii="Noto Sans" w:hAnsi="Noto Sans"/>
          <w:b/>
          <w:color w:val="2F7D5C"/>
          <w:sz w:val="16"/>
        </w:rPr>
        <w:t xml:space="preserve">KOMMENTAR </w:t>
      </w:r>
      <w:r>
        <w:rPr>
          <w:rFonts w:ascii="Noto Sans" w:hAnsi="Noto Sans"/>
          <w:color w:val="2C2C2E"/>
          <w:sz w:val="17"/>
        </w:rPr>
        <w:t>Wirkungssteuer 3.0 versteht Fehlbarkeit nicht als Mangel, sondern als Designanforderung. Der Staat darf keine unveränderliche Wirkungswahrheit behaupten.</w:t>
      </w:r>
    </w:p>
    <w:p>
      <w:pPr>
        <w:pStyle w:val="Rationale"/>
      </w:pPr>
      <w:r>
        <w:rPr>
          <w:rFonts w:ascii="Noto Sans" w:hAnsi="Noto Sans"/>
          <w:b/>
          <w:color w:val="C89B3C"/>
          <w:sz w:val="16"/>
        </w:rPr>
        <w:t xml:space="preserve">BEGRÜNDUNG </w:t>
      </w:r>
      <w:r>
        <w:rPr>
          <w:rFonts w:ascii="Noto Sans" w:hAnsi="Noto Sans"/>
          <w:color w:val="2C2C2E"/>
          <w:sz w:val="17"/>
        </w:rPr>
        <w:t>Die WÖk ist ein lernendes System. Was unsicher ist, wird markiert; was falsch war, wird korrigiert. [I4][I5]</w:t>
      </w:r>
    </w:p>
    <w:p>
      <w:pPr>
        <w:pStyle w:val="Heading2"/>
      </w:pPr>
      <w:r>
        <w:t>Abschnitt 2 – Wirkungsbegriff, Evidenz und Bewertung</w:t>
      </w:r>
    </w:p>
    <w:p>
      <w:pPr>
        <w:pStyle w:val="Heading2"/>
        <w:keepNext/>
      </w:pPr>
      <w:r>
        <w:t>§ 11 Ex-ante-, Umsetzungs- und Ex-post-Status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Vor einer Umsetzung dürfen nur Potenziale, Risiken, Mechanismen, Szenarien und modellierte Folgen bewertet werden. Während der Umsetzung sind Prozessdaten und Frühindikatoren getrennt von Wirkung zu führen. Eingetretene Wirkung darf erst nach belastbarer Zustandsfeststellung ausgewiesen werden.</w:t>
      </w:r>
    </w:p>
    <w:p>
      <w:pPr>
        <w:pStyle w:val="Commentary"/>
      </w:pPr>
      <w:r>
        <w:rPr>
          <w:rFonts w:ascii="Noto Sans" w:hAnsi="Noto Sans"/>
          <w:b/>
          <w:color w:val="2F7D5C"/>
          <w:sz w:val="16"/>
        </w:rPr>
        <w:t xml:space="preserve">KOMMENTAR </w:t>
      </w:r>
      <w:r>
        <w:rPr>
          <w:rFonts w:ascii="Noto Sans" w:hAnsi="Noto Sans"/>
          <w:color w:val="2C2C2E"/>
          <w:sz w:val="17"/>
        </w:rPr>
        <w:t>Die Norm verhindert die häufigste Fehlkopplung im politischen und steuerlichen Design: eine erwartete Wirkung wird nicht schon durch Beschluss oder Output zur realen Wirkung.</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Ex ante bleibt ein Tarif möglich, wenn er an objektive Merkmale oder gesetzliche Vorsorgegründe anknüpft; er darf aber nicht als ex post belegte Wirkung ausgegeben werden.</w:t>
      </w:r>
    </w:p>
    <w:p>
      <w:pPr>
        <w:pStyle w:val="Heading2"/>
        <w:keepNext/>
      </w:pPr>
      <w:r>
        <w:t>§ 12 Baseline und Gegenfaktum</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Soweit die Rechtsfolge auf eingetretener Wirkung beruht, sind Ausgangszustand und geeigneter Vergleich zu dokumentieren. Fehlt ein belastbares Gegenfaktum, ist die Zurechnung entsprechend vorsichtiger zu formulieren.</w:t>
      </w:r>
    </w:p>
    <w:p>
      <w:pPr>
        <w:pStyle w:val="Commentary"/>
      </w:pPr>
      <w:r>
        <w:rPr>
          <w:rFonts w:ascii="Noto Sans" w:hAnsi="Noto Sans"/>
          <w:b/>
          <w:color w:val="2F7D5C"/>
          <w:sz w:val="16"/>
        </w:rPr>
        <w:t xml:space="preserve">KOMMENTAR </w:t>
      </w:r>
      <w:r>
        <w:rPr>
          <w:rFonts w:ascii="Noto Sans" w:hAnsi="Noto Sans"/>
          <w:color w:val="2C2C2E"/>
          <w:sz w:val="17"/>
        </w:rPr>
        <w:t>Eine Steuervergünstigung für vermeintliche Verbesserung braucht die Frage: besser als was? Baseline und Gegenfaktum reduzieren Scheinwirkung.</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standardisierten Produktsteuern können gesetzliche Benchmarks die Einzelfall-Baseline ersetzen, wenn sie fachlich und rechtlich tragfähig definiert sind.</w:t>
      </w:r>
    </w:p>
    <w:p>
      <w:pPr>
        <w:pStyle w:val="Heading2"/>
        <w:keepNext/>
      </w:pPr>
      <w:r>
        <w:t>§ 13 Evidenzgrad</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Jede wirkungsbezogene Einstufung führt einen Evidenzgrad. Mindestens werden amtlicher Fakt, empirisch gut belegt, plausibler Wirkpfad, Modellannahme und offen unterschieden.</w:t>
      </w:r>
    </w:p>
    <w:p>
      <w:pPr>
        <w:pStyle w:val="Commentary"/>
      </w:pPr>
      <w:r>
        <w:rPr>
          <w:rFonts w:ascii="Noto Sans" w:hAnsi="Noto Sans"/>
          <w:b/>
          <w:color w:val="2F7D5C"/>
          <w:sz w:val="16"/>
        </w:rPr>
        <w:t xml:space="preserve">KOMMENTAR </w:t>
      </w:r>
      <w:r>
        <w:rPr>
          <w:rFonts w:ascii="Noto Sans" w:hAnsi="Noto Sans"/>
          <w:color w:val="2C2C2E"/>
          <w:sz w:val="17"/>
        </w:rPr>
        <w:t>Wirkungsrichtung und Evidenzsicherheit sind getrennte Achsen. Ein positiver Modellpfad kann geringe Evidenz haben; ein negativer Befund kann sehr hohe Evidenz haben.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Belastende Steuerfolgen verlangen grundsätzlich höhere Evidenz als unverbindliche Information oder Pilot-Schattenrechnung.</w:t>
      </w:r>
    </w:p>
    <w:p>
      <w:pPr>
        <w:pStyle w:val="Heading2"/>
        <w:keepNext/>
      </w:pPr>
      <w:r>
        <w:t>§ 14 Datenqualität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Daten werden nach Herkunft, Vollständigkeit, Genauigkeit, Aktualität, Vergleichbarkeit, Repräsentativität und Prüfstatus bewertet.</w:t>
      </w:r>
    </w:p>
    <w:p>
      <w:pPr>
        <w:pStyle w:val="Commentary"/>
      </w:pPr>
      <w:r>
        <w:rPr>
          <w:rFonts w:ascii="Noto Sans" w:hAnsi="Noto Sans"/>
          <w:b/>
          <w:color w:val="2F7D5C"/>
          <w:sz w:val="16"/>
        </w:rPr>
        <w:t xml:space="preserve">KOMMENTAR </w:t>
      </w:r>
      <w:r>
        <w:rPr>
          <w:rFonts w:ascii="Noto Sans" w:hAnsi="Noto Sans"/>
          <w:color w:val="2C2C2E"/>
          <w:sz w:val="17"/>
        </w:rPr>
        <w:t>Nicht jede Nachhaltigkeitszahl ist automatisch steuerfähig. Entscheidend ist die Eignung für die konkrete Wirkungsfrage.</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geringer Datenqualität kann eine Entlastung versagt bleiben; eine zusätzliche Belastung darf daraus nicht automatisch folgen, sofern das Gesetz keinen begründeten und widerlegbaren Default vorsieht.</w:t>
      </w:r>
    </w:p>
    <w:p>
      <w:pPr>
        <w:pStyle w:val="Heading2"/>
        <w:keepNext/>
      </w:pPr>
      <w:r>
        <w:t>§ 15 Zurechnung und Beitrag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Wirkungen werden nur so genau einem Steuerpflichtigen, Produkt oder Kapitalfluss zugerechnet, wie Datenlage und Untersuchungsdesign es tragen. Zulässig sind direkte Zurechnung, plausibler Beitrag, systemische Mitwirkung und derzeit unklare Zurechnung.</w:t>
      </w:r>
    </w:p>
    <w:p>
      <w:pPr>
        <w:pStyle w:val="Commentary"/>
      </w:pPr>
      <w:r>
        <w:rPr>
          <w:rFonts w:ascii="Noto Sans" w:hAnsi="Noto Sans"/>
          <w:b/>
          <w:color w:val="2F7D5C"/>
          <w:sz w:val="16"/>
        </w:rPr>
        <w:t xml:space="preserve">KOMMENTAR </w:t>
      </w:r>
      <w:r>
        <w:rPr>
          <w:rFonts w:ascii="Noto Sans" w:hAnsi="Noto Sans"/>
          <w:color w:val="2C2C2E"/>
          <w:sz w:val="17"/>
        </w:rPr>
        <w:t>Diese Abstufung verhindert Scheingenauigkeit und macht komplexe Lieferketten rechtlich ehrlicher.</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Prozentgenaue Attribution ist nur zu verwenden, wenn die Methode sie trägt.</w:t>
      </w:r>
    </w:p>
    <w:p>
      <w:pPr>
        <w:pStyle w:val="Heading2"/>
        <w:keepNext/>
      </w:pPr>
      <w:r>
        <w:t>§ 16 Unsicherheit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Unsicherheit über Daten, Mechanismen, Zukunftsverläufe, Zurechnung oder Bewertung wird ausgewiesen und darf nicht durch eine präzise Zahl verdeckt werden.</w:t>
      </w:r>
    </w:p>
    <w:p>
      <w:pPr>
        <w:pStyle w:val="Commentary"/>
      </w:pPr>
      <w:r>
        <w:rPr>
          <w:rFonts w:ascii="Noto Sans" w:hAnsi="Noto Sans"/>
          <w:b/>
          <w:color w:val="2F7D5C"/>
          <w:sz w:val="16"/>
        </w:rPr>
        <w:t xml:space="preserve">KOMMENTAR </w:t>
      </w:r>
      <w:r>
        <w:rPr>
          <w:rFonts w:ascii="Noto Sans" w:hAnsi="Noto Sans"/>
          <w:color w:val="2C2C2E"/>
          <w:sz w:val="17"/>
        </w:rPr>
        <w:t>Unklarheit ist ein Informationszustand, kein Nullwert.</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Für belastende Default-Regeln müssen Risiko, Verfügbarkeit besserer Daten und Widerlegungsmöglichkeit besonders begründet sein.</w:t>
      </w:r>
    </w:p>
    <w:p>
      <w:pPr>
        <w:pStyle w:val="Heading2"/>
        <w:keepNext/>
      </w:pPr>
      <w:r>
        <w:t>§ 17 Scorecards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Scorecards strukturieren Wirkungsfelder, Indikatoren, Datenqualität, Benchmarks, Schutzregeln und dokumentierte Herleitungen.</w:t>
      </w:r>
    </w:p>
    <w:p>
      <w:pPr>
        <w:pStyle w:val="Commentary"/>
      </w:pPr>
      <w:r>
        <w:rPr>
          <w:rFonts w:ascii="Noto Sans" w:hAnsi="Noto Sans"/>
          <w:b/>
          <w:color w:val="2F7D5C"/>
          <w:sz w:val="16"/>
        </w:rPr>
        <w:t xml:space="preserve">KOMMENTAR </w:t>
      </w:r>
      <w:r>
        <w:rPr>
          <w:rFonts w:ascii="Noto Sans" w:hAnsi="Noto Sans"/>
          <w:color w:val="2C2C2E"/>
          <w:sz w:val="17"/>
        </w:rPr>
        <w:t>Scorecards sind Beweis- und Entscheidungsunterstützung, keine autonome Rechtsquelle.</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Eine veröffentlichte Scorecard muss Rohfelder und kritische Grenzen sichtbar lassen; der aggregierte Endwert darf sie nicht verdrängen.</w:t>
      </w:r>
    </w:p>
    <w:p>
      <w:pPr>
        <w:pStyle w:val="Heading2"/>
        <w:keepNext/>
      </w:pPr>
      <w:r>
        <w:t>§ 18 WÖk-ID und steuerliche Objektidentifikation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WÖk-IDs kennzeichnen Wirkungsindikatoren oder bewertbare Wirkungseinheiten. Produkte, Anlagen, Organisationen und Transaktionen verwenden gesonderte gesetzliche oder technische Objektidentifikatoren.</w:t>
      </w:r>
    </w:p>
    <w:p>
      <w:pPr>
        <w:pStyle w:val="Commentary"/>
      </w:pPr>
      <w:r>
        <w:rPr>
          <w:rFonts w:ascii="Noto Sans" w:hAnsi="Noto Sans"/>
          <w:b/>
          <w:color w:val="2F7D5C"/>
          <w:sz w:val="16"/>
        </w:rPr>
        <w:t xml:space="preserve">KOMMENTAR </w:t>
      </w:r>
      <w:r>
        <w:rPr>
          <w:rFonts w:ascii="Noto Sans" w:hAnsi="Noto Sans"/>
          <w:color w:val="2C2C2E"/>
          <w:sz w:val="17"/>
        </w:rPr>
        <w:t>Dies korrigiert einen Kernfehler des WStG 2025: Die WÖk-ID ist keine universelle Produkt-ID.</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Produkten sollen bestehende eindeutige Produktkennungen und der digitale Produktpass genutzt werden. [E13]</w:t>
      </w:r>
    </w:p>
    <w:p>
      <w:pPr>
        <w:pStyle w:val="Heading2"/>
        <w:keepNext/>
      </w:pPr>
      <w:r>
        <w:t>§ 19 Benchmarks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Benchmarks dürfen steuerlich nur verwendet werden, wenn Referenzpopulation, Branche, Region, Technologie, Gültigkeitszeitraum, Quelle, Validierung und Status dokumentiert sind.</w:t>
      </w:r>
    </w:p>
    <w:p>
      <w:pPr>
        <w:pStyle w:val="Commentary"/>
      </w:pPr>
      <w:r>
        <w:rPr>
          <w:rFonts w:ascii="Noto Sans" w:hAnsi="Noto Sans"/>
          <w:b/>
          <w:color w:val="2F7D5C"/>
          <w:sz w:val="16"/>
        </w:rPr>
        <w:t xml:space="preserve">KOMMENTAR </w:t>
      </w:r>
      <w:r>
        <w:rPr>
          <w:rFonts w:ascii="Noto Sans" w:hAnsi="Noto Sans"/>
          <w:color w:val="2C2C2E"/>
          <w:sz w:val="17"/>
        </w:rPr>
        <w:t>Ein Schwellenwert ist nicht automatisch ein Benchmark.</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WÖk-Arbeitskalibrierungen bleiben bis zur Validierung Pilot- oder Simulationswerte.</w:t>
      </w:r>
    </w:p>
    <w:p>
      <w:pPr>
        <w:pStyle w:val="Heading2"/>
        <w:keepNext/>
      </w:pPr>
      <w:r>
        <w:t>§ 20 Quellenfunktion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Jede tragende Quelle wird ihrer Funktion zugeordnet, insbesondere Recht, Datensatz, Messstandard, Berichtsstandard, Benchmark, Schwellenquelle, Mechanismusbeleg oder WÖk-Kalibrierung.</w:t>
      </w:r>
    </w:p>
    <w:p>
      <w:pPr>
        <w:pStyle w:val="Commentary"/>
      </w:pPr>
      <w:r>
        <w:rPr>
          <w:rFonts w:ascii="Noto Sans" w:hAnsi="Noto Sans"/>
          <w:b/>
          <w:color w:val="2F7D5C"/>
          <w:sz w:val="16"/>
        </w:rPr>
        <w:t xml:space="preserve">KOMMENTAR </w:t>
      </w:r>
      <w:r>
        <w:rPr>
          <w:rFonts w:ascii="Noto Sans" w:hAnsi="Noto Sans"/>
          <w:color w:val="2C2C2E"/>
          <w:sz w:val="17"/>
        </w:rPr>
        <w:t>Ein Messstandard belegt nicht automatisch einen normativen Grenzwert. Diese Trennung ist aus dem Registeraudit 2026 zentral gelernt worden.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Rechtsfolgen muss die Quelle für den konkret beanspruchten Zweck tragfähig sein.</w:t>
      </w:r>
    </w:p>
    <w:p>
      <w:pPr>
        <w:pStyle w:val="Heading2"/>
        <w:keepNext/>
      </w:pPr>
      <w:r>
        <w:t>§ 21 Netto-Wirkungs-Index</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Der NWI kann als operative Verdichtung einer geprüften Netto-Wirkung verwendet werden, wenn zugrunde liegende Felder, Datenqualität und Schutzgrenzen sichtbar bleiben.</w:t>
      </w:r>
    </w:p>
    <w:p>
      <w:pPr>
        <w:pStyle w:val="Commentary"/>
      </w:pPr>
      <w:r>
        <w:rPr>
          <w:rFonts w:ascii="Noto Sans" w:hAnsi="Noto Sans"/>
          <w:b/>
          <w:color w:val="2F7D5C"/>
          <w:sz w:val="16"/>
        </w:rPr>
        <w:t xml:space="preserve">KOMMENTAR </w:t>
      </w:r>
      <w:r>
        <w:rPr>
          <w:rFonts w:ascii="Noto Sans" w:hAnsi="Noto Sans"/>
          <w:color w:val="2C2C2E"/>
          <w:sz w:val="17"/>
        </w:rPr>
        <w:t>Der NWI beantwortet die Frage, was netto übrig bleibt. Er ist keine Transformationskennzahl.</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Ein NWI kann eine gesetzliche Tatbestandsprüfung unterstützen, ersetzt sie aber nicht.</w:t>
      </w:r>
    </w:p>
    <w:p>
      <w:pPr>
        <w:pStyle w:val="Heading2"/>
        <w:keepNext/>
      </w:pPr>
      <w:r>
        <w:t>§ 22 Transformationswirkung und T-SROI</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Transformationswirkung wird getrennt von Netto-Wirkung geprüft. T-SROI kann systemische Hebelwirkung bewerten, setzt aber eine tragfähige Netto-Wirkung voraus.</w:t>
      </w:r>
    </w:p>
    <w:p>
      <w:pPr>
        <w:pStyle w:val="Commentary"/>
      </w:pPr>
      <w:r>
        <w:rPr>
          <w:rFonts w:ascii="Noto Sans" w:hAnsi="Noto Sans"/>
          <w:b/>
          <w:color w:val="2F7D5C"/>
          <w:sz w:val="16"/>
        </w:rPr>
        <w:t xml:space="preserve">KOMMENTAR </w:t>
      </w:r>
      <w:r>
        <w:rPr>
          <w:rFonts w:ascii="Noto Sans" w:hAnsi="Noto Sans"/>
          <w:color w:val="2C2C2E"/>
          <w:sz w:val="17"/>
        </w:rPr>
        <w:t>Eine stark systemverändernde Aktivität kann destruktiv sein. Deshalb darf Transformationswirkung keine negative Netto-Wirkung retten.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Steuerliche Transformationsgutschriften brauchen zusätzlich Erfolgskontrolle und Rückforderungsregeln.</w:t>
      </w:r>
    </w:p>
    <w:p>
      <w:pPr>
        <w:pStyle w:val="Heading2"/>
        <w:keepNext/>
      </w:pPr>
      <w:r>
        <w:t>§ 23 Nichtkompensationsprinzip</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Schwere oder grenzverletzende negative Wirkung darf nicht durch positive Wirkung in anderen Feldern, Regionen, Zeiträumen oder Lebenszyklusphasen neutralisiert werden.</w:t>
      </w:r>
    </w:p>
    <w:p>
      <w:pPr>
        <w:pStyle w:val="Commentary"/>
      </w:pPr>
      <w:r>
        <w:rPr>
          <w:rFonts w:ascii="Noto Sans" w:hAnsi="Noto Sans"/>
          <w:b/>
          <w:color w:val="2F7D5C"/>
          <w:sz w:val="16"/>
        </w:rPr>
        <w:t xml:space="preserve">KOMMENTAR </w:t>
      </w:r>
      <w:r>
        <w:rPr>
          <w:rFonts w:ascii="Noto Sans" w:hAnsi="Noto Sans"/>
          <w:color w:val="2C2C2E"/>
          <w:sz w:val="17"/>
        </w:rPr>
        <w:t>Nichtkompensation verhindert Ablasslogik. Sie bedeutet nicht, dass jeder Zielkonflikt automatisch jede Begünstigung ausschließt.</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Welche Grenze blockierend wirkt, muss materiell und vorab definiert sein.</w:t>
      </w:r>
    </w:p>
    <w:p>
      <w:pPr>
        <w:pStyle w:val="Heading2"/>
        <w:keepNext/>
      </w:pPr>
      <w:r>
        <w:t>§ 24 Reverse Merit Order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Reverse Merit Order kann gesetzlich oder methodisch vorsehen, dass das kritischste zentrale Wirkungsfeld oder eine verletzte Wirkungsgrenze die Gesamtbewertung begrenzt.</w:t>
      </w:r>
    </w:p>
    <w:p>
      <w:pPr>
        <w:pStyle w:val="Commentary"/>
      </w:pPr>
      <w:r>
        <w:rPr>
          <w:rFonts w:ascii="Noto Sans" w:hAnsi="Noto Sans"/>
          <w:b/>
          <w:color w:val="2F7D5C"/>
          <w:sz w:val="16"/>
        </w:rPr>
        <w:t xml:space="preserve">KOMMENTAR </w:t>
      </w:r>
      <w:r>
        <w:rPr>
          <w:rFonts w:ascii="Noto Sans" w:hAnsi="Noto Sans"/>
          <w:color w:val="2C2C2E"/>
          <w:sz w:val="17"/>
        </w:rPr>
        <w:t>Die RMO ist die Operationalisierung einer Schutzlogik, nicht das Prinzip selbst.</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Nicht jedes schwache Mikrofeld führt zur Höchstbelastung; Materialität und gesetzlicher Schutzbereich entscheiden.</w:t>
      </w:r>
    </w:p>
    <w:p>
      <w:pPr>
        <w:pStyle w:val="Heading2"/>
        <w:keepNext/>
      </w:pPr>
      <w:r>
        <w:t>§ 25 Materialität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Wirkungsfelder werden nur dann steuerlich berücksichtigt, wenn ihr Bezug zum Steuergegenstand hinreichend materiell, messbar oder begründet risikorelevant ist.</w:t>
      </w:r>
    </w:p>
    <w:p>
      <w:pPr>
        <w:pStyle w:val="Commentary"/>
      </w:pPr>
      <w:r>
        <w:rPr>
          <w:rFonts w:ascii="Noto Sans" w:hAnsi="Noto Sans"/>
          <w:b/>
          <w:color w:val="2F7D5C"/>
          <w:sz w:val="16"/>
        </w:rPr>
        <w:t xml:space="preserve">KOMMENTAR </w:t>
      </w:r>
      <w:r>
        <w:rPr>
          <w:rFonts w:ascii="Noto Sans" w:hAnsi="Noto Sans"/>
          <w:color w:val="2C2C2E"/>
          <w:sz w:val="17"/>
        </w:rPr>
        <w:t>Das Materialitätsprinzip schützt vor Übermessung und Bürokratie.</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KMU und Produkten mit geringer Systemwirkung sind vereinfachte Standardverfahren vorzusehen.</w:t>
      </w:r>
    </w:p>
    <w:p>
      <w:pPr>
        <w:pStyle w:val="Heading2"/>
        <w:keepNext/>
      </w:pPr>
      <w:r>
        <w:t>§ 26 Systemgrenzen und Lebenszyklus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Bewertung benennt räumliche, zeitliche, organisatorische und sachliche Systemgrenzen. Bei Produkten werden relevante Lebenszyklus- und Lieferkettenstufen berücksichtigt.</w:t>
      </w:r>
    </w:p>
    <w:p>
      <w:pPr>
        <w:pStyle w:val="Commentary"/>
      </w:pPr>
      <w:r>
        <w:rPr>
          <w:rFonts w:ascii="Noto Sans" w:hAnsi="Noto Sans"/>
          <w:b/>
          <w:color w:val="2F7D5C"/>
          <w:sz w:val="16"/>
        </w:rPr>
        <w:t xml:space="preserve">KOMMENTAR </w:t>
      </w:r>
      <w:r>
        <w:rPr>
          <w:rFonts w:ascii="Noto Sans" w:hAnsi="Noto Sans"/>
          <w:color w:val="2C2C2E"/>
          <w:sz w:val="17"/>
        </w:rPr>
        <w:t>Wirkung darf nicht durch Bilanzgrenzen verschwinden.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Doppelerfassung derselben Wirkung in mehreren Steuerarten ist nach § 59 zu vermeiden.</w:t>
      </w:r>
    </w:p>
    <w:p>
      <w:pPr>
        <w:pStyle w:val="Heading2"/>
        <w:keepNext/>
      </w:pPr>
      <w:r>
        <w:t>§ 27 Verteilung und Zeitwirkung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Wirkungsbewertungen berücksichtigen, wer Nutzen und Lasten trägt, wann sie eintreten und ob Lasten auf kommende Generationen verlagert werden.</w:t>
      </w:r>
    </w:p>
    <w:p>
      <w:pPr>
        <w:pStyle w:val="Commentary"/>
      </w:pPr>
      <w:r>
        <w:rPr>
          <w:rFonts w:ascii="Noto Sans" w:hAnsi="Noto Sans"/>
          <w:b/>
          <w:color w:val="2F7D5C"/>
          <w:sz w:val="16"/>
        </w:rPr>
        <w:t xml:space="preserve">KOMMENTAR </w:t>
      </w:r>
      <w:r>
        <w:rPr>
          <w:rFonts w:ascii="Noto Sans" w:hAnsi="Noto Sans"/>
          <w:color w:val="2C2C2E"/>
          <w:sz w:val="17"/>
        </w:rPr>
        <w:t>Ein identischer Durchschnitt kann sehr unterschiedliche Verteilung erzeugen. Die Wirkungssteuer muss daher nicht nur Menge, sondern Betroffenheit lesen.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Der Klimabeschluss des BVerfG ist ein wichtiger Bezugspunkt für intertemporale Freiheitsbelastung, ohne eine allgemeine WÖk-Verfassung zu schaffen. [E9]</w:t>
      </w:r>
    </w:p>
    <w:p>
      <w:pPr>
        <w:pStyle w:val="Heading2"/>
        <w:keepNext/>
      </w:pPr>
      <w:r>
        <w:t>§ 28 Nebenwirkungen, Rebound, Spillover und Leakage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Relevante Nebenwirkungen, Gegenwirkungen, Rebound-Effekte, grenzüberschreitende Spillover und Wirkungsverlagerungen sind zu prüfen.</w:t>
      </w:r>
    </w:p>
    <w:p>
      <w:pPr>
        <w:pStyle w:val="Commentary"/>
      </w:pPr>
      <w:r>
        <w:rPr>
          <w:rFonts w:ascii="Noto Sans" w:hAnsi="Noto Sans"/>
          <w:b/>
          <w:color w:val="2F7D5C"/>
          <w:sz w:val="16"/>
        </w:rPr>
        <w:t xml:space="preserve">KOMMENTAR </w:t>
      </w:r>
      <w:r>
        <w:rPr>
          <w:rFonts w:ascii="Noto Sans" w:hAnsi="Noto Sans"/>
          <w:color w:val="2C2C2E"/>
          <w:sz w:val="17"/>
        </w:rPr>
        <w:t>Eine scheinbar positive Maßnahme kann Belastung nur verschieben.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Grenz- und Importregeln sind unions- und handelsrechtliche Gleichbehandlung besonders zu beachten.</w:t>
      </w:r>
    </w:p>
    <w:p>
      <w:pPr>
        <w:pStyle w:val="Heading2"/>
        <w:keepNext/>
      </w:pPr>
      <w:r>
        <w:t>§ 29 Rechtliche Grenzwerte und fachliche Schwellen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Gesetzliche Grenzwerte, rechtsverbindliche Standards, wissenschaftliche Schwellen und WÖk-Kalibrierungen sind getrennt zu dokumentieren.</w:t>
      </w:r>
    </w:p>
    <w:p>
      <w:pPr>
        <w:pStyle w:val="Commentary"/>
      </w:pPr>
      <w:r>
        <w:rPr>
          <w:rFonts w:ascii="Noto Sans" w:hAnsi="Noto Sans"/>
          <w:b/>
          <w:color w:val="2F7D5C"/>
          <w:sz w:val="16"/>
        </w:rPr>
        <w:t xml:space="preserve">KOMMENTAR </w:t>
      </w:r>
      <w:r>
        <w:rPr>
          <w:rFonts w:ascii="Noto Sans" w:hAnsi="Noto Sans"/>
          <w:color w:val="2C2C2E"/>
          <w:sz w:val="17"/>
        </w:rPr>
        <w:t>Recht, Wissenschaft und WÖk-Methodik erfüllen verschiedene Funktionen.</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Eine interne WÖk-Schwelle kann Pilotwissen sein, darf aber nicht als gesetzliche Grenze ausgegeben werden.</w:t>
      </w:r>
    </w:p>
    <w:p>
      <w:pPr>
        <w:pStyle w:val="Heading2"/>
        <w:keepNext/>
      </w:pPr>
      <w:r>
        <w:t>§ 30 Neutral, ambivalent und offen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Neutral bedeutet, dass keine relevante positive oder negative Zustandsveränderung festgestellt wurde. Ambivalent bedeutet gegenläufige Wirkungen. Offen bedeutet unzureichende Evidenz oder fehlende Daten.</w:t>
      </w:r>
    </w:p>
    <w:p>
      <w:pPr>
        <w:pStyle w:val="Commentary"/>
      </w:pPr>
      <w:r>
        <w:rPr>
          <w:rFonts w:ascii="Noto Sans" w:hAnsi="Noto Sans"/>
          <w:b/>
          <w:color w:val="2F7D5C"/>
          <w:sz w:val="16"/>
        </w:rPr>
        <w:t xml:space="preserve">KOMMENTAR </w:t>
      </w:r>
      <w:r>
        <w:rPr>
          <w:rFonts w:ascii="Noto Sans" w:hAnsi="Noto Sans"/>
          <w:color w:val="2C2C2E"/>
          <w:sz w:val="17"/>
        </w:rPr>
        <w:t>Offen ist nicht neutral. Diese Korrektur ist für jede Steuerfolge zentral.</w:t>
      </w:r>
    </w:p>
    <w:p>
      <w:pPr>
        <w:pStyle w:val="Rationale"/>
      </w:pPr>
      <w:r>
        <w:rPr>
          <w:rFonts w:ascii="Noto Sans" w:hAnsi="Noto Sans"/>
          <w:b/>
          <w:color w:val="C89B3C"/>
          <w:sz w:val="16"/>
        </w:rPr>
        <w:t xml:space="preserve">BEGRÜNDUNG </w:t>
      </w:r>
      <w:r>
        <w:rPr>
          <w:rFonts w:ascii="Noto Sans" w:hAnsi="Noto Sans"/>
          <w:color w:val="2C2C2E"/>
          <w:sz w:val="17"/>
        </w:rPr>
        <w:t>Der Paragraph überführt die evidenz- und methodenbezogenen Schutzregeln des Begriffsleitfadens v1.5 und der Root-Governance in steuerliche Verfahrensprinzipien. [I4][I5]</w:t>
      </w:r>
    </w:p>
    <w:p>
      <w:pPr>
        <w:pStyle w:val="LegalNote"/>
      </w:pPr>
      <w:r>
        <w:rPr>
          <w:rFonts w:ascii="Noto Sans" w:hAnsi="Noto Sans"/>
          <w:b/>
          <w:color w:val="C85A3C"/>
          <w:sz w:val="16"/>
        </w:rPr>
        <w:t xml:space="preserve">RECHTS- UND UMSETZUNGSNOTIZ </w:t>
      </w:r>
      <w:r>
        <w:rPr>
          <w:rFonts w:ascii="Noto Sans" w:hAnsi="Noto Sans"/>
          <w:color w:val="2C2C2E"/>
          <w:sz w:val="17"/>
        </w:rPr>
        <w:t>Bei offenen Daten gilt grundsätzlich die normale Steuerbehandlung ohne Wirkungsentlastung; zusätzliche Belastungen erfordern eine eigene gesetzliche Grundlage.</w:t>
      </w:r>
    </w:p>
    <w:p>
      <w:pPr>
        <w:pStyle w:val="Heading2"/>
      </w:pPr>
      <w:r>
        <w:t>Abschnitt 3 – Daten-, Register- und Digitalarchitektur</w:t>
      </w:r>
    </w:p>
    <w:p>
      <w:pPr>
        <w:pStyle w:val="Heading2"/>
        <w:keepNext/>
      </w:pPr>
      <w:r>
        <w:t>§ 31 Wirkungsdatenregister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Ein zentrales, versioniertes Wirkungsdatenregister führt anerkannte Indikatoren, WÖk-IDs, Quellenfunktionen, Datenqualitätsregeln, Benchmarkstatus, Schutzgrenzen und methodische Versionen.</w:t>
      </w:r>
    </w:p>
    <w:p>
      <w:pPr>
        <w:pStyle w:val="Commentary"/>
      </w:pPr>
      <w:r>
        <w:rPr>
          <w:rFonts w:ascii="Noto Sans" w:hAnsi="Noto Sans"/>
          <w:b/>
          <w:color w:val="2F7D5C"/>
          <w:sz w:val="16"/>
        </w:rPr>
        <w:t xml:space="preserve">KOMMENTAR </w:t>
      </w:r>
      <w:r>
        <w:rPr>
          <w:rFonts w:ascii="Noto Sans" w:hAnsi="Noto Sans"/>
          <w:color w:val="2C2C2E"/>
          <w:sz w:val="17"/>
        </w:rPr>
        <w:t>Das Register ist technische Infrastruktur, keine Steuerbehörde.</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Das Masterregister v1.4 bildet dafür bereits einen Pilotkern mit 621 WÖk-IDs und 204 Indikatorfamilien. [I6]</w:t>
      </w:r>
    </w:p>
    <w:p>
      <w:pPr>
        <w:pStyle w:val="Heading2"/>
        <w:keepNext/>
      </w:pPr>
      <w:r>
        <w:t>§ 32 Wirkungsnachweiskonto</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Für steuerpflichtige Rechtsträger kann ein Wirkungsnachweiskonto geführt werden, das geprüfte Nachweise, Datenstände, Versionen, Gutschriftstatbestände und Prüfpfade speichert. Eine steuerartenübergreifende moralische Wirkungssumme wird nicht gebildet.</w:t>
      </w:r>
    </w:p>
    <w:p>
      <w:pPr>
        <w:pStyle w:val="Commentary"/>
      </w:pPr>
      <w:r>
        <w:rPr>
          <w:rFonts w:ascii="Noto Sans" w:hAnsi="Noto Sans"/>
          <w:b/>
          <w:color w:val="2F7D5C"/>
          <w:sz w:val="16"/>
        </w:rPr>
        <w:t xml:space="preserve">KOMMENTAR </w:t>
      </w:r>
      <w:r>
        <w:rPr>
          <w:rFonts w:ascii="Noto Sans" w:hAnsi="Noto Sans"/>
          <w:color w:val="2C2C2E"/>
          <w:sz w:val="17"/>
        </w:rPr>
        <w:t>Das neue Nachweiskonto ersetzt das alte Wirkungssteuerkonto als saldierende Wirkungsbilanz.</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Steuerfolgen werden je Steuerart berechnet; das Konto dient nur Nachweis und Wiederverwendung.</w:t>
      </w:r>
    </w:p>
    <w:p>
      <w:pPr>
        <w:pStyle w:val="Heading2"/>
        <w:keepNext/>
      </w:pPr>
      <w:r>
        <w:t>§ 33 Digitaler Produktpass und Produktidentität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Soweit unionsrechtlich verfügbar, sind Produktwirkungen an eindeutige Produktkennungen und den digitalen Produktpass anzubinden.</w:t>
      </w:r>
    </w:p>
    <w:p>
      <w:pPr>
        <w:pStyle w:val="Commentary"/>
      </w:pPr>
      <w:r>
        <w:rPr>
          <w:rFonts w:ascii="Noto Sans" w:hAnsi="Noto Sans"/>
          <w:b/>
          <w:color w:val="2F7D5C"/>
          <w:sz w:val="16"/>
        </w:rPr>
        <w:t xml:space="preserve">KOMMENTAR </w:t>
      </w:r>
      <w:r>
        <w:rPr>
          <w:rFonts w:ascii="Noto Sans" w:hAnsi="Noto Sans"/>
          <w:color w:val="2C2C2E"/>
          <w:sz w:val="17"/>
        </w:rPr>
        <w:t>Der DPP ist der logische technische Träger für produktbezogene Wirkung, während WÖk-IDs die Indikatoren beschreiben.</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Die ESPR schafft die DPP-Infrastruktur; das EU-DPP-Register kann für die Pilotierung genutzt werden. [E13]</w:t>
      </w:r>
    </w:p>
    <w:p>
      <w:pPr>
        <w:pStyle w:val="Heading2"/>
        <w:keepNext/>
      </w:pPr>
      <w:r>
        <w:t>§ 34 E-Rechnung, ERP und Buchführung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Wirkungsnachweise sollen über bestehende E-Rechnungs-, Buchführungs-, ERP-, Zoll- und Steuerprozesse transportiert werden, soweit dies interoperabel möglich ist.</w:t>
      </w:r>
    </w:p>
    <w:p>
      <w:pPr>
        <w:pStyle w:val="Commentary"/>
      </w:pPr>
      <w:r>
        <w:rPr>
          <w:rFonts w:ascii="Noto Sans" w:hAnsi="Noto Sans"/>
          <w:b/>
          <w:color w:val="2F7D5C"/>
          <w:sz w:val="16"/>
        </w:rPr>
        <w:t xml:space="preserve">KOMMENTAR </w:t>
      </w:r>
      <w:r>
        <w:rPr>
          <w:rFonts w:ascii="Noto Sans" w:hAnsi="Noto Sans"/>
          <w:color w:val="2C2C2E"/>
          <w:sz w:val="17"/>
        </w:rPr>
        <w:t>Das Ziel ist einmal sauber erheben, mehrfach nutzen - nicht ein zweites Berichtssystem.</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Technische Einführung muss schrittweise und standardisiert erfolgen.</w:t>
      </w:r>
    </w:p>
    <w:p>
      <w:pPr>
        <w:pStyle w:val="Heading2"/>
        <w:keepNext/>
      </w:pPr>
      <w:r>
        <w:t>§ 35 Datenminimierung und Zweckbindung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Es dürfen nur die für das jeweilige Wirkungsmodul erforderlichen Daten verarbeitet werden. Personenbezogene Daten sind zu minimieren und soweit möglich zu aggregieren oder zu pseudonymisieren.</w:t>
      </w:r>
    </w:p>
    <w:p>
      <w:pPr>
        <w:pStyle w:val="Commentary"/>
      </w:pPr>
      <w:r>
        <w:rPr>
          <w:rFonts w:ascii="Noto Sans" w:hAnsi="Noto Sans"/>
          <w:b/>
          <w:color w:val="2F7D5C"/>
          <w:sz w:val="16"/>
        </w:rPr>
        <w:t xml:space="preserve">KOMMENTAR </w:t>
      </w:r>
      <w:r>
        <w:rPr>
          <w:rFonts w:ascii="Noto Sans" w:hAnsi="Noto Sans"/>
          <w:color w:val="2C2C2E"/>
          <w:sz w:val="17"/>
        </w:rPr>
        <w:t>Wirkungssteuer darf nicht zum Überwachungsprojekt werden.</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DSGVO und Grundrechte bleiben eigenständige Rechtsgrundlagen.</w:t>
      </w:r>
    </w:p>
    <w:p>
      <w:pPr>
        <w:pStyle w:val="Heading2"/>
        <w:keepNext/>
      </w:pPr>
      <w:r>
        <w:t>§ 36 Automatisierte Bewertungssysteme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Automatisierte Systeme dürfen Wirkungsdaten aufbereiten und regelgebundene Vorprüfungen durchführen. Belastende Entscheidungen müssen nachvollziehbar, überprüfbar und korrigierbar sein.</w:t>
      </w:r>
    </w:p>
    <w:p>
      <w:pPr>
        <w:pStyle w:val="Commentary"/>
      </w:pPr>
      <w:r>
        <w:rPr>
          <w:rFonts w:ascii="Noto Sans" w:hAnsi="Noto Sans"/>
          <w:b/>
          <w:color w:val="2F7D5C"/>
          <w:sz w:val="16"/>
        </w:rPr>
        <w:t xml:space="preserve">KOMMENTAR </w:t>
      </w:r>
      <w:r>
        <w:rPr>
          <w:rFonts w:ascii="Noto Sans" w:hAnsi="Noto Sans"/>
          <w:color w:val="2C2C2E"/>
          <w:sz w:val="17"/>
        </w:rPr>
        <w:t>KI kann Rechenarbeit übernehmen, aber nicht demokratische Tarifsetzung oder letztverbindliche Normsetzung.</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Bei risikorelevanten automatisierten Entscheidungen sind menschliche Kontroll- und Rechtsbehelfswege vorzusehen.</w:t>
      </w:r>
    </w:p>
    <w:p>
      <w:pPr>
        <w:pStyle w:val="Heading2"/>
        <w:keepNext/>
      </w:pPr>
      <w:r>
        <w:t>§ 37 Audit-Trail und Revisionssicherheit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Jede steuerlich relevante Wirkungsbewertung muss Datenquelle, Version, Bewertungsregel, Ergebnis, Prüferstatus und nachträgliche Änderungen nachvollziehbar speichern.</w:t>
      </w:r>
    </w:p>
    <w:p>
      <w:pPr>
        <w:pStyle w:val="Commentary"/>
      </w:pPr>
      <w:r>
        <w:rPr>
          <w:rFonts w:ascii="Noto Sans" w:hAnsi="Noto Sans"/>
          <w:b/>
          <w:color w:val="2F7D5C"/>
          <w:sz w:val="16"/>
        </w:rPr>
        <w:t xml:space="preserve">KOMMENTAR </w:t>
      </w:r>
      <w:r>
        <w:rPr>
          <w:rFonts w:ascii="Noto Sans" w:hAnsi="Noto Sans"/>
          <w:color w:val="2C2C2E"/>
          <w:sz w:val="17"/>
        </w:rPr>
        <w:t>Auditierbarkeit ersetzt nicht Evidenz, macht sie aber prüfbar.</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Historische Fassungen dürfen bei Rechtsstreitigkeiten rekonstruierbar bleiben.</w:t>
      </w:r>
    </w:p>
    <w:p>
      <w:pPr>
        <w:pStyle w:val="Heading2"/>
        <w:keepNext/>
      </w:pPr>
      <w:r>
        <w:t>§ 38 Datenkorrektur und Berichtigung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Steuerpflichtige und betroffene Datenlieferanten erhalten Verfahren zur Korrektur objektiv falscher Wirkungsdaten.</w:t>
      </w:r>
    </w:p>
    <w:p>
      <w:pPr>
        <w:pStyle w:val="Commentary"/>
      </w:pPr>
      <w:r>
        <w:rPr>
          <w:rFonts w:ascii="Noto Sans" w:hAnsi="Noto Sans"/>
          <w:b/>
          <w:color w:val="2F7D5C"/>
          <w:sz w:val="16"/>
        </w:rPr>
        <w:t xml:space="preserve">KOMMENTAR </w:t>
      </w:r>
      <w:r>
        <w:rPr>
          <w:rFonts w:ascii="Noto Sans" w:hAnsi="Noto Sans"/>
          <w:color w:val="2C2C2E"/>
          <w:sz w:val="17"/>
        </w:rPr>
        <w:t>Das verhindert, dass ein fehlerhafter Datensatz dauerhaft Preise oder Steuerlast verzerrt.</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Berichtigung kann zu Nachzahlung oder Erstattung nach allgemeinem Steuerverfahrensrecht führen.</w:t>
      </w:r>
    </w:p>
    <w:p>
      <w:pPr>
        <w:pStyle w:val="Heading2"/>
        <w:keepNext/>
      </w:pPr>
      <w:r>
        <w:t>§ 39 Öffentliche Transparenz</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Methoden, aktive Benchmarks, Schwellenfunktionen, Versionsstände und aggregierte Wirkungsdaten werden grundsätzlich öffentlich dokumentiert.</w:t>
      </w:r>
    </w:p>
    <w:p>
      <w:pPr>
        <w:pStyle w:val="Commentary"/>
      </w:pPr>
      <w:r>
        <w:rPr>
          <w:rFonts w:ascii="Noto Sans" w:hAnsi="Noto Sans"/>
          <w:b/>
          <w:color w:val="2F7D5C"/>
          <w:sz w:val="16"/>
        </w:rPr>
        <w:t xml:space="preserve">KOMMENTAR </w:t>
      </w:r>
      <w:r>
        <w:rPr>
          <w:rFonts w:ascii="Noto Sans" w:hAnsi="Noto Sans"/>
          <w:color w:val="2C2C2E"/>
          <w:sz w:val="17"/>
        </w:rPr>
        <w:t>Transparenz ist Voraussetzung demokratischer Legitimität.</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Geschäftsgeheimnisse, Steuergeheimnis und Datenschutz bleiben geschützt.</w:t>
      </w:r>
    </w:p>
    <w:p>
      <w:pPr>
        <w:pStyle w:val="Heading2"/>
        <w:keepNext/>
      </w:pPr>
      <w:r>
        <w:t>§ 40 Geschäfts- und Steuergeheimnisse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Unternehmenssensible Daten dürfen nur offengelegt werden, soweit dies gesetzlich erforderlich ist. Öffentliche Transparenz soll vorrangig über Methoden, Kategorien und aggregierte Ergebnisse erfolgen.</w:t>
      </w:r>
    </w:p>
    <w:p>
      <w:pPr>
        <w:pStyle w:val="Commentary"/>
      </w:pPr>
      <w:r>
        <w:rPr>
          <w:rFonts w:ascii="Noto Sans" w:hAnsi="Noto Sans"/>
          <w:b/>
          <w:color w:val="2F7D5C"/>
          <w:sz w:val="16"/>
        </w:rPr>
        <w:t xml:space="preserve">KOMMENTAR </w:t>
      </w:r>
      <w:r>
        <w:rPr>
          <w:rFonts w:ascii="Noto Sans" w:hAnsi="Noto Sans"/>
          <w:color w:val="2C2C2E"/>
          <w:sz w:val="17"/>
        </w:rPr>
        <w:t>Wirkungstransparenz darf legitime Geheimhaltungsinteressen nicht pauschal verdrängen.</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Die Abgabenordnung bleibt Verfahrensrahmen.</w:t>
      </w:r>
    </w:p>
    <w:p>
      <w:pPr>
        <w:pStyle w:val="Heading2"/>
        <w:keepNext/>
      </w:pPr>
      <w:r>
        <w:t>§ 41 Grenzüberschreitender Datenaustausch</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Für grenzüberschreitende Lieferketten und Importe können anerkannte internationale Datenstandards und gleichwertige Nachweise zugelassen werden.</w:t>
      </w:r>
    </w:p>
    <w:p>
      <w:pPr>
        <w:pStyle w:val="Commentary"/>
      </w:pPr>
      <w:r>
        <w:rPr>
          <w:rFonts w:ascii="Noto Sans" w:hAnsi="Noto Sans"/>
          <w:b/>
          <w:color w:val="2F7D5C"/>
          <w:sz w:val="16"/>
        </w:rPr>
        <w:t xml:space="preserve">KOMMENTAR </w:t>
      </w:r>
      <w:r>
        <w:rPr>
          <w:rFonts w:ascii="Noto Sans" w:hAnsi="Noto Sans"/>
          <w:color w:val="2C2C2E"/>
          <w:sz w:val="17"/>
        </w:rPr>
        <w:t>WÖk darf nicht zu einem nationalen Datenkäfig werden.</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Gleichwertigkeit muss diskriminierungsfrei und prüfbar ausgestaltet sein.</w:t>
      </w:r>
    </w:p>
    <w:p>
      <w:pPr>
        <w:pStyle w:val="Heading2"/>
        <w:keepNext/>
      </w:pPr>
      <w:r>
        <w:t>§ 42 Interoperabilität und offene Schnittstellen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technischen Systeme verwenden dokumentierte, versionierte und soweit möglich offene Schnittstellen.</w:t>
      </w:r>
    </w:p>
    <w:p>
      <w:pPr>
        <w:pStyle w:val="Commentary"/>
      </w:pPr>
      <w:r>
        <w:rPr>
          <w:rFonts w:ascii="Noto Sans" w:hAnsi="Noto Sans"/>
          <w:b/>
          <w:color w:val="2F7D5C"/>
          <w:sz w:val="16"/>
        </w:rPr>
        <w:t xml:space="preserve">KOMMENTAR </w:t>
      </w:r>
      <w:r>
        <w:rPr>
          <w:rFonts w:ascii="Noto Sans" w:hAnsi="Noto Sans"/>
          <w:color w:val="2C2C2E"/>
          <w:sz w:val="17"/>
        </w:rPr>
        <w:t>Die Dateninfrastruktur soll Anschluss an DPP, Zoll, E-Rechnung, Statistik, Banken, Versicherungen und Beschaffung ermöglichen.</w:t>
      </w:r>
    </w:p>
    <w:p>
      <w:pPr>
        <w:pStyle w:val="Rationale"/>
      </w:pPr>
      <w:r>
        <w:rPr>
          <w:rFonts w:ascii="Noto Sans" w:hAnsi="Noto Sans"/>
          <w:b/>
          <w:color w:val="C89B3C"/>
          <w:sz w:val="16"/>
        </w:rPr>
        <w:t xml:space="preserve">BEGRÜNDUNG </w:t>
      </w:r>
      <w:r>
        <w:rPr>
          <w:rFonts w:ascii="Noto Sans" w:hAnsi="Noto Sans"/>
          <w:color w:val="2C2C2E"/>
          <w:sz w:val="17"/>
        </w:rPr>
        <w:t>Die Wirkungssteuerung soll Dateninfrastrukturen verbinden, nicht duplizieren. [I2][I4][I5]</w:t>
      </w:r>
    </w:p>
    <w:p>
      <w:pPr>
        <w:pStyle w:val="LegalNote"/>
      </w:pPr>
      <w:r>
        <w:rPr>
          <w:rFonts w:ascii="Noto Sans" w:hAnsi="Noto Sans"/>
          <w:b/>
          <w:color w:val="C85A3C"/>
          <w:sz w:val="16"/>
        </w:rPr>
        <w:t xml:space="preserve">RECHTS- UND UMSETZUNGSNOTIZ </w:t>
      </w:r>
      <w:r>
        <w:rPr>
          <w:rFonts w:ascii="Noto Sans" w:hAnsi="Noto Sans"/>
          <w:color w:val="2C2C2E"/>
          <w:sz w:val="17"/>
        </w:rPr>
        <w:t>Sicherheits- und Datenschutzanforderungen gehen Offenheit vor.</w:t>
      </w:r>
    </w:p>
    <w:p>
      <w:pPr>
        <w:pStyle w:val="Heading2"/>
      </w:pPr>
      <w:r>
        <w:t>Abschnitt 4 – Governance, Wirkungsrat und institutionelle Sicherung</w:t>
      </w:r>
    </w:p>
    <w:p>
      <w:pPr>
        <w:pStyle w:val="Heading2"/>
        <w:keepNext/>
      </w:pPr>
      <w:r>
        <w:t>§ 43 Wirkungsrat - Stellung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Zur methodischen Sicherung kann ein unabhängiger Wirkungsrat errichtet werden. Er unterstützt Parlament, Regierung, Finanzverwaltung und Öffentlichkeit, ersetzt sie jedoch nicht.</w:t>
      </w:r>
    </w:p>
    <w:p>
      <w:pPr>
        <w:pStyle w:val="Commentary"/>
      </w:pPr>
      <w:r>
        <w:rPr>
          <w:rFonts w:ascii="Noto Sans" w:hAnsi="Noto Sans"/>
          <w:b/>
          <w:color w:val="2F7D5C"/>
          <w:sz w:val="16"/>
        </w:rPr>
        <w:t xml:space="preserve">KOMMENTAR </w:t>
      </w:r>
      <w:r>
        <w:rPr>
          <w:rFonts w:ascii="Noto Sans" w:hAnsi="Noto Sans"/>
          <w:color w:val="2C2C2E"/>
          <w:sz w:val="17"/>
        </w:rPr>
        <w:t>Der Wirkungsrat ist keine Wahrheitsbehörde, Moralinstanz oder Ersatzgesetzgeber.</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Seine konkrete Rechtsform ist im Gesetzgebungsverfahren gesondert zu prüfen.</w:t>
      </w:r>
    </w:p>
    <w:p>
      <w:pPr>
        <w:pStyle w:val="Heading2"/>
        <w:keepNext/>
      </w:pPr>
      <w:r>
        <w:t>§ 44 Aufgaben des Wirkungsrats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Aufgaben sind insbesondere Methodenpflege, Registeraufsicht, Datenqualitätsstandards, Benchmarkprüfung, Veröffentlichung von Methodenvorschlägen, Evaluation, Konsultation und Missbrauchsschutz.</w:t>
      </w:r>
    </w:p>
    <w:p>
      <w:pPr>
        <w:pStyle w:val="Commentary"/>
      </w:pPr>
      <w:r>
        <w:rPr>
          <w:rFonts w:ascii="Noto Sans" w:hAnsi="Noto Sans"/>
          <w:b/>
          <w:color w:val="2F7D5C"/>
          <w:sz w:val="16"/>
        </w:rPr>
        <w:t xml:space="preserve">KOMMENTAR </w:t>
      </w:r>
      <w:r>
        <w:rPr>
          <w:rFonts w:ascii="Noto Sans" w:hAnsi="Noto Sans"/>
          <w:color w:val="2C2C2E"/>
          <w:sz w:val="17"/>
        </w:rPr>
        <w:t>Die Aufgaben liegen bei Integrität und Vergleichbarkeit.</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Tarifsetzung und Einzelfall-Steuerfestsetzung gehören nicht zu seinen Aufgaben.</w:t>
      </w:r>
    </w:p>
    <w:p>
      <w:pPr>
        <w:pStyle w:val="Heading2"/>
        <w:keepNext/>
      </w:pPr>
      <w:r>
        <w:t>§ 45 Grenzen der Zuständigkeit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Der Wirkungsrat darf keine Steuersätze festsetzen, keine Personen bewerten und keine politische Gesamtentscheidung an Stelle des Gesetzgebers treffen.</w:t>
      </w:r>
    </w:p>
    <w:p>
      <w:pPr>
        <w:pStyle w:val="Commentary"/>
      </w:pPr>
      <w:r>
        <w:rPr>
          <w:rFonts w:ascii="Noto Sans" w:hAnsi="Noto Sans"/>
          <w:b/>
          <w:color w:val="2F7D5C"/>
          <w:sz w:val="16"/>
        </w:rPr>
        <w:t xml:space="preserve">KOMMENTAR </w:t>
      </w:r>
      <w:r>
        <w:rPr>
          <w:rFonts w:ascii="Noto Sans" w:hAnsi="Noto Sans"/>
          <w:color w:val="2C2C2E"/>
          <w:sz w:val="17"/>
        </w:rPr>
        <w:t>Diese Negativkompetenzen sind bewusst gesetzlich festzuhalten.</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Methodische Empfehlungen sind transparent als Empfehlungen zu kennzeichnen.</w:t>
      </w:r>
    </w:p>
    <w:p>
      <w:pPr>
        <w:pStyle w:val="Heading2"/>
        <w:keepNext/>
      </w:pPr>
      <w:r>
        <w:t>§ 46 Zusammensetzung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Der Wirkungsrat wird interdisziplinär, plural und unter Ausschluss struktureller Interessendominanz besetzt.</w:t>
      </w:r>
    </w:p>
    <w:p>
      <w:pPr>
        <w:pStyle w:val="Commentary"/>
      </w:pPr>
      <w:r>
        <w:rPr>
          <w:rFonts w:ascii="Noto Sans" w:hAnsi="Noto Sans"/>
          <w:b/>
          <w:color w:val="2F7D5C"/>
          <w:sz w:val="16"/>
        </w:rPr>
        <w:t xml:space="preserve">KOMMENTAR </w:t>
      </w:r>
      <w:r>
        <w:rPr>
          <w:rFonts w:ascii="Noto Sans" w:hAnsi="Noto Sans"/>
          <w:color w:val="2C2C2E"/>
          <w:sz w:val="17"/>
        </w:rPr>
        <w:t>Wirkung umfasst Recht, Ökonomie, Natur-, Sozial-, Daten- und Demokratiewissenschaften.</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Berufung, Amtszeiten und Abberufung brauchen stabile Unabhängigkeitsregeln.</w:t>
      </w:r>
    </w:p>
    <w:p>
      <w:pPr>
        <w:pStyle w:val="Heading2"/>
        <w:keepNext/>
      </w:pPr>
      <w:r>
        <w:t>§ 47 Interessenkonflikte und Cooling-off</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Mitglieder und leitende Mitarbeitende legen relevante Interessen offen; für besonders konfliktträchtige Tätigkeiten gelten Karenz- und Ausschlussregeln.</w:t>
      </w:r>
    </w:p>
    <w:p>
      <w:pPr>
        <w:pStyle w:val="Commentary"/>
      </w:pPr>
      <w:r>
        <w:rPr>
          <w:rFonts w:ascii="Noto Sans" w:hAnsi="Noto Sans"/>
          <w:b/>
          <w:color w:val="2F7D5C"/>
          <w:sz w:val="16"/>
        </w:rPr>
        <w:t xml:space="preserve">KOMMENTAR </w:t>
      </w:r>
      <w:r>
        <w:rPr>
          <w:rFonts w:ascii="Noto Sans" w:hAnsi="Noto Sans"/>
          <w:color w:val="2C2C2E"/>
          <w:sz w:val="17"/>
        </w:rPr>
        <w:t>Wer Benchmarks prägt, beeinflusst Marktpositionen. Anti-Capture ist daher Kernfunktion.</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Die Regeln müssen mit Berufs- und Freiheitsrechten verhältnismäßig austariert werden.</w:t>
      </w:r>
    </w:p>
    <w:p>
      <w:pPr>
        <w:pStyle w:val="Heading2"/>
        <w:keepNext/>
      </w:pPr>
      <w:r>
        <w:t>§ 48 Methodenbeiräte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Für Branchen und Wirkungsfelder können zeitlich befristete Methodenbeiräte eingerichtet werden.</w:t>
      </w:r>
    </w:p>
    <w:p>
      <w:pPr>
        <w:pStyle w:val="Commentary"/>
      </w:pPr>
      <w:r>
        <w:rPr>
          <w:rFonts w:ascii="Noto Sans" w:hAnsi="Noto Sans"/>
          <w:b/>
          <w:color w:val="2F7D5C"/>
          <w:sz w:val="16"/>
        </w:rPr>
        <w:t xml:space="preserve">KOMMENTAR </w:t>
      </w:r>
      <w:r>
        <w:rPr>
          <w:rFonts w:ascii="Noto Sans" w:hAnsi="Noto Sans"/>
          <w:color w:val="2C2C2E"/>
          <w:sz w:val="17"/>
        </w:rPr>
        <w:t>Branchenspezifisches Wissen ist nötig, darf aber die allgemeine Governance nicht übernehmen.</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Mehrheits- und Minderheitspositionen sollen dokumentiert werden.</w:t>
      </w:r>
    </w:p>
    <w:p>
      <w:pPr>
        <w:pStyle w:val="Heading2"/>
        <w:keepNext/>
      </w:pPr>
      <w:r>
        <w:t>§ 49 Anerkannte Prüfstellen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Für steuerlich relevante Wirkungsnachweise können unabhängige Prüfstellen akkreditiert oder anerkannt werden.</w:t>
      </w:r>
    </w:p>
    <w:p>
      <w:pPr>
        <w:pStyle w:val="Commentary"/>
      </w:pPr>
      <w:r>
        <w:rPr>
          <w:rFonts w:ascii="Noto Sans" w:hAnsi="Noto Sans"/>
          <w:b/>
          <w:color w:val="2F7D5C"/>
          <w:sz w:val="16"/>
        </w:rPr>
        <w:t xml:space="preserve">KOMMENTAR </w:t>
      </w:r>
      <w:r>
        <w:rPr>
          <w:rFonts w:ascii="Noto Sans" w:hAnsi="Noto Sans"/>
          <w:color w:val="2C2C2E"/>
          <w:sz w:val="17"/>
        </w:rPr>
        <w:t>Assurance ist bei hohen materiellen Folgen besonders wichtig.</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Prüftiefe richtet sich nach Materialität, Schadenspotenzial und Entlastungsvolumen.</w:t>
      </w:r>
    </w:p>
    <w:p>
      <w:pPr>
        <w:pStyle w:val="Heading2"/>
        <w:keepNext/>
      </w:pPr>
      <w:r>
        <w:t>§ 50 Öffentliche Konsultation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Wesentliche Änderungen von Indikatoren, aktiven Benchmarks und Bewertungsregeln werden vor Inkraftsetzung öffentlich konsultiert.</w:t>
      </w:r>
    </w:p>
    <w:p>
      <w:pPr>
        <w:pStyle w:val="Commentary"/>
      </w:pPr>
      <w:r>
        <w:rPr>
          <w:rFonts w:ascii="Noto Sans" w:hAnsi="Noto Sans"/>
          <w:b/>
          <w:color w:val="2F7D5C"/>
          <w:sz w:val="16"/>
        </w:rPr>
        <w:t xml:space="preserve">KOMMENTAR </w:t>
      </w:r>
      <w:r>
        <w:rPr>
          <w:rFonts w:ascii="Noto Sans" w:hAnsi="Noto Sans"/>
          <w:color w:val="2C2C2E"/>
          <w:sz w:val="17"/>
        </w:rPr>
        <w:t>Offene Konsultation macht Wirkungsmethodik angreifbar und damit belastbarer.</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Dringlichkeitsverfahren brauchen nachträgliche Konsultation.</w:t>
      </w:r>
    </w:p>
    <w:p>
      <w:pPr>
        <w:pStyle w:val="Heading2"/>
        <w:keepNext/>
      </w:pPr>
      <w:r>
        <w:t>§ 51 Versionierung und Methodenregister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Jede verbindliche oder pilotwirksame Methodenversion erhält Gültig-ab-Datum, Änderungsgrund, Quellenstand und Übergangsregel.</w:t>
      </w:r>
    </w:p>
    <w:p>
      <w:pPr>
        <w:pStyle w:val="Commentary"/>
      </w:pPr>
      <w:r>
        <w:rPr>
          <w:rFonts w:ascii="Noto Sans" w:hAnsi="Noto Sans"/>
          <w:b/>
          <w:color w:val="2F7D5C"/>
          <w:sz w:val="16"/>
        </w:rPr>
        <w:t xml:space="preserve">KOMMENTAR </w:t>
      </w:r>
      <w:r>
        <w:rPr>
          <w:rFonts w:ascii="Noto Sans" w:hAnsi="Noto Sans"/>
          <w:color w:val="2C2C2E"/>
          <w:sz w:val="17"/>
        </w:rPr>
        <w:t>Stille Änderungen sind ausgeschlossen.</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Steuerpflichtige müssen wissen, welche Regel zu welchem Zeitpunkt galt.</w:t>
      </w:r>
    </w:p>
    <w:p>
      <w:pPr>
        <w:pStyle w:val="Heading2"/>
        <w:keepNext/>
      </w:pPr>
      <w:r>
        <w:t>§ 52 Parlamentarische Kontrolle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Bundesregierung berichtet dem Bundestag und Bundesrat regelmäßig über Wirkungssteuer-Module, Verteilungswirkungen, Datenqualität, Rechtsstreitigkeiten und Evaluationsergebnisse.</w:t>
      </w:r>
    </w:p>
    <w:p>
      <w:pPr>
        <w:pStyle w:val="Commentary"/>
      </w:pPr>
      <w:r>
        <w:rPr>
          <w:rFonts w:ascii="Noto Sans" w:hAnsi="Noto Sans"/>
          <w:b/>
          <w:color w:val="2F7D5C"/>
          <w:sz w:val="16"/>
        </w:rPr>
        <w:t xml:space="preserve">KOMMENTAR </w:t>
      </w:r>
      <w:r>
        <w:rPr>
          <w:rFonts w:ascii="Noto Sans" w:hAnsi="Noto Sans"/>
          <w:color w:val="2C2C2E"/>
          <w:sz w:val="17"/>
        </w:rPr>
        <w:t>Die Wirkungssteuer bleibt demokratisch rückgebunden.</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Bei geteilten Ertragskompetenzen ist der Bundesrat frühzeitig einzubeziehen. [E7][E8]</w:t>
      </w:r>
    </w:p>
    <w:p>
      <w:pPr>
        <w:pStyle w:val="Heading2"/>
        <w:keepNext/>
      </w:pPr>
      <w:r>
        <w:t>§ 53 Rollen von Finanzverwaltung und Gerichten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Finanzverwaltung vollzieht steuerliche Tatbestände. Der Wirkungsrat sichert Methoden. Gerichte gewährleisten Rechtsschutz und kontrollieren die Rechtsanwendung.</w:t>
      </w:r>
    </w:p>
    <w:p>
      <w:pPr>
        <w:pStyle w:val="Commentary"/>
      </w:pPr>
      <w:r>
        <w:rPr>
          <w:rFonts w:ascii="Noto Sans" w:hAnsi="Noto Sans"/>
          <w:b/>
          <w:color w:val="2F7D5C"/>
          <w:sz w:val="16"/>
        </w:rPr>
        <w:t xml:space="preserve">KOMMENTAR </w:t>
      </w:r>
      <w:r>
        <w:rPr>
          <w:rFonts w:ascii="Noto Sans" w:hAnsi="Noto Sans"/>
          <w:color w:val="2C2C2E"/>
          <w:sz w:val="17"/>
        </w:rPr>
        <w:t>Klare Rollen verhindern eine technokratische Parallelverwaltung.</w:t>
      </w:r>
    </w:p>
    <w:p>
      <w:pPr>
        <w:pStyle w:val="Rationale"/>
      </w:pPr>
      <w:r>
        <w:rPr>
          <w:rFonts w:ascii="Noto Sans" w:hAnsi="Noto Sans"/>
          <w:b/>
          <w:color w:val="C89B3C"/>
          <w:sz w:val="16"/>
        </w:rPr>
        <w:t xml:space="preserve">BEGRÜNDUNG </w:t>
      </w:r>
      <w:r>
        <w:rPr>
          <w:rFonts w:ascii="Noto Sans" w:hAnsi="Noto Sans"/>
          <w:color w:val="2C2C2E"/>
          <w:sz w:val="17"/>
        </w:rPr>
        <w:t>Governance muss fachliche Unabhängigkeit und demokratische Verantwortung zugleich sichern. [I2][I4][I5]</w:t>
      </w:r>
    </w:p>
    <w:p>
      <w:pPr>
        <w:pStyle w:val="LegalNote"/>
      </w:pPr>
      <w:r>
        <w:rPr>
          <w:rFonts w:ascii="Noto Sans" w:hAnsi="Noto Sans"/>
          <w:b/>
          <w:color w:val="C85A3C"/>
          <w:sz w:val="16"/>
        </w:rPr>
        <w:t xml:space="preserve">RECHTS- UND UMSETZUNGSNOTIZ </w:t>
      </w:r>
      <w:r>
        <w:rPr>
          <w:rFonts w:ascii="Noto Sans" w:hAnsi="Noto Sans"/>
          <w:color w:val="2C2C2E"/>
          <w:sz w:val="17"/>
        </w:rPr>
        <w:t>Die allgemeine Abgabenordnung und Finanzgerichtsordnung bleiben Ausgangspunkt.</w:t>
      </w:r>
    </w:p>
    <w:p>
      <w:pPr>
        <w:pStyle w:val="Heading2"/>
      </w:pPr>
      <w:r>
        <w:t>Abschnitt 5 – Allgemeine steuerliche Rückkopplungslogik</w:t>
      </w:r>
    </w:p>
    <w:p>
      <w:pPr>
        <w:pStyle w:val="Heading2"/>
        <w:keepNext/>
      </w:pPr>
      <w:r>
        <w:t>§ 54 Fortgeltung der steuerlichen Bemessungsgrundlage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klassische Bemessungsgrundlage einer Einzelsteuer bleibt bestehen, soweit das aktivierende Gesetz nichts anderes bestimmt.</w:t>
      </w:r>
    </w:p>
    <w:p>
      <w:pPr>
        <w:pStyle w:val="Commentary"/>
      </w:pPr>
      <w:r>
        <w:rPr>
          <w:rFonts w:ascii="Noto Sans" w:hAnsi="Noto Sans"/>
          <w:b/>
          <w:color w:val="2F7D5C"/>
          <w:sz w:val="16"/>
        </w:rPr>
        <w:t xml:space="preserve">KOMMENTAR </w:t>
      </w:r>
      <w:r>
        <w:rPr>
          <w:rFonts w:ascii="Noto Sans" w:hAnsi="Noto Sans"/>
          <w:color w:val="2C2C2E"/>
          <w:sz w:val="17"/>
        </w:rPr>
        <w:t>Wirkung ergänzt Geld- oder Mengentatbestände; sie löscht Leistungsfähigkeits- und Ertragslogik nicht pauschal.</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Besonders bei Einkommen und Ertrag ist diese Schutzlinie wesentlich.</w:t>
      </w:r>
    </w:p>
    <w:p>
      <w:pPr>
        <w:pStyle w:val="Heading2"/>
        <w:keepNext/>
      </w:pPr>
      <w:r>
        <w:t>§ 55 Allgemeine Wirkungsformel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Ein aktiviertes Wirkungsmodul kann die reguläre Steuer T0 um einen gesetzlich bestimmten Wirkungszuschlag ZW erhöhen oder eine gesetzlich bestimmte Wirkungsentlastung EW vermindern: TW = T0 + ZW - EW.</w:t>
      </w:r>
    </w:p>
    <w:p>
      <w:pPr>
        <w:pStyle w:val="Commentary"/>
      </w:pPr>
      <w:r>
        <w:rPr>
          <w:rFonts w:ascii="Noto Sans" w:hAnsi="Noto Sans"/>
          <w:b/>
          <w:color w:val="2F7D5C"/>
          <w:sz w:val="16"/>
        </w:rPr>
        <w:t xml:space="preserve">KOMMENTAR </w:t>
      </w:r>
      <w:r>
        <w:rPr>
          <w:rFonts w:ascii="Noto Sans" w:hAnsi="Noto Sans"/>
          <w:color w:val="2C2C2E"/>
          <w:sz w:val="17"/>
        </w:rPr>
        <w:t>Die Formel zeigt die neue Architektur: Wirkung korrigiert eine bestehende Steuer, statt automatisch eine völlig neue Steuerbasis zu erzeugen.</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ZW und EW brauchen jeweils klare Tatbestände und Obergrenzen.</w:t>
      </w:r>
    </w:p>
    <w:p>
      <w:pPr>
        <w:pStyle w:val="Heading2"/>
        <w:keepNext/>
      </w:pPr>
      <w:r>
        <w:t>§ 56 Tarifgesetz und Kalibrierung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Zuordnung von Wirkungsprofilen zu Steuerfolgen wird im Gesetz oder in gesetzlich eng bestimmten Tarifstufen festgelegt.</w:t>
      </w:r>
    </w:p>
    <w:p>
      <w:pPr>
        <w:pStyle w:val="Commentary"/>
      </w:pPr>
      <w:r>
        <w:rPr>
          <w:rFonts w:ascii="Noto Sans" w:hAnsi="Noto Sans"/>
          <w:b/>
          <w:color w:val="2F7D5C"/>
          <w:sz w:val="16"/>
        </w:rPr>
        <w:t xml:space="preserve">KOMMENTAR </w:t>
      </w:r>
      <w:r>
        <w:rPr>
          <w:rFonts w:ascii="Noto Sans" w:hAnsi="Noto Sans"/>
          <w:color w:val="2C2C2E"/>
          <w:sz w:val="17"/>
        </w:rPr>
        <w:t>Die derzeitige WÖk-Simulationsstaffel 0/5/10/15/20/25 Prozent bleibt ein Pilotmodell und steht im Anhang, nicht im Gesetzestext.</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Regelmäßige Kalibrierung darf die parlamentarische Tarifhoheit nicht umgehen.</w:t>
      </w:r>
    </w:p>
    <w:p>
      <w:pPr>
        <w:pStyle w:val="Heading2"/>
        <w:keepNext/>
      </w:pPr>
      <w:r>
        <w:t>§ 57 Haushaltsneutralität als Startkorridor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In Pilot- und Einführungsphasen soll das erwartete Gesamtaufkommen einer Wirkungsmodulation grundsätzlich innerhalb eines gesetzlich festgelegten Korridors gegenüber der Vergleichssteuer bleiben.</w:t>
      </w:r>
    </w:p>
    <w:p>
      <w:pPr>
        <w:pStyle w:val="Commentary"/>
      </w:pPr>
      <w:r>
        <w:rPr>
          <w:rFonts w:ascii="Noto Sans" w:hAnsi="Noto Sans"/>
          <w:b/>
          <w:color w:val="2F7D5C"/>
          <w:sz w:val="16"/>
        </w:rPr>
        <w:t xml:space="preserve">KOMMENTAR </w:t>
      </w:r>
      <w:r>
        <w:rPr>
          <w:rFonts w:ascii="Noto Sans" w:hAnsi="Noto Sans"/>
          <w:color w:val="2C2C2E"/>
          <w:sz w:val="17"/>
        </w:rPr>
        <w:t>Haushaltsneutralität ist Lern- und Akzeptanzlogik, kein ewiges Dogma.</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Spätere fiskalische Ziele sind demokratisch neu zu entscheiden.</w:t>
      </w:r>
    </w:p>
    <w:p>
      <w:pPr>
        <w:pStyle w:val="Heading2"/>
        <w:keepNext/>
      </w:pPr>
      <w:r>
        <w:t>§ 58 Keine steuerartenübergreifende Wirkungssaldierung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Positive Wirkungsnachweise einer Steuerart begründen keine automatische Verrechnung mit negativen Wirkungen einer anderen Steuerart.</w:t>
      </w:r>
    </w:p>
    <w:p>
      <w:pPr>
        <w:pStyle w:val="Commentary"/>
      </w:pPr>
      <w:r>
        <w:rPr>
          <w:rFonts w:ascii="Noto Sans" w:hAnsi="Noto Sans"/>
          <w:b/>
          <w:color w:val="2F7D5C"/>
          <w:sz w:val="16"/>
        </w:rPr>
        <w:t xml:space="preserve">KOMMENTAR </w:t>
      </w:r>
      <w:r>
        <w:rPr>
          <w:rFonts w:ascii="Noto Sans" w:hAnsi="Noto Sans"/>
          <w:color w:val="2C2C2E"/>
          <w:sz w:val="17"/>
        </w:rPr>
        <w:t>Damit wird das alte Wirkungssteuerkonto als Ablass- oder Guthabenlogik beendet.</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Fiskalische Verrechnung kann technisch stattfinden, aber nur aufgrund eines konkreten gesetzlichen Anspruchs.</w:t>
      </w:r>
    </w:p>
    <w:p>
      <w:pPr>
        <w:pStyle w:val="Heading2"/>
        <w:keepNext/>
      </w:pPr>
      <w:r>
        <w:t>§ 59 Vermeidung von Doppelbepreisung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Wird dieselbe negative Wirkung bereits durch eine andere wirksame Steuer, Abgabe oder ein Emissionshandelssystem bepreist, ist eine sachlich ungerechtfertigte Doppelbelastung zu vermeiden.</w:t>
      </w:r>
    </w:p>
    <w:p>
      <w:pPr>
        <w:pStyle w:val="Commentary"/>
      </w:pPr>
      <w:r>
        <w:rPr>
          <w:rFonts w:ascii="Noto Sans" w:hAnsi="Noto Sans"/>
          <w:b/>
          <w:color w:val="2F7D5C"/>
          <w:sz w:val="16"/>
        </w:rPr>
        <w:t xml:space="preserve">KOMMENTAR </w:t>
      </w:r>
      <w:r>
        <w:rPr>
          <w:rFonts w:ascii="Noto Sans" w:hAnsi="Noto Sans"/>
          <w:color w:val="2C2C2E"/>
          <w:sz w:val="17"/>
        </w:rPr>
        <w:t>Mehr Instrumente sind nicht automatisch mehr Wirkung.</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Koordination ist besonders bei CO2, Energie, Verkehr und Produktabgaben nötig.</w:t>
      </w:r>
    </w:p>
    <w:p>
      <w:pPr>
        <w:pStyle w:val="Heading2"/>
        <w:keepNext/>
      </w:pPr>
      <w:r>
        <w:t>§ 60 Präventions- und Transformationsgutschriften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Gesetze können zeitlich befristete Gutschriften für nachgewiesene Prävention, Umrüstung oder Transformationsinvestitionen vorsehen, sofern sie zusätzliche Wirkung erzeugen.</w:t>
      </w:r>
    </w:p>
    <w:p>
      <w:pPr>
        <w:pStyle w:val="Commentary"/>
      </w:pPr>
      <w:r>
        <w:rPr>
          <w:rFonts w:ascii="Noto Sans" w:hAnsi="Noto Sans"/>
          <w:b/>
          <w:color w:val="2F7D5C"/>
          <w:sz w:val="16"/>
        </w:rPr>
        <w:t xml:space="preserve">KOMMENTAR </w:t>
      </w:r>
      <w:r>
        <w:rPr>
          <w:rFonts w:ascii="Noto Sans" w:hAnsi="Noto Sans"/>
          <w:color w:val="2C2C2E"/>
          <w:sz w:val="17"/>
        </w:rPr>
        <w:t>Prävention kann höhere Wirkleistung als spätere Reparatur haben.</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Gutschriften brauchen Zusätzlichkeit, Zielbezug und gegebenenfalls Clawback.</w:t>
      </w:r>
    </w:p>
    <w:p>
      <w:pPr>
        <w:pStyle w:val="Heading2"/>
        <w:keepNext/>
      </w:pPr>
      <w:r>
        <w:t>§ 61 Soziale Abfederung und Kaufkraftschutz</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Wirkungssteuerliche Preisimpulse sind so zu gestalten, dass notwendiger Grundkonsum und untere Einkommen nicht unverhältnismäßig belastet werden.</w:t>
      </w:r>
    </w:p>
    <w:p>
      <w:pPr>
        <w:pStyle w:val="Commentary"/>
      </w:pPr>
      <w:r>
        <w:rPr>
          <w:rFonts w:ascii="Noto Sans" w:hAnsi="Noto Sans"/>
          <w:b/>
          <w:color w:val="2F7D5C"/>
          <w:sz w:val="16"/>
        </w:rPr>
        <w:t xml:space="preserve">KOMMENTAR </w:t>
      </w:r>
      <w:r>
        <w:rPr>
          <w:rFonts w:ascii="Noto Sans" w:hAnsi="Noto Sans"/>
          <w:color w:val="2C2C2E"/>
          <w:sz w:val="17"/>
        </w:rPr>
        <w:t>Lenkungswirkung verliert Legitimität, wenn Menschen keine realistische Ausweichoption haben.</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Instrumente können Freibeträge, Transfers, Rückerstattung, gezielte Entlastung oder öffentliche Alternativen sein.</w:t>
      </w:r>
    </w:p>
    <w:p>
      <w:pPr>
        <w:pStyle w:val="Heading2"/>
        <w:keepNext/>
      </w:pPr>
      <w:r>
        <w:t>§ 62 KMU- und Verhältnismäßigkeitsschutz</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Kleine und mittlere Unternehmen erhalten vereinfachte Nachweise, Standardwerte und Übergangsfristen, soweit dadurch keine wesentlichen Wirkungsrisiken verdeckt werden.</w:t>
      </w:r>
    </w:p>
    <w:p>
      <w:pPr>
        <w:pStyle w:val="Commentary"/>
      </w:pPr>
      <w:r>
        <w:rPr>
          <w:rFonts w:ascii="Noto Sans" w:hAnsi="Noto Sans"/>
          <w:b/>
          <w:color w:val="2F7D5C"/>
          <w:sz w:val="16"/>
        </w:rPr>
        <w:t xml:space="preserve">KOMMENTAR </w:t>
      </w:r>
      <w:r>
        <w:rPr>
          <w:rFonts w:ascii="Noto Sans" w:hAnsi="Noto Sans"/>
          <w:color w:val="2C2C2E"/>
          <w:sz w:val="17"/>
        </w:rPr>
        <w:t>Datenkosten dürfen nicht den Wettbewerb zugunsten großer Unternehmen verzerren.</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Hochrisikosektoren können strengere Anforderungen rechtfertigen.</w:t>
      </w:r>
    </w:p>
    <w:p>
      <w:pPr>
        <w:pStyle w:val="Heading2"/>
        <w:keepNext/>
      </w:pPr>
      <w:r>
        <w:t>§ 63 Subventionen und Steuervergünstigungen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Wirkungssteuerliche Entlastungen werden mit bestehenden Subventionen und Steuervergünstigungen abgeglichen.</w:t>
      </w:r>
    </w:p>
    <w:p>
      <w:pPr>
        <w:pStyle w:val="Commentary"/>
      </w:pPr>
      <w:r>
        <w:rPr>
          <w:rFonts w:ascii="Noto Sans" w:hAnsi="Noto Sans"/>
          <w:b/>
          <w:color w:val="2F7D5C"/>
          <w:sz w:val="16"/>
        </w:rPr>
        <w:t xml:space="preserve">KOMMENTAR </w:t>
      </w:r>
      <w:r>
        <w:rPr>
          <w:rFonts w:ascii="Noto Sans" w:hAnsi="Noto Sans"/>
          <w:color w:val="2C2C2E"/>
          <w:sz w:val="17"/>
        </w:rPr>
        <w:t>Ein Unternehmen soll nicht mehrfach für denselben Effekt gefördert werden.</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Selektive Vorteile sind beihilfenrechtlich zu prüfen. [E15]</w:t>
      </w:r>
    </w:p>
    <w:p>
      <w:pPr>
        <w:pStyle w:val="Heading2"/>
        <w:keepNext/>
      </w:pPr>
      <w:r>
        <w:t>§ 64 Befristung und Rückforderung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Ergebnisabhängige Entlastungen können befristet, konditioniert und bei Nichterfüllung rückforderbar ausgestaltet werden.</w:t>
      </w:r>
    </w:p>
    <w:p>
      <w:pPr>
        <w:pStyle w:val="Commentary"/>
      </w:pPr>
      <w:r>
        <w:rPr>
          <w:rFonts w:ascii="Noto Sans" w:hAnsi="Noto Sans"/>
          <w:b/>
          <w:color w:val="2F7D5C"/>
          <w:sz w:val="16"/>
        </w:rPr>
        <w:t xml:space="preserve">KOMMENTAR </w:t>
      </w:r>
      <w:r>
        <w:rPr>
          <w:rFonts w:ascii="Noto Sans" w:hAnsi="Noto Sans"/>
          <w:color w:val="2C2C2E"/>
          <w:sz w:val="17"/>
        </w:rPr>
        <w:t>Versprechen ist noch keine Wirkung.</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Clawback-Regeln müssen planbar, verhältnismäßig und administrierbar sein.</w:t>
      </w:r>
    </w:p>
    <w:p>
      <w:pPr>
        <w:pStyle w:val="Heading2"/>
        <w:keepNext/>
      </w:pPr>
      <w:r>
        <w:t>§ 65 Missbrauchs- und Umgehungsschutz</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Künstliche Aufspaltung von Produkten, Verlagerung von Aktivitäten, Scheinnachweise und gezielte Datenmanipulation dürfen die Wirkungseinstufung nicht verbessern.</w:t>
      </w:r>
    </w:p>
    <w:p>
      <w:pPr>
        <w:pStyle w:val="Commentary"/>
      </w:pPr>
      <w:r>
        <w:rPr>
          <w:rFonts w:ascii="Noto Sans" w:hAnsi="Noto Sans"/>
          <w:b/>
          <w:color w:val="2F7D5C"/>
          <w:sz w:val="16"/>
        </w:rPr>
        <w:t xml:space="preserve">KOMMENTAR </w:t>
      </w:r>
      <w:r>
        <w:rPr>
          <w:rFonts w:ascii="Noto Sans" w:hAnsi="Noto Sans"/>
          <w:color w:val="2C2C2E"/>
          <w:sz w:val="17"/>
        </w:rPr>
        <w:t>Wirkungssteuer braucht denselben Ernst beim Anti-Abuse wie klassisches Steuerrecht.</w:t>
      </w:r>
    </w:p>
    <w:p>
      <w:pPr>
        <w:pStyle w:val="Rationale"/>
      </w:pPr>
      <w:r>
        <w:rPr>
          <w:rFonts w:ascii="Noto Sans" w:hAnsi="Noto Sans"/>
          <w:b/>
          <w:color w:val="C89B3C"/>
          <w:sz w:val="16"/>
        </w:rPr>
        <w:t xml:space="preserve">BEGRÜNDUNG </w:t>
      </w:r>
      <w:r>
        <w:rPr>
          <w:rFonts w:ascii="Noto Sans" w:hAnsi="Noto Sans"/>
          <w:color w:val="2C2C2E"/>
          <w:sz w:val="17"/>
        </w:rPr>
        <w:t>Die allgemeinen Steuerregeln schaffen einen einheitlichen Kern, ohne die Besonderheiten einzelner Steuerarten zu nivellieren.</w:t>
      </w:r>
    </w:p>
    <w:p>
      <w:pPr>
        <w:pStyle w:val="LegalNote"/>
      </w:pPr>
      <w:r>
        <w:rPr>
          <w:rFonts w:ascii="Noto Sans" w:hAnsi="Noto Sans"/>
          <w:b/>
          <w:color w:val="C85A3C"/>
          <w:sz w:val="16"/>
        </w:rPr>
        <w:t xml:space="preserve">RECHTS- UND UMSETZUNGSNOTIZ </w:t>
      </w:r>
      <w:r>
        <w:rPr>
          <w:rFonts w:ascii="Noto Sans" w:hAnsi="Noto Sans"/>
          <w:color w:val="2C2C2E"/>
          <w:sz w:val="17"/>
        </w:rPr>
        <w:t>Sanktionen richten sich nach §§ 108 und 109 und den bestehenden steuerstrafrechtlichen Regeln.</w:t>
      </w:r>
    </w:p>
    <w:p>
      <w:pPr>
        <w:pStyle w:val="Heading2"/>
      </w:pPr>
      <w:r>
        <w:t>Abschnitt 6 – Steuerartspezifische Wirkungsmodulen</w:t>
      </w:r>
    </w:p>
    <w:p>
      <w:pPr>
        <w:pStyle w:val="Heading2"/>
        <w:keepNext/>
      </w:pPr>
      <w:r>
        <w:t>§ 66 Umsatzsteuer und Produktwirkungssteuer (WUStG-Modul)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Umsatz- und Produktbesteuerung kann Produktwirkungen nach Lebenszyklus, Lieferkette, Nutzung und Entsorgung berücksichtigen, soweit das Unionsrecht differenzierte Steuersätze oder andere zulässige Instrumente eröffnet.</w:t>
      </w:r>
    </w:p>
    <w:p>
      <w:pPr>
        <w:pStyle w:val="LawText"/>
        <w:ind w:left="113" w:hanging="113"/>
      </w:pPr>
      <w:r>
        <w:rPr>
          <w:rFonts w:ascii="Noto Sans" w:hAnsi="Noto Sans"/>
          <w:b/>
          <w:color w:val="0B1020"/>
          <w:sz w:val="18"/>
        </w:rPr>
        <w:t xml:space="preserve">(2) </w:t>
      </w:r>
      <w:r>
        <w:rPr>
          <w:rFonts w:ascii="Noto Sans" w:hAnsi="Noto Sans"/>
          <w:color w:val="2C2C2E"/>
          <w:sz w:val="18"/>
        </w:rPr>
        <w:t>Scorecard und Reverse Merit Order liefern das geprüfte Wirkungsprofil. Der anzuwendende Mehrwertsteuersatz wird davon nicht automatisch erzeugt, sondern folgt der unions- und nationalrechtlich zulässigen Tarifnorm.</w:t>
      </w:r>
    </w:p>
    <w:p>
      <w:pPr>
        <w:pStyle w:val="LawText"/>
        <w:ind w:left="113" w:hanging="113"/>
      </w:pPr>
      <w:r>
        <w:rPr>
          <w:rFonts w:ascii="Noto Sans" w:hAnsi="Noto Sans"/>
          <w:b/>
          <w:color w:val="0B1020"/>
          <w:sz w:val="18"/>
        </w:rPr>
        <w:t xml:space="preserve">(3) </w:t>
      </w:r>
      <w:r>
        <w:rPr>
          <w:rFonts w:ascii="Noto Sans" w:hAnsi="Noto Sans"/>
          <w:color w:val="2C2C2E"/>
          <w:sz w:val="18"/>
        </w:rPr>
        <w:t>Bis zu einer unionsrechtlichen Reform ist eine umfassende freie Staffelung über alle Produktgruppen nicht Ziel des nationalen Vollzugs; stattdessen werden zulässige Mehrwertsteuerdifferenzierungen, spezifische Verbrauchsteuern, Abgaben, Rückvergütungen, Produktverantwortung und Beschaffung kombiniert.</w:t>
      </w:r>
    </w:p>
    <w:p>
      <w:pPr>
        <w:pStyle w:val="LawText"/>
        <w:ind w:left="113" w:hanging="113"/>
      </w:pPr>
      <w:r>
        <w:rPr>
          <w:rFonts w:ascii="Noto Sans" w:hAnsi="Noto Sans"/>
          <w:b/>
          <w:color w:val="0B1020"/>
          <w:sz w:val="18"/>
        </w:rPr>
        <w:t xml:space="preserve">(4) </w:t>
      </w:r>
      <w:r>
        <w:rPr>
          <w:rFonts w:ascii="Noto Sans" w:hAnsi="Noto Sans"/>
          <w:color w:val="2C2C2E"/>
          <w:sz w:val="18"/>
        </w:rPr>
        <w:t>Eine langfristige EU-Zielarchitektur kann eine wirkungsdifferenzierte Mehrwertsteuer vorsehen, wenn die Mehrwertsteuersystemrichtlinie entsprechend reformiert wird.</w:t>
      </w:r>
    </w:p>
    <w:p>
      <w:pPr>
        <w:pStyle w:val="Commentary"/>
      </w:pPr>
      <w:r>
        <w:rPr>
          <w:rFonts w:ascii="Noto Sans" w:hAnsi="Noto Sans"/>
          <w:b/>
          <w:color w:val="2F7D5C"/>
          <w:sz w:val="16"/>
        </w:rPr>
        <w:t xml:space="preserve">KOMMENTAR </w:t>
      </w:r>
      <w:r>
        <w:rPr>
          <w:rFonts w:ascii="Noto Sans" w:hAnsi="Noto Sans"/>
          <w:color w:val="2C2C2E"/>
          <w:sz w:val="17"/>
        </w:rPr>
        <w:t>Dies ist die wichtigste juristische Korrektur gegenüber 2025. Die alte Aussage, Deutschland könne flächendeckend 0/5/10/15/25 Prozent je Produkt allein auf Basis eines Scores einführen, ist unter dem geltenden harmonisierten EU-Mehrwertsteuersystem nicht tragfähig. Die WUStG-Idee bleibt, aber der Umsetzungspfad wird zweistufig: heute EU-kompatible Spielräume und ergänzende Instrumente, morgen gegebenenfalls EU-Reform.</w:t>
      </w:r>
    </w:p>
    <w:p>
      <w:pPr>
        <w:pStyle w:val="Rationale"/>
      </w:pPr>
      <w:r>
        <w:rPr>
          <w:rFonts w:ascii="Noto Sans" w:hAnsi="Noto Sans"/>
          <w:b/>
          <w:color w:val="C89B3C"/>
          <w:sz w:val="16"/>
        </w:rPr>
        <w:t xml:space="preserve">BEGRÜNDUNG </w:t>
      </w:r>
      <w:r>
        <w:rPr>
          <w:rFonts w:ascii="Noto Sans" w:hAnsi="Noto Sans"/>
          <w:color w:val="2C2C2E"/>
          <w:sz w:val="17"/>
        </w:rPr>
        <w:t>Die Produktwirkung ist zentral, weil Preise bislang relevante Folgekosten ausblenden können. DPP und WÖk-Indikatoren machen die Daten technisch anschlussfähig. [I2][I8][E12][E13]</w:t>
      </w:r>
    </w:p>
    <w:p>
      <w:pPr>
        <w:pStyle w:val="LegalNote"/>
      </w:pPr>
      <w:r>
        <w:rPr>
          <w:rFonts w:ascii="Noto Sans" w:hAnsi="Noto Sans"/>
          <w:b/>
          <w:color w:val="C85A3C"/>
          <w:sz w:val="16"/>
        </w:rPr>
        <w:t xml:space="preserve">RECHTS- UND UMSETZUNGSNOTIZ </w:t>
      </w:r>
      <w:r>
        <w:rPr>
          <w:rFonts w:ascii="Noto Sans" w:hAnsi="Noto Sans"/>
          <w:color w:val="2C2C2E"/>
          <w:sz w:val="17"/>
        </w:rPr>
        <w:t>Mehrwertsteuerharmonisierung erfolgt unionsrechtlich; ermäßigte und Nullsätze sind an vorgegebene Kategorien und Grenzen gebunden. Eine weitergehende Reform verlangt EU-Gesetzgebung. [E12][E17]</w:t>
      </w:r>
    </w:p>
    <w:p>
      <w:pPr>
        <w:pStyle w:val="Heading2"/>
        <w:keepNext/>
      </w:pPr>
      <w:r>
        <w:t>§ 67 Einfuhrumsatzsteuer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Für Einfuhren gilt die wirkungsbezogene Umsatzsteuerlogik nur in dem Umfang, in dem sie mit dem unionsrechtlichen Mehrwertsteuersystem vereinbar ist.</w:t>
      </w:r>
    </w:p>
    <w:p>
      <w:pPr>
        <w:pStyle w:val="LawText"/>
        <w:ind w:left="113" w:hanging="113"/>
      </w:pPr>
      <w:r>
        <w:rPr>
          <w:rFonts w:ascii="Noto Sans" w:hAnsi="Noto Sans"/>
          <w:b/>
          <w:color w:val="0B1020"/>
          <w:sz w:val="18"/>
        </w:rPr>
        <w:t xml:space="preserve">(2) </w:t>
      </w:r>
      <w:r>
        <w:rPr>
          <w:rFonts w:ascii="Noto Sans" w:hAnsi="Noto Sans"/>
          <w:color w:val="2C2C2E"/>
          <w:sz w:val="18"/>
        </w:rPr>
        <w:t>Importierte und inländische gleichartige Produkte werden nach gleichen materiellen Wirkungskriterien behandelt.</w:t>
      </w:r>
    </w:p>
    <w:p>
      <w:pPr>
        <w:pStyle w:val="LawText"/>
        <w:ind w:left="113" w:hanging="113"/>
      </w:pPr>
      <w:r>
        <w:rPr>
          <w:rFonts w:ascii="Noto Sans" w:hAnsi="Noto Sans"/>
          <w:b/>
          <w:color w:val="0B1020"/>
          <w:sz w:val="18"/>
        </w:rPr>
        <w:t xml:space="preserve">(3) </w:t>
      </w:r>
      <w:r>
        <w:rPr>
          <w:rFonts w:ascii="Noto Sans" w:hAnsi="Noto Sans"/>
          <w:color w:val="2C2C2E"/>
          <w:sz w:val="18"/>
        </w:rPr>
        <w:t>Anerkannte ausländische Nachweise können zugelassen werden, wenn sie gleichwertig, prüfbar und interoperabel sind.</w:t>
      </w:r>
    </w:p>
    <w:p>
      <w:pPr>
        <w:pStyle w:val="Commentary"/>
      </w:pPr>
      <w:r>
        <w:rPr>
          <w:rFonts w:ascii="Noto Sans" w:hAnsi="Noto Sans"/>
          <w:b/>
          <w:color w:val="2F7D5C"/>
          <w:sz w:val="16"/>
        </w:rPr>
        <w:t xml:space="preserve">KOMMENTAR </w:t>
      </w:r>
      <w:r>
        <w:rPr>
          <w:rFonts w:ascii="Noto Sans" w:hAnsi="Noto Sans"/>
          <w:color w:val="2C2C2E"/>
          <w:sz w:val="17"/>
        </w:rPr>
        <w:t>Die Einfuhrumsatzsteuer darf nicht zum verdeckten Protektionismus werden. Wirkungskriterien müssen produktbezogen, nicht herkunftsbezogen sein.</w:t>
      </w:r>
    </w:p>
    <w:p>
      <w:pPr>
        <w:pStyle w:val="Rationale"/>
      </w:pPr>
      <w:r>
        <w:rPr>
          <w:rFonts w:ascii="Noto Sans" w:hAnsi="Noto Sans"/>
          <w:b/>
          <w:color w:val="C89B3C"/>
          <w:sz w:val="16"/>
        </w:rPr>
        <w:t xml:space="preserve">BEGRÜNDUNG </w:t>
      </w:r>
      <w:r>
        <w:rPr>
          <w:rFonts w:ascii="Noto Sans" w:hAnsi="Noto Sans"/>
          <w:color w:val="2C2C2E"/>
          <w:sz w:val="17"/>
        </w:rPr>
        <w:t>Ein Level Playing Field ist wichtig, aber rechtlich durch Gleichbehandlung und EU-Kompetenzen begrenzt.</w:t>
      </w:r>
    </w:p>
    <w:p>
      <w:pPr>
        <w:pStyle w:val="LegalNote"/>
      </w:pPr>
      <w:r>
        <w:rPr>
          <w:rFonts w:ascii="Noto Sans" w:hAnsi="Noto Sans"/>
          <w:b/>
          <w:color w:val="C85A3C"/>
          <w:sz w:val="16"/>
        </w:rPr>
        <w:t xml:space="preserve">RECHTS- UND UMSETZUNGSNOTIZ </w:t>
      </w:r>
      <w:r>
        <w:rPr>
          <w:rFonts w:ascii="Noto Sans" w:hAnsi="Noto Sans"/>
          <w:color w:val="2C2C2E"/>
          <w:sz w:val="17"/>
        </w:rPr>
        <w:t>Art. 110 AEUV schützt vor diskriminierender interner Besteuerung importierter Waren. [E16]</w:t>
      </w:r>
    </w:p>
    <w:p>
      <w:pPr>
        <w:pStyle w:val="Heading2"/>
        <w:keepNext/>
      </w:pPr>
      <w:r>
        <w:t>§ 68 Besondere Verbrauchsteuern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Besondere Verbrauchsteuern eignen sich vorrangig für klar abgrenzbare Güter mit hohen und fachlich gut belegten externen Wirkungen.</w:t>
      </w:r>
    </w:p>
    <w:p>
      <w:pPr>
        <w:pStyle w:val="LawText"/>
        <w:ind w:left="113" w:hanging="113"/>
      </w:pPr>
      <w:r>
        <w:rPr>
          <w:rFonts w:ascii="Noto Sans" w:hAnsi="Noto Sans"/>
          <w:b/>
          <w:color w:val="0B1020"/>
          <w:sz w:val="18"/>
        </w:rPr>
        <w:t xml:space="preserve">(2) </w:t>
      </w:r>
      <w:r>
        <w:rPr>
          <w:rFonts w:ascii="Noto Sans" w:hAnsi="Noto Sans"/>
          <w:color w:val="2C2C2E"/>
          <w:sz w:val="18"/>
        </w:rPr>
        <w:t>Die Besteuerung kann an Menge, Wirkstoffgehalt, Emissionsintensität, Gesundheitsrisiko, Ressourcenverbrauch oder andere objektive Merkmale anknüpfen.</w:t>
      </w:r>
    </w:p>
    <w:p>
      <w:pPr>
        <w:pStyle w:val="LawText"/>
        <w:ind w:left="113" w:hanging="113"/>
      </w:pPr>
      <w:r>
        <w:rPr>
          <w:rFonts w:ascii="Noto Sans" w:hAnsi="Noto Sans"/>
          <w:b/>
          <w:color w:val="0B1020"/>
          <w:sz w:val="18"/>
        </w:rPr>
        <w:t xml:space="preserve">(3) </w:t>
      </w:r>
      <w:r>
        <w:rPr>
          <w:rFonts w:ascii="Noto Sans" w:hAnsi="Noto Sans"/>
          <w:color w:val="2C2C2E"/>
          <w:sz w:val="18"/>
        </w:rPr>
        <w:t>Bei bereits unionsharmonisierten Verbrauchsteuern sind unionsrechtliche Mindest- und Strukturvorgaben zu beachten.</w:t>
      </w:r>
    </w:p>
    <w:p>
      <w:pPr>
        <w:pStyle w:val="Commentary"/>
      </w:pPr>
      <w:r>
        <w:rPr>
          <w:rFonts w:ascii="Noto Sans" w:hAnsi="Noto Sans"/>
          <w:b/>
          <w:color w:val="2F7D5C"/>
          <w:sz w:val="16"/>
        </w:rPr>
        <w:t xml:space="preserve">KOMMENTAR </w:t>
      </w:r>
      <w:r>
        <w:rPr>
          <w:rFonts w:ascii="Noto Sans" w:hAnsi="Noto Sans"/>
          <w:color w:val="2C2C2E"/>
          <w:sz w:val="17"/>
        </w:rPr>
        <w:t>Verbrauchsteuern sind häufig der rechtlich und administrativ passendere Wirkungshebel als eine allumfassende Mehrwertsteuerdifferenzierung.</w:t>
      </w:r>
    </w:p>
    <w:p>
      <w:pPr>
        <w:pStyle w:val="Rationale"/>
      </w:pPr>
      <w:r>
        <w:rPr>
          <w:rFonts w:ascii="Noto Sans" w:hAnsi="Noto Sans"/>
          <w:b/>
          <w:color w:val="C89B3C"/>
          <w:sz w:val="16"/>
        </w:rPr>
        <w:t xml:space="preserve">BEGRÜNDUNG </w:t>
      </w:r>
      <w:r>
        <w:rPr>
          <w:rFonts w:ascii="Noto Sans" w:hAnsi="Noto Sans"/>
          <w:color w:val="2C2C2E"/>
          <w:sz w:val="17"/>
        </w:rPr>
        <w:t>Sie erlauben eine nähere Kausalbeziehung zwischen Steuergegenstand und Wirkung.</w:t>
      </w:r>
    </w:p>
    <w:p>
      <w:pPr>
        <w:pStyle w:val="LegalNote"/>
      </w:pPr>
      <w:r>
        <w:rPr>
          <w:rFonts w:ascii="Noto Sans" w:hAnsi="Noto Sans"/>
          <w:b/>
          <w:color w:val="C85A3C"/>
          <w:sz w:val="16"/>
        </w:rPr>
        <w:t xml:space="preserve">RECHTS- UND UMSETZUNGSNOTIZ </w:t>
      </w:r>
      <w:r>
        <w:rPr>
          <w:rFonts w:ascii="Noto Sans" w:hAnsi="Noto Sans"/>
          <w:color w:val="2C2C2E"/>
          <w:sz w:val="17"/>
        </w:rPr>
        <w:t>Dazu gehören insbesondere Energie, Tabak und Alkohol; die konkrete unionsrechtliche Harmonisierung ist je Steuer zu prüfen.</w:t>
      </w:r>
    </w:p>
    <w:p>
      <w:pPr>
        <w:pStyle w:val="Heading2"/>
        <w:keepNext/>
      </w:pPr>
      <w:r>
        <w:t>§ 69 Energiesteuer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Energiesteuer soll Energieprodukte stärker nach Klimawirkung, Luftschadstoffen, Systemresilienz und gegebenenfalls weiteren gesetzlich bestimmten Wirkungsmerkmalen differenzieren.</w:t>
      </w:r>
    </w:p>
    <w:p>
      <w:pPr>
        <w:pStyle w:val="LawText"/>
        <w:ind w:left="113" w:hanging="113"/>
      </w:pPr>
      <w:r>
        <w:rPr>
          <w:rFonts w:ascii="Noto Sans" w:hAnsi="Noto Sans"/>
          <w:b/>
          <w:color w:val="0B1020"/>
          <w:sz w:val="18"/>
        </w:rPr>
        <w:t xml:space="preserve">(2) </w:t>
      </w:r>
      <w:r>
        <w:rPr>
          <w:rFonts w:ascii="Noto Sans" w:hAnsi="Noto Sans"/>
          <w:color w:val="2C2C2E"/>
          <w:sz w:val="18"/>
        </w:rPr>
        <w:t>Doppelbelastungen mit Emissionshandel und anderen CO2-Instrumenten sind zu prüfen; zugleich dürfen reale Restwirkungen nicht aufgrund formaler Überschneidung unsichtbar werden.</w:t>
      </w:r>
    </w:p>
    <w:p>
      <w:pPr>
        <w:pStyle w:val="LawText"/>
        <w:ind w:left="113" w:hanging="113"/>
      </w:pPr>
      <w:r>
        <w:rPr>
          <w:rFonts w:ascii="Noto Sans" w:hAnsi="Noto Sans"/>
          <w:b/>
          <w:color w:val="0B1020"/>
          <w:sz w:val="18"/>
        </w:rPr>
        <w:t xml:space="preserve">(3) </w:t>
      </w:r>
      <w:r>
        <w:rPr>
          <w:rFonts w:ascii="Noto Sans" w:hAnsi="Noto Sans"/>
          <w:color w:val="2C2C2E"/>
          <w:sz w:val="18"/>
        </w:rPr>
        <w:t>Entlastungen für Transformationsinvestitionen sind befristet, konditioniert und technologieoffen auszugestalten.</w:t>
      </w:r>
    </w:p>
    <w:p>
      <w:pPr>
        <w:pStyle w:val="Commentary"/>
      </w:pPr>
      <w:r>
        <w:rPr>
          <w:rFonts w:ascii="Noto Sans" w:hAnsi="Noto Sans"/>
          <w:b/>
          <w:color w:val="2F7D5C"/>
          <w:sz w:val="16"/>
        </w:rPr>
        <w:t xml:space="preserve">KOMMENTAR </w:t>
      </w:r>
      <w:r>
        <w:rPr>
          <w:rFonts w:ascii="Noto Sans" w:hAnsi="Noto Sans"/>
          <w:color w:val="2C2C2E"/>
          <w:sz w:val="17"/>
        </w:rPr>
        <w:t>Energiesteuer ist ein Kernmodul, weil Wirkung und Messobjekt eng zusammenliegen. Entscheidend ist eine systemische Kalibrierung statt nebeneinander laufender Preisimpulse.</w:t>
      </w:r>
    </w:p>
    <w:p>
      <w:pPr>
        <w:pStyle w:val="Rationale"/>
      </w:pPr>
      <w:r>
        <w:rPr>
          <w:rFonts w:ascii="Noto Sans" w:hAnsi="Noto Sans"/>
          <w:b/>
          <w:color w:val="C89B3C"/>
          <w:sz w:val="16"/>
        </w:rPr>
        <w:t xml:space="preserve">BEGRÜNDUNG </w:t>
      </w:r>
      <w:r>
        <w:rPr>
          <w:rFonts w:ascii="Noto Sans" w:hAnsi="Noto Sans"/>
          <w:color w:val="2C2C2E"/>
          <w:sz w:val="17"/>
        </w:rPr>
        <w:t>Klimawirkung, Versorgungssicherheit und Übergangsrisiken lassen sich in physischen Größen abbilden.</w:t>
      </w:r>
    </w:p>
    <w:p>
      <w:pPr>
        <w:pStyle w:val="LegalNote"/>
      </w:pPr>
      <w:r>
        <w:rPr>
          <w:rFonts w:ascii="Noto Sans" w:hAnsi="Noto Sans"/>
          <w:b/>
          <w:color w:val="C85A3C"/>
          <w:sz w:val="16"/>
        </w:rPr>
        <w:t xml:space="preserve">RECHTS- UND UMSETZUNGSNOTIZ </w:t>
      </w:r>
      <w:r>
        <w:rPr>
          <w:rFonts w:ascii="Noto Sans" w:hAnsi="Noto Sans"/>
          <w:color w:val="2C2C2E"/>
          <w:sz w:val="17"/>
        </w:rPr>
        <w:t>Die EU-Energiebesteuerung ist harmonisiert und wird politisch weiterentwickelt. [E18]</w:t>
      </w:r>
    </w:p>
    <w:p>
      <w:pPr>
        <w:pStyle w:val="Heading2"/>
        <w:keepNext/>
      </w:pPr>
      <w:r>
        <w:t>§ 70 Stromsteuer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Stromsteuer kann Erzeugungsmix, Systemdienlichkeit, Speicher- und Flexibilitätsbeiträge sowie nachgewiesene Verlustwirkungen berücksichtigen, soweit unionsrechtlich zulässig.</w:t>
      </w:r>
    </w:p>
    <w:p>
      <w:pPr>
        <w:pStyle w:val="LawText"/>
        <w:ind w:left="113" w:hanging="113"/>
      </w:pPr>
      <w:r>
        <w:rPr>
          <w:rFonts w:ascii="Noto Sans" w:hAnsi="Noto Sans"/>
          <w:b/>
          <w:color w:val="0B1020"/>
          <w:sz w:val="18"/>
        </w:rPr>
        <w:t xml:space="preserve">(2) </w:t>
      </w:r>
      <w:r>
        <w:rPr>
          <w:rFonts w:ascii="Noto Sans" w:hAnsi="Noto Sans"/>
          <w:color w:val="2C2C2E"/>
          <w:sz w:val="18"/>
        </w:rPr>
        <w:t>Eine Entlastung darf nicht allein an Branchenstatus, sondern soll an nachweisbare Transformations- und Wettbewerbsbedingungen geknüpft werden, soweit der Gesetzgeber dies vorsieht.</w:t>
      </w:r>
    </w:p>
    <w:p>
      <w:pPr>
        <w:pStyle w:val="Commentary"/>
      </w:pPr>
      <w:r>
        <w:rPr>
          <w:rFonts w:ascii="Noto Sans" w:hAnsi="Noto Sans"/>
          <w:b/>
          <w:color w:val="2F7D5C"/>
          <w:sz w:val="16"/>
        </w:rPr>
        <w:t xml:space="preserve">KOMMENTAR </w:t>
      </w:r>
      <w:r>
        <w:rPr>
          <w:rFonts w:ascii="Noto Sans" w:hAnsi="Noto Sans"/>
          <w:color w:val="2C2C2E"/>
          <w:sz w:val="17"/>
        </w:rPr>
        <w:t>Strom ist zugleich Produkt und Systeminfrastruktur. Eine Wirkungskomponente muss daher Netz- und Resilienzfragen einbeziehen.</w:t>
      </w:r>
    </w:p>
    <w:p>
      <w:pPr>
        <w:pStyle w:val="Rationale"/>
      </w:pPr>
      <w:r>
        <w:rPr>
          <w:rFonts w:ascii="Noto Sans" w:hAnsi="Noto Sans"/>
          <w:b/>
          <w:color w:val="C89B3C"/>
          <w:sz w:val="16"/>
        </w:rPr>
        <w:t xml:space="preserve">BEGRÜNDUNG </w:t>
      </w:r>
      <w:r>
        <w:rPr>
          <w:rFonts w:ascii="Noto Sans" w:hAnsi="Noto Sans"/>
          <w:color w:val="2C2C2E"/>
          <w:sz w:val="17"/>
        </w:rPr>
        <w:t>Das Ziel ist nicht moralische Stromkennzeichnung, sondern bessere Systemsignale.</w:t>
      </w:r>
    </w:p>
    <w:p>
      <w:pPr>
        <w:pStyle w:val="LegalNote"/>
      </w:pPr>
      <w:r>
        <w:rPr>
          <w:rFonts w:ascii="Noto Sans" w:hAnsi="Noto Sans"/>
          <w:b/>
          <w:color w:val="C85A3C"/>
          <w:sz w:val="16"/>
        </w:rPr>
        <w:t xml:space="preserve">RECHTS- UND UMSETZUNGSNOTIZ </w:t>
      </w:r>
      <w:r>
        <w:rPr>
          <w:rFonts w:ascii="Noto Sans" w:hAnsi="Noto Sans"/>
          <w:color w:val="2C2C2E"/>
          <w:sz w:val="17"/>
        </w:rPr>
        <w:t>Mindeststeuersätze und Beihilfenrecht sind zu beachten.</w:t>
      </w:r>
    </w:p>
    <w:p>
      <w:pPr>
        <w:pStyle w:val="Heading2"/>
        <w:keepNext/>
      </w:pPr>
      <w:r>
        <w:t>§ 71 Kraftfahrzeugsteuer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Kraftfahrzeugsteuer kann neben Antriebs- und Emissionsmerkmalen auch Fahrzeugmasse, Flächenbeanspruchung, Sicherheits- und Ressourcenmerkmale berücksichtigen, soweit diese sachlich zurechenbar und gesetzlich bestimmt sind.</w:t>
      </w:r>
    </w:p>
    <w:p>
      <w:pPr>
        <w:pStyle w:val="LawText"/>
        <w:ind w:left="113" w:hanging="113"/>
      </w:pPr>
      <w:r>
        <w:rPr>
          <w:rFonts w:ascii="Noto Sans" w:hAnsi="Noto Sans"/>
          <w:b/>
          <w:color w:val="0B1020"/>
          <w:sz w:val="18"/>
        </w:rPr>
        <w:t xml:space="preserve">(2) </w:t>
      </w:r>
      <w:r>
        <w:rPr>
          <w:rFonts w:ascii="Noto Sans" w:hAnsi="Noto Sans"/>
          <w:color w:val="2C2C2E"/>
          <w:sz w:val="18"/>
        </w:rPr>
        <w:t>Für notwendige Mobilität, Menschen mit Behinderung und strukturschwache Räume sind Ausnahmen oder Ausgleichsmechanismen vorzusehen.</w:t>
      </w:r>
    </w:p>
    <w:p>
      <w:pPr>
        <w:pStyle w:val="Commentary"/>
      </w:pPr>
      <w:r>
        <w:rPr>
          <w:rFonts w:ascii="Noto Sans" w:hAnsi="Noto Sans"/>
          <w:b/>
          <w:color w:val="2F7D5C"/>
          <w:sz w:val="16"/>
        </w:rPr>
        <w:t xml:space="preserve">KOMMENTAR </w:t>
      </w:r>
      <w:r>
        <w:rPr>
          <w:rFonts w:ascii="Noto Sans" w:hAnsi="Noto Sans"/>
          <w:color w:val="2C2C2E"/>
          <w:sz w:val="17"/>
        </w:rPr>
        <w:t>Kfz-Steuer eignet sich für objektbasierte Wirkung, nicht für eine moralische Bewertung des Fahrers.</w:t>
      </w:r>
    </w:p>
    <w:p>
      <w:pPr>
        <w:pStyle w:val="Rationale"/>
      </w:pPr>
      <w:r>
        <w:rPr>
          <w:rFonts w:ascii="Noto Sans" w:hAnsi="Noto Sans"/>
          <w:b/>
          <w:color w:val="C89B3C"/>
          <w:sz w:val="16"/>
        </w:rPr>
        <w:t xml:space="preserve">BEGRÜNDUNG </w:t>
      </w:r>
      <w:r>
        <w:rPr>
          <w:rFonts w:ascii="Noto Sans" w:hAnsi="Noto Sans"/>
          <w:color w:val="2C2C2E"/>
          <w:sz w:val="17"/>
        </w:rPr>
        <w:t>Fahrzeugmerkmale sind stabil messbar und administrativ anschlussfähig.</w:t>
      </w:r>
    </w:p>
    <w:p>
      <w:pPr>
        <w:pStyle w:val="LegalNote"/>
      </w:pPr>
      <w:r>
        <w:rPr>
          <w:rFonts w:ascii="Noto Sans" w:hAnsi="Noto Sans"/>
          <w:b/>
          <w:color w:val="C85A3C"/>
          <w:sz w:val="16"/>
        </w:rPr>
        <w:t xml:space="preserve">RECHTS- UND UMSETZUNGSNOTIZ </w:t>
      </w:r>
      <w:r>
        <w:rPr>
          <w:rFonts w:ascii="Noto Sans" w:hAnsi="Noto Sans"/>
          <w:color w:val="2C2C2E"/>
          <w:sz w:val="17"/>
        </w:rPr>
        <w:t>Verteilungs- und Alternativenprüfung sind für Verhältnismäßigkeit zentral.</w:t>
      </w:r>
    </w:p>
    <w:p>
      <w:pPr>
        <w:pStyle w:val="Heading2"/>
        <w:keepNext/>
      </w:pPr>
      <w:r>
        <w:t>§ 72 Luftverkehrsteuer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Luftverkehrsteuer kann nach Entfernung, Reiseklasse, Klimawirkung und verfügbaren Alternativen differenziert werden, soweit völker-, unions- und beihilfenrechtlich zulässig.</w:t>
      </w:r>
    </w:p>
    <w:p>
      <w:pPr>
        <w:pStyle w:val="LawText"/>
        <w:ind w:left="113" w:hanging="113"/>
      </w:pPr>
      <w:r>
        <w:rPr>
          <w:rFonts w:ascii="Noto Sans" w:hAnsi="Noto Sans"/>
          <w:b/>
          <w:color w:val="0B1020"/>
          <w:sz w:val="18"/>
        </w:rPr>
        <w:t xml:space="preserve">(2) </w:t>
      </w:r>
      <w:r>
        <w:rPr>
          <w:rFonts w:ascii="Noto Sans" w:hAnsi="Noto Sans"/>
          <w:color w:val="2C2C2E"/>
          <w:sz w:val="18"/>
        </w:rPr>
        <w:t>Entlastungen für nachweislich emissionsärmere Lösungen dürfen keine Scheinwirkung durch ungesicherte Kompensationsannahmen erzeugen.</w:t>
      </w:r>
    </w:p>
    <w:p>
      <w:pPr>
        <w:pStyle w:val="Commentary"/>
      </w:pPr>
      <w:r>
        <w:rPr>
          <w:rFonts w:ascii="Noto Sans" w:hAnsi="Noto Sans"/>
          <w:b/>
          <w:color w:val="2F7D5C"/>
          <w:sz w:val="16"/>
        </w:rPr>
        <w:t xml:space="preserve">KOMMENTAR </w:t>
      </w:r>
      <w:r>
        <w:rPr>
          <w:rFonts w:ascii="Noto Sans" w:hAnsi="Noto Sans"/>
          <w:color w:val="2C2C2E"/>
          <w:sz w:val="17"/>
        </w:rPr>
        <w:t>Luftverkehr erzeugt klar messbare Klimawirkung, aber internationale Wettbewerbs- und Verlagerungseffekte sind relevant.</w:t>
      </w:r>
    </w:p>
    <w:p>
      <w:pPr>
        <w:pStyle w:val="Rationale"/>
      </w:pPr>
      <w:r>
        <w:rPr>
          <w:rFonts w:ascii="Noto Sans" w:hAnsi="Noto Sans"/>
          <w:b/>
          <w:color w:val="C89B3C"/>
          <w:sz w:val="16"/>
        </w:rPr>
        <w:t xml:space="preserve">BEGRÜNDUNG </w:t>
      </w:r>
      <w:r>
        <w:rPr>
          <w:rFonts w:ascii="Noto Sans" w:hAnsi="Noto Sans"/>
          <w:color w:val="2C2C2E"/>
          <w:sz w:val="17"/>
        </w:rPr>
        <w:t>Die Steuer ist ein geeignetes Pilotfeld für Wirkung statt pauschaler Tariflogik.</w:t>
      </w:r>
    </w:p>
    <w:p>
      <w:pPr>
        <w:pStyle w:val="LegalNote"/>
      </w:pPr>
      <w:r>
        <w:rPr>
          <w:rFonts w:ascii="Noto Sans" w:hAnsi="Noto Sans"/>
          <w:b/>
          <w:color w:val="C85A3C"/>
          <w:sz w:val="16"/>
        </w:rPr>
        <w:t xml:space="preserve">RECHTS- UND UMSETZUNGSNOTIZ </w:t>
      </w:r>
      <w:r>
        <w:rPr>
          <w:rFonts w:ascii="Noto Sans" w:hAnsi="Noto Sans"/>
          <w:color w:val="2C2C2E"/>
          <w:sz w:val="17"/>
        </w:rPr>
        <w:t>Grenzüberschreitende Verlagerung und internationale Abkommen sind zu prüfen.</w:t>
      </w:r>
    </w:p>
    <w:p>
      <w:pPr>
        <w:pStyle w:val="Heading2"/>
        <w:keepNext/>
      </w:pPr>
      <w:r>
        <w:t>§ 73 Tabaksteuer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Tabaksteuer bleibt ein vorrangig gesundheitsbezogenes Wirkungsmodul und kann nach Schadstoff-, Nikotin- und Produktmerkmalen differenziert werden.</w:t>
      </w:r>
    </w:p>
    <w:p>
      <w:pPr>
        <w:pStyle w:val="LawText"/>
        <w:ind w:left="113" w:hanging="113"/>
      </w:pPr>
      <w:r>
        <w:rPr>
          <w:rFonts w:ascii="Noto Sans" w:hAnsi="Noto Sans"/>
          <w:b/>
          <w:color w:val="0B1020"/>
          <w:sz w:val="18"/>
        </w:rPr>
        <w:t xml:space="preserve">(2) </w:t>
      </w:r>
      <w:r>
        <w:rPr>
          <w:rFonts w:ascii="Noto Sans" w:hAnsi="Noto Sans"/>
          <w:color w:val="2C2C2E"/>
          <w:sz w:val="18"/>
        </w:rPr>
        <w:t>Entlastungen dürfen nur auf belastbaren relativen Risikodaten beruhen und dürfen keine gesundheitsgefährdende Konsumförderung bewirken.</w:t>
      </w:r>
    </w:p>
    <w:p>
      <w:pPr>
        <w:pStyle w:val="Commentary"/>
      </w:pPr>
      <w:r>
        <w:rPr>
          <w:rFonts w:ascii="Noto Sans" w:hAnsi="Noto Sans"/>
          <w:b/>
          <w:color w:val="2F7D5C"/>
          <w:sz w:val="16"/>
        </w:rPr>
        <w:t xml:space="preserve">KOMMENTAR </w:t>
      </w:r>
      <w:r>
        <w:rPr>
          <w:rFonts w:ascii="Noto Sans" w:hAnsi="Noto Sans"/>
          <w:color w:val="2C2C2E"/>
          <w:sz w:val="17"/>
        </w:rPr>
        <w:t>Hier ist der Wirkungspfad zu Gesundheit besonders direkt. Eine WÖk-Einordnung würde vor allem Transparenz, Evidenz und Konsistenz verbessern.</w:t>
      </w:r>
    </w:p>
    <w:p>
      <w:pPr>
        <w:pStyle w:val="Rationale"/>
      </w:pPr>
      <w:r>
        <w:rPr>
          <w:rFonts w:ascii="Noto Sans" w:hAnsi="Noto Sans"/>
          <w:b/>
          <w:color w:val="C89B3C"/>
          <w:sz w:val="16"/>
        </w:rPr>
        <w:t xml:space="preserve">BEGRÜNDUNG </w:t>
      </w:r>
      <w:r>
        <w:rPr>
          <w:rFonts w:ascii="Noto Sans" w:hAnsi="Noto Sans"/>
          <w:color w:val="2C2C2E"/>
          <w:sz w:val="17"/>
        </w:rPr>
        <w:t>Prävention und Gesundheitsfolgen sind zentrale Mensch-Wirkungen.</w:t>
      </w:r>
    </w:p>
    <w:p>
      <w:pPr>
        <w:pStyle w:val="LegalNote"/>
      </w:pPr>
      <w:r>
        <w:rPr>
          <w:rFonts w:ascii="Noto Sans" w:hAnsi="Noto Sans"/>
          <w:b/>
          <w:color w:val="C85A3C"/>
          <w:sz w:val="16"/>
        </w:rPr>
        <w:t xml:space="preserve">RECHTS- UND UMSETZUNGSNOTIZ </w:t>
      </w:r>
      <w:r>
        <w:rPr>
          <w:rFonts w:ascii="Noto Sans" w:hAnsi="Noto Sans"/>
          <w:color w:val="2C2C2E"/>
          <w:sz w:val="17"/>
        </w:rPr>
        <w:t>Gesundheitsschutz und Jugendschutz begrenzen eine reine Preisoptimierung.</w:t>
      </w:r>
    </w:p>
    <w:p>
      <w:pPr>
        <w:pStyle w:val="Heading2"/>
        <w:keepNext/>
      </w:pPr>
      <w:r>
        <w:t>§ 74 Alkohol-, Alkopop-, Bier-, Schaumwein- und Zwischenerzeugnissteuer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Alkoholbezogene Verbrauchsteuern werden als gemeinsame Wirkungsfamilie betrachtet und können nach reinem Alkoholgehalt, Gesundheitsrisiko und jugendschutzrelevanten Produktmerkmalen konsistenter kalibriert werden.</w:t>
      </w:r>
    </w:p>
    <w:p>
      <w:pPr>
        <w:pStyle w:val="LawText"/>
        <w:ind w:left="113" w:hanging="113"/>
      </w:pPr>
      <w:r>
        <w:rPr>
          <w:rFonts w:ascii="Noto Sans" w:hAnsi="Noto Sans"/>
          <w:b/>
          <w:color w:val="0B1020"/>
          <w:sz w:val="18"/>
        </w:rPr>
        <w:t xml:space="preserve">(2) </w:t>
      </w:r>
      <w:r>
        <w:rPr>
          <w:rFonts w:ascii="Noto Sans" w:hAnsi="Noto Sans"/>
          <w:color w:val="2C2C2E"/>
          <w:sz w:val="18"/>
        </w:rPr>
        <w:t>Historisch unterschiedliche Steuerkategorien sind auf Wirkungslogik, Vollzugskosten und Kohärenz zu evaluieren.</w:t>
      </w:r>
    </w:p>
    <w:p>
      <w:pPr>
        <w:pStyle w:val="Commentary"/>
      </w:pPr>
      <w:r>
        <w:rPr>
          <w:rFonts w:ascii="Noto Sans" w:hAnsi="Noto Sans"/>
          <w:b/>
          <w:color w:val="2F7D5C"/>
          <w:sz w:val="16"/>
        </w:rPr>
        <w:t xml:space="preserve">KOMMENTAR </w:t>
      </w:r>
      <w:r>
        <w:rPr>
          <w:rFonts w:ascii="Noto Sans" w:hAnsi="Noto Sans"/>
          <w:color w:val="2C2C2E"/>
          <w:sz w:val="17"/>
        </w:rPr>
        <w:t>Die WÖk fragt nicht, warum ein Getränk historisch so besteuert wird, sondern welche Wirkung und welcher Vollzug heute relevant sind.</w:t>
      </w:r>
    </w:p>
    <w:p>
      <w:pPr>
        <w:pStyle w:val="Rationale"/>
      </w:pPr>
      <w:r>
        <w:rPr>
          <w:rFonts w:ascii="Noto Sans" w:hAnsi="Noto Sans"/>
          <w:b/>
          <w:color w:val="C89B3C"/>
          <w:sz w:val="16"/>
        </w:rPr>
        <w:t xml:space="preserve">BEGRÜNDUNG </w:t>
      </w:r>
      <w:r>
        <w:rPr>
          <w:rFonts w:ascii="Noto Sans" w:hAnsi="Noto Sans"/>
          <w:color w:val="2C2C2E"/>
          <w:sz w:val="17"/>
        </w:rPr>
        <w:t>Ein gemeinsamer Wirkungsrahmen kann historische Inkonsistenzen sichtbar machen.</w:t>
      </w:r>
    </w:p>
    <w:p>
      <w:pPr>
        <w:pStyle w:val="LegalNote"/>
      </w:pPr>
      <w:r>
        <w:rPr>
          <w:rFonts w:ascii="Noto Sans" w:hAnsi="Noto Sans"/>
          <w:b/>
          <w:color w:val="C85A3C"/>
          <w:sz w:val="16"/>
        </w:rPr>
        <w:t xml:space="preserve">RECHTS- UND UMSETZUNGSNOTIZ </w:t>
      </w:r>
      <w:r>
        <w:rPr>
          <w:rFonts w:ascii="Noto Sans" w:hAnsi="Noto Sans"/>
          <w:color w:val="2C2C2E"/>
          <w:sz w:val="17"/>
        </w:rPr>
        <w:t>Unionsrechtlich harmonisierte Teile sind zu beachten.</w:t>
      </w:r>
    </w:p>
    <w:p>
      <w:pPr>
        <w:pStyle w:val="Heading2"/>
        <w:keepNext/>
      </w:pPr>
      <w:r>
        <w:t>§ 75 Kaffee- und sonstige produktbezogene Verbrauchsteuern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Bei produktbezogenen Verbrauchsteuern wie der Kaffeesteuer ist zu prüfen, ob die bestehende Steuer einen hinreichenden Wirkungsbezug besitzt oder durch eine zielgenauere Lieferketten-, Umwelt- oder Verbrauchslogik ersetzt oder ergänzt werden sollte.</w:t>
      </w:r>
    </w:p>
    <w:p>
      <w:pPr>
        <w:pStyle w:val="LawText"/>
        <w:ind w:left="113" w:hanging="113"/>
      </w:pPr>
      <w:r>
        <w:rPr>
          <w:rFonts w:ascii="Noto Sans" w:hAnsi="Noto Sans"/>
          <w:b/>
          <w:color w:val="0B1020"/>
          <w:sz w:val="18"/>
        </w:rPr>
        <w:t xml:space="preserve">(2) </w:t>
      </w:r>
      <w:r>
        <w:rPr>
          <w:rFonts w:ascii="Noto Sans" w:hAnsi="Noto Sans"/>
          <w:color w:val="2C2C2E"/>
          <w:sz w:val="18"/>
        </w:rPr>
        <w:t>Eine bloße historische Steuerexistenz begründet keine WÖk-Eignung.</w:t>
      </w:r>
    </w:p>
    <w:p>
      <w:pPr>
        <w:pStyle w:val="Commentary"/>
      </w:pPr>
      <w:r>
        <w:rPr>
          <w:rFonts w:ascii="Noto Sans" w:hAnsi="Noto Sans"/>
          <w:b/>
          <w:color w:val="2F7D5C"/>
          <w:sz w:val="16"/>
        </w:rPr>
        <w:t xml:space="preserve">KOMMENTAR </w:t>
      </w:r>
      <w:r>
        <w:rPr>
          <w:rFonts w:ascii="Noto Sans" w:hAnsi="Noto Sans"/>
          <w:color w:val="2C2C2E"/>
          <w:sz w:val="17"/>
        </w:rPr>
        <w:t>Nicht jede bestehende Steuer muss wirkungsökonomisiert werden. Manche Steuern sind fiskalisch sinnvoll, andere historisch gewachsen. WÖk prüft Nutzen und Wirkung der Steuer selbst.</w:t>
      </w:r>
    </w:p>
    <w:p>
      <w:pPr>
        <w:pStyle w:val="Rationale"/>
      </w:pPr>
      <w:r>
        <w:rPr>
          <w:rFonts w:ascii="Noto Sans" w:hAnsi="Noto Sans"/>
          <w:b/>
          <w:color w:val="C89B3C"/>
          <w:sz w:val="16"/>
        </w:rPr>
        <w:t xml:space="preserve">BEGRÜNDUNG </w:t>
      </w:r>
      <w:r>
        <w:rPr>
          <w:rFonts w:ascii="Noto Sans" w:hAnsi="Noto Sans"/>
          <w:color w:val="2C2C2E"/>
          <w:sz w:val="17"/>
        </w:rPr>
        <w:t>Die Wirkungsteuer soll Bürokratie abbauen, nicht jede Steuer mit einem Score beladen.</w:t>
      </w:r>
    </w:p>
    <w:p>
      <w:pPr>
        <w:pStyle w:val="LegalNote"/>
      </w:pPr>
      <w:r>
        <w:rPr>
          <w:rFonts w:ascii="Noto Sans" w:hAnsi="Noto Sans"/>
          <w:b/>
          <w:color w:val="C85A3C"/>
          <w:sz w:val="16"/>
        </w:rPr>
        <w:t xml:space="preserve">RECHTS- UND UMSETZUNGSNOTIZ </w:t>
      </w:r>
      <w:r>
        <w:rPr>
          <w:rFonts w:ascii="Noto Sans" w:hAnsi="Noto Sans"/>
          <w:color w:val="2C2C2E"/>
          <w:sz w:val="17"/>
        </w:rPr>
        <w:t>Änderungen müssen Steueraufkommen, EU-Recht und Vollzugsaufwand berücksichtigen.</w:t>
      </w:r>
    </w:p>
    <w:p>
      <w:pPr>
        <w:pStyle w:val="Heading2"/>
        <w:keepNext/>
      </w:pPr>
      <w:r>
        <w:t>§ 76 Körperschaftsteuer (WKStG-Modul)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Körperschaftsteuer behält den Gewinn als zentrale Bemessungsgrundlage. Ein Wirkungsmodul kann nachgewiesene Transformationsinvestitionen und positive Netto-Wirkung begrenzt entlasten oder schwere zurechenbare negative Wirkungen mit Zuschlägen versehen.</w:t>
      </w:r>
    </w:p>
    <w:p>
      <w:pPr>
        <w:pStyle w:val="LawText"/>
        <w:ind w:left="113" w:hanging="113"/>
      </w:pPr>
      <w:r>
        <w:rPr>
          <w:rFonts w:ascii="Noto Sans" w:hAnsi="Noto Sans"/>
          <w:b/>
          <w:color w:val="0B1020"/>
          <w:sz w:val="18"/>
        </w:rPr>
        <w:t xml:space="preserve">(2) </w:t>
      </w:r>
      <w:r>
        <w:rPr>
          <w:rFonts w:ascii="Noto Sans" w:hAnsi="Noto Sans"/>
          <w:color w:val="2C2C2E"/>
          <w:sz w:val="18"/>
        </w:rPr>
        <w:t>Eine Entlastung setzt Datenqualität, Zusätzlichkeit und Nichtverletzung gesetzlicher Wirkungsgrenzen voraus.</w:t>
      </w:r>
    </w:p>
    <w:p>
      <w:pPr>
        <w:pStyle w:val="LawText"/>
        <w:ind w:left="113" w:hanging="113"/>
      </w:pPr>
      <w:r>
        <w:rPr>
          <w:rFonts w:ascii="Noto Sans" w:hAnsi="Noto Sans"/>
          <w:b/>
          <w:color w:val="0B1020"/>
          <w:sz w:val="18"/>
        </w:rPr>
        <w:t xml:space="preserve">(3) </w:t>
      </w:r>
      <w:r>
        <w:rPr>
          <w:rFonts w:ascii="Noto Sans" w:hAnsi="Noto Sans"/>
          <w:color w:val="2C2C2E"/>
          <w:sz w:val="18"/>
        </w:rPr>
        <w:t>Unternehmenswirkung wird nicht aus Image, ESG-Rating oder einem einzigen Gesamtscore abgeleitet, sondern aus materialitätsbezogenen, prüfbaren Tatbeständen.</w:t>
      </w:r>
    </w:p>
    <w:p>
      <w:pPr>
        <w:pStyle w:val="LawText"/>
        <w:ind w:left="113" w:hanging="113"/>
      </w:pPr>
      <w:r>
        <w:rPr>
          <w:rFonts w:ascii="Noto Sans" w:hAnsi="Noto Sans"/>
          <w:b/>
          <w:color w:val="0B1020"/>
          <w:sz w:val="18"/>
        </w:rPr>
        <w:t xml:space="preserve">(4) </w:t>
      </w:r>
      <w:r>
        <w:rPr>
          <w:rFonts w:ascii="Noto Sans" w:hAnsi="Noto Sans"/>
          <w:color w:val="2C2C2E"/>
          <w:sz w:val="18"/>
        </w:rPr>
        <w:t>Steuerliche Wirkungsfolgen sind mit Produktsteuern, Emissionspreisen, Subventionen und Beihilfen abzugleichen.</w:t>
      </w:r>
    </w:p>
    <w:p>
      <w:pPr>
        <w:pStyle w:val="Commentary"/>
      </w:pPr>
      <w:r>
        <w:rPr>
          <w:rFonts w:ascii="Noto Sans" w:hAnsi="Noto Sans"/>
          <w:b/>
          <w:color w:val="2F7D5C"/>
          <w:sz w:val="16"/>
        </w:rPr>
        <w:t xml:space="preserve">KOMMENTAR </w:t>
      </w:r>
      <w:r>
        <w:rPr>
          <w:rFonts w:ascii="Noto Sans" w:hAnsi="Noto Sans"/>
          <w:color w:val="2C2C2E"/>
          <w:sz w:val="17"/>
        </w:rPr>
        <w:t>Der Gewinn bleibt. Neu ist die Frage, ob ein Teil des steuerlichen Signals an überprüfbare Wirkung gekoppelt werden soll. Damit wird das alte Konzept korrigiert, die gesamte Körperschaftsteuer durch einen Wirkungsfaktor zu ersetzen.</w:t>
      </w:r>
    </w:p>
    <w:p>
      <w:pPr>
        <w:pStyle w:val="Rationale"/>
      </w:pPr>
      <w:r>
        <w:rPr>
          <w:rFonts w:ascii="Noto Sans" w:hAnsi="Noto Sans"/>
          <w:b/>
          <w:color w:val="C89B3C"/>
          <w:sz w:val="16"/>
        </w:rPr>
        <w:t xml:space="preserve">BEGRÜNDUNG </w:t>
      </w:r>
      <w:r>
        <w:rPr>
          <w:rFonts w:ascii="Noto Sans" w:hAnsi="Noto Sans"/>
          <w:color w:val="2C2C2E"/>
          <w:sz w:val="17"/>
        </w:rPr>
        <w:t>Unternehmen sind Wirkungssysteme, aber auch wirtschaftliche Rechtsträger mit Leistungsfähigkeits- und Wettbewerbsbezug. [I2]</w:t>
      </w:r>
    </w:p>
    <w:p>
      <w:pPr>
        <w:pStyle w:val="LegalNote"/>
      </w:pPr>
      <w:r>
        <w:rPr>
          <w:rFonts w:ascii="Noto Sans" w:hAnsi="Noto Sans"/>
          <w:b/>
          <w:color w:val="C85A3C"/>
          <w:sz w:val="16"/>
        </w:rPr>
        <w:t xml:space="preserve">RECHTS- UND UMSETZUNGSNOTIZ </w:t>
      </w:r>
      <w:r>
        <w:rPr>
          <w:rFonts w:ascii="Noto Sans" w:hAnsi="Noto Sans"/>
          <w:color w:val="2C2C2E"/>
          <w:sz w:val="17"/>
        </w:rPr>
        <w:t>Selektive Entlastungen können staatliche Beihilfen sein und brauchen EU-Prüfung. [E15]</w:t>
      </w:r>
    </w:p>
    <w:p>
      <w:pPr>
        <w:pStyle w:val="Heading2"/>
        <w:keepNext/>
      </w:pPr>
      <w:r>
        <w:t>§ 77 Gewerbesteuer und kommunale Wirkungslogik (WGewStG-Modul)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Gewerbesteuer bleibt kommunale Realsteuer. Wirkungsbezogene Zu- oder Abschläge können nur auf klarer gesetzlicher Grundlage und unter Wahrung der kommunalen Finanzautonomie vorgesehen werden.</w:t>
      </w:r>
    </w:p>
    <w:p>
      <w:pPr>
        <w:pStyle w:val="LawText"/>
        <w:ind w:left="113" w:hanging="113"/>
      </w:pPr>
      <w:r>
        <w:rPr>
          <w:rFonts w:ascii="Noto Sans" w:hAnsi="Noto Sans"/>
          <w:b/>
          <w:color w:val="0B1020"/>
          <w:sz w:val="18"/>
        </w:rPr>
        <w:t xml:space="preserve">(2) </w:t>
      </w:r>
      <w:r>
        <w:rPr>
          <w:rFonts w:ascii="Noto Sans" w:hAnsi="Noto Sans"/>
          <w:color w:val="2C2C2E"/>
          <w:sz w:val="18"/>
        </w:rPr>
        <w:t>Lokale Wirkungsmerkmale können insbesondere Flächenverbrauch, lokale Emissionen, Infrastrukturbelastung, Ausbildungs- und Transformationsinvestitionen betreffen, soweit sie dem Betrieb sachlich zurechenbar sind.</w:t>
      </w:r>
    </w:p>
    <w:p>
      <w:pPr>
        <w:pStyle w:val="LawText"/>
        <w:ind w:left="113" w:hanging="113"/>
      </w:pPr>
      <w:r>
        <w:rPr>
          <w:rFonts w:ascii="Noto Sans" w:hAnsi="Noto Sans"/>
          <w:b/>
          <w:color w:val="0B1020"/>
          <w:sz w:val="18"/>
        </w:rPr>
        <w:t xml:space="preserve">(3) </w:t>
      </w:r>
      <w:r>
        <w:rPr>
          <w:rFonts w:ascii="Noto Sans" w:hAnsi="Noto Sans"/>
          <w:color w:val="2C2C2E"/>
          <w:sz w:val="18"/>
        </w:rPr>
        <w:t>Ein ruinöser Standortwettbewerb über Wirkungsrabatte ist durch Korridore und Transparenz zu begrenzen.</w:t>
      </w:r>
    </w:p>
    <w:p>
      <w:pPr>
        <w:pStyle w:val="Commentary"/>
      </w:pPr>
      <w:r>
        <w:rPr>
          <w:rFonts w:ascii="Noto Sans" w:hAnsi="Noto Sans"/>
          <w:b/>
          <w:color w:val="2F7D5C"/>
          <w:sz w:val="16"/>
        </w:rPr>
        <w:t xml:space="preserve">KOMMENTAR </w:t>
      </w:r>
      <w:r>
        <w:rPr>
          <w:rFonts w:ascii="Noto Sans" w:hAnsi="Noto Sans"/>
          <w:color w:val="2C2C2E"/>
          <w:sz w:val="17"/>
        </w:rPr>
        <w:t>Die Kommune erlebt Wirkung unmittelbar. Deshalb eignet sich die Gewerbesteuer prinzipiell für lokale Rückkopplung, darf aber nicht zu einem unübersichtlichen Flickenteppich werden.</w:t>
      </w:r>
    </w:p>
    <w:p>
      <w:pPr>
        <w:pStyle w:val="Rationale"/>
      </w:pPr>
      <w:r>
        <w:rPr>
          <w:rFonts w:ascii="Noto Sans" w:hAnsi="Noto Sans"/>
          <w:b/>
          <w:color w:val="C89B3C"/>
          <w:sz w:val="16"/>
        </w:rPr>
        <w:t xml:space="preserve">BEGRÜNDUNG </w:t>
      </w:r>
      <w:r>
        <w:rPr>
          <w:rFonts w:ascii="Noto Sans" w:hAnsi="Noto Sans"/>
          <w:color w:val="2C2C2E"/>
          <w:sz w:val="17"/>
        </w:rPr>
        <w:t>Föderale Verantwortung ist ein Kernmotiv seit 2025, wird jetzt aber kompetenz- und finanzpolitisch vorsichtiger formuliert.</w:t>
      </w:r>
    </w:p>
    <w:p>
      <w:pPr>
        <w:pStyle w:val="LegalNote"/>
      </w:pPr>
      <w:r>
        <w:rPr>
          <w:rFonts w:ascii="Noto Sans" w:hAnsi="Noto Sans"/>
          <w:b/>
          <w:color w:val="C85A3C"/>
          <w:sz w:val="16"/>
        </w:rPr>
        <w:t xml:space="preserve">RECHTS- UND UMSETZUNGSNOTIZ </w:t>
      </w:r>
      <w:r>
        <w:rPr>
          <w:rFonts w:ascii="Noto Sans" w:hAnsi="Noto Sans"/>
          <w:color w:val="2C2C2E"/>
          <w:sz w:val="17"/>
        </w:rPr>
        <w:t>Kommunale Steuerkompetenzen und bundesgesetzlicher Rahmen sind getrennt zu prüfen. [E7][E8]</w:t>
      </w:r>
    </w:p>
    <w:p>
      <w:pPr>
        <w:pStyle w:val="Heading2"/>
        <w:keepNext/>
      </w:pPr>
      <w:r>
        <w:t>§ 78 Einkommensteuer (WEstG-Modul)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Einkommensteuer bleibt primär an finanzieller Leistungsfähigkeit und Einkommenshöhe orientiert.</w:t>
      </w:r>
    </w:p>
    <w:p>
      <w:pPr>
        <w:pStyle w:val="LawText"/>
        <w:ind w:left="113" w:hanging="113"/>
      </w:pPr>
      <w:r>
        <w:rPr>
          <w:rFonts w:ascii="Noto Sans" w:hAnsi="Noto Sans"/>
          <w:b/>
          <w:color w:val="0B1020"/>
          <w:sz w:val="18"/>
        </w:rPr>
        <w:t xml:space="preserve">(2) </w:t>
      </w:r>
      <w:r>
        <w:rPr>
          <w:rFonts w:ascii="Noto Sans" w:hAnsi="Noto Sans"/>
          <w:color w:val="2C2C2E"/>
          <w:sz w:val="18"/>
        </w:rPr>
        <w:t>Eine Wirkungsmodulation darf keine moralische Gesamtbewertung der steuerpflichtigen Person vornehmen und darf Beschäftigte nicht für die Gesamtwirkung ihres Arbeitgebers bestrafen.</w:t>
      </w:r>
    </w:p>
    <w:p>
      <w:pPr>
        <w:pStyle w:val="LawText"/>
        <w:ind w:left="113" w:hanging="113"/>
      </w:pPr>
      <w:r>
        <w:rPr>
          <w:rFonts w:ascii="Noto Sans" w:hAnsi="Noto Sans"/>
          <w:b/>
          <w:color w:val="0B1020"/>
          <w:sz w:val="18"/>
        </w:rPr>
        <w:t xml:space="preserve">(3) </w:t>
      </w:r>
      <w:r>
        <w:rPr>
          <w:rFonts w:ascii="Noto Sans" w:hAnsi="Noto Sans"/>
          <w:color w:val="2C2C2E"/>
          <w:sz w:val="18"/>
        </w:rPr>
        <w:t>Der Gesetzgeber kann objektive, nachweisbare und zeitlich begrenzte Entlastungen für gesellschaftlich besonders wirkungsrelevante Tätigkeiten, Prävention, Weiterbildung oder Übergänge vorsehen, sofern Gleichheit, Finanzierbarkeit und Abgrenzbarkeit gesichert sind.</w:t>
      </w:r>
    </w:p>
    <w:p>
      <w:pPr>
        <w:pStyle w:val="LawText"/>
        <w:ind w:left="113" w:hanging="113"/>
      </w:pPr>
      <w:r>
        <w:rPr>
          <w:rFonts w:ascii="Noto Sans" w:hAnsi="Noto Sans"/>
          <w:b/>
          <w:color w:val="0B1020"/>
          <w:sz w:val="18"/>
        </w:rPr>
        <w:t xml:space="preserve">(4) </w:t>
      </w:r>
      <w:r>
        <w:rPr>
          <w:rFonts w:ascii="Noto Sans" w:hAnsi="Noto Sans"/>
          <w:color w:val="2C2C2E"/>
          <w:sz w:val="18"/>
        </w:rPr>
        <w:t>Negative Unternehmens- oder Produktwirkungen werden vorrangig auf Produkt-, Unternehmens-, Verbrauchs- oder Kapitalebene adressiert und nicht auf den individuellen Arbeitnehmer übertragen.</w:t>
      </w:r>
    </w:p>
    <w:p>
      <w:pPr>
        <w:pStyle w:val="Commentary"/>
      </w:pPr>
      <w:r>
        <w:rPr>
          <w:rFonts w:ascii="Noto Sans" w:hAnsi="Noto Sans"/>
          <w:b/>
          <w:color w:val="2F7D5C"/>
          <w:sz w:val="16"/>
        </w:rPr>
        <w:t xml:space="preserve">KOMMENTAR </w:t>
      </w:r>
      <w:r>
        <w:rPr>
          <w:rFonts w:ascii="Noto Sans" w:hAnsi="Noto Sans"/>
          <w:color w:val="2C2C2E"/>
          <w:sz w:val="17"/>
        </w:rPr>
        <w:t>Dies ist die größte inhaltliche Neufassung gegenüber dem WEstG 2025. Die frühere 60:40-Kombination aus Organisations- und Individualwirkung wird verworfen. Einkommensteuer braucht Leistungsfähigkeit, Gleichheit und Schutz vor Personenranking. Wirkung kann ergänzen - nicht die Person bewerten.</w:t>
      </w:r>
    </w:p>
    <w:p>
      <w:pPr>
        <w:pStyle w:val="Rationale"/>
      </w:pPr>
      <w:r>
        <w:rPr>
          <w:rFonts w:ascii="Noto Sans" w:hAnsi="Noto Sans"/>
          <w:b/>
          <w:color w:val="C89B3C"/>
          <w:sz w:val="16"/>
        </w:rPr>
        <w:t xml:space="preserve">BEGRÜNDUNG </w:t>
      </w:r>
      <w:r>
        <w:rPr>
          <w:rFonts w:ascii="Noto Sans" w:hAnsi="Noto Sans"/>
          <w:color w:val="2C2C2E"/>
          <w:sz w:val="17"/>
        </w:rPr>
        <w:t>Care, Bildung und andere Wirkleistung können über objektive Tatbestände anerkannt werden. Die breitere gesellschaftliche Anerkennung gehört aber ebenso in Lohn-, Sozial- und Transferpolitik. [I3][I4][I5]</w:t>
      </w:r>
    </w:p>
    <w:p>
      <w:pPr>
        <w:pStyle w:val="LegalNote"/>
      </w:pPr>
      <w:r>
        <w:rPr>
          <w:rFonts w:ascii="Noto Sans" w:hAnsi="Noto Sans"/>
          <w:b/>
          <w:color w:val="C85A3C"/>
          <w:sz w:val="16"/>
        </w:rPr>
        <w:t xml:space="preserve">RECHTS- UND UMSETZUNGSNOTIZ </w:t>
      </w:r>
      <w:r>
        <w:rPr>
          <w:rFonts w:ascii="Noto Sans" w:hAnsi="Noto Sans"/>
          <w:color w:val="2C2C2E"/>
          <w:sz w:val="17"/>
        </w:rPr>
        <w:t>Art. 3 und 12 GG verlangen eine besonders sorgfältige Typisierung und Verhältnismäßigkeit. [E2][E3]</w:t>
      </w:r>
    </w:p>
    <w:p>
      <w:pPr>
        <w:pStyle w:val="Heading2"/>
        <w:keepNext/>
      </w:pPr>
      <w:r>
        <w:t>§ 79 Lohnsteuer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Lohnsteuer bleibt Erhebungsform der Einkommensteuer.</w:t>
      </w:r>
    </w:p>
    <w:p>
      <w:pPr>
        <w:pStyle w:val="LawText"/>
        <w:ind w:left="113" w:hanging="113"/>
      </w:pPr>
      <w:r>
        <w:rPr>
          <w:rFonts w:ascii="Noto Sans" w:hAnsi="Noto Sans"/>
          <w:b/>
          <w:color w:val="0B1020"/>
          <w:sz w:val="18"/>
        </w:rPr>
        <w:t xml:space="preserve">(2) </w:t>
      </w:r>
      <w:r>
        <w:rPr>
          <w:rFonts w:ascii="Noto Sans" w:hAnsi="Noto Sans"/>
          <w:color w:val="2C2C2E"/>
          <w:sz w:val="18"/>
        </w:rPr>
        <w:t>Sie erhält keinen eigenständigen Arbeitgeber-Wirkungssatz.</w:t>
      </w:r>
    </w:p>
    <w:p>
      <w:pPr>
        <w:pStyle w:val="LawText"/>
        <w:ind w:left="113" w:hanging="113"/>
      </w:pPr>
      <w:r>
        <w:rPr>
          <w:rFonts w:ascii="Noto Sans" w:hAnsi="Noto Sans"/>
          <w:b/>
          <w:color w:val="0B1020"/>
          <w:sz w:val="18"/>
        </w:rPr>
        <w:t xml:space="preserve">(3) </w:t>
      </w:r>
      <w:r>
        <w:rPr>
          <w:rFonts w:ascii="Noto Sans" w:hAnsi="Noto Sans"/>
          <w:color w:val="2C2C2E"/>
          <w:sz w:val="18"/>
        </w:rPr>
        <w:t>Wirkungsbezogene Einkommensteuerentlastungen werden in den Lohnsteuerabzug integriert, soweit sie standardisiert und ohne übermäßige Arbeitgeberdatenverarbeitung vollziehbar sind.</w:t>
      </w:r>
    </w:p>
    <w:p>
      <w:pPr>
        <w:pStyle w:val="Commentary"/>
      </w:pPr>
      <w:r>
        <w:rPr>
          <w:rFonts w:ascii="Noto Sans" w:hAnsi="Noto Sans"/>
          <w:b/>
          <w:color w:val="2F7D5C"/>
          <w:sz w:val="16"/>
        </w:rPr>
        <w:t xml:space="preserve">KOMMENTAR </w:t>
      </w:r>
      <w:r>
        <w:rPr>
          <w:rFonts w:ascii="Noto Sans" w:hAnsi="Noto Sans"/>
          <w:color w:val="2C2C2E"/>
          <w:sz w:val="17"/>
        </w:rPr>
        <w:t>Damit wird vermieden, dass zwei Menschen mit gleichem Einkommen allein wegen der Organisationsbewertung ihres Arbeitgebers unterschiedliche Lohnsteuersätze haben.</w:t>
      </w:r>
    </w:p>
    <w:p>
      <w:pPr>
        <w:pStyle w:val="Rationale"/>
      </w:pPr>
      <w:r>
        <w:rPr>
          <w:rFonts w:ascii="Noto Sans" w:hAnsi="Noto Sans"/>
          <w:b/>
          <w:color w:val="C89B3C"/>
          <w:sz w:val="16"/>
        </w:rPr>
        <w:t xml:space="preserve">BEGRÜNDUNG </w:t>
      </w:r>
      <w:r>
        <w:rPr>
          <w:rFonts w:ascii="Noto Sans" w:hAnsi="Noto Sans"/>
          <w:color w:val="2C2C2E"/>
          <w:sz w:val="17"/>
        </w:rPr>
        <w:t>Lohnsteuer ist Vollzugsmechanismus, keine eigenständige Wirkungsteuer.</w:t>
      </w:r>
    </w:p>
    <w:p>
      <w:pPr>
        <w:pStyle w:val="LegalNote"/>
      </w:pPr>
      <w:r>
        <w:rPr>
          <w:rFonts w:ascii="Noto Sans" w:hAnsi="Noto Sans"/>
          <w:b/>
          <w:color w:val="C85A3C"/>
          <w:sz w:val="16"/>
        </w:rPr>
        <w:t xml:space="preserve">RECHTS- UND UMSETZUNGSNOTIZ </w:t>
      </w:r>
      <w:r>
        <w:rPr>
          <w:rFonts w:ascii="Noto Sans" w:hAnsi="Noto Sans"/>
          <w:color w:val="2C2C2E"/>
          <w:sz w:val="17"/>
        </w:rPr>
        <w:t>Datenschutz und Arbeitgeberbürokratie sprechen für einfache Tatbestände.</w:t>
      </w:r>
    </w:p>
    <w:p>
      <w:pPr>
        <w:pStyle w:val="Heading2"/>
        <w:keepNext/>
      </w:pPr>
      <w:r>
        <w:t>§ 80 Kapitalertragsteuer und Abgeltungsteuer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Kapitalertragsteuer und Abgeltungsteuer bleiben Erhebungs- beziehungsweise Tarifregeln für Kapitalerträge. Wirkungsfolgen knüpfen, soweit vorgesehen, an das Finanzinstrument, die Mittelverwendung oder den zugrunde liegenden Vermögenswert an - nicht an die Persönlichkeit des Anlegers.</w:t>
      </w:r>
    </w:p>
    <w:p>
      <w:pPr>
        <w:pStyle w:val="LawText"/>
        <w:ind w:left="113" w:hanging="113"/>
      </w:pPr>
      <w:r>
        <w:rPr>
          <w:rFonts w:ascii="Noto Sans" w:hAnsi="Noto Sans"/>
          <w:b/>
          <w:color w:val="0B1020"/>
          <w:sz w:val="18"/>
        </w:rPr>
        <w:t xml:space="preserve">(2) </w:t>
      </w:r>
      <w:r>
        <w:rPr>
          <w:rFonts w:ascii="Noto Sans" w:hAnsi="Noto Sans"/>
          <w:color w:val="2C2C2E"/>
          <w:sz w:val="18"/>
        </w:rPr>
        <w:t>Wirkungsentlastungen setzen nachgewiesene positive Netto-Wirkung und Schutzgrenzen voraus; Greenwashing-Titel allein genügen nicht.</w:t>
      </w:r>
    </w:p>
    <w:p>
      <w:pPr>
        <w:pStyle w:val="LawText"/>
        <w:ind w:left="113" w:hanging="113"/>
      </w:pPr>
      <w:r>
        <w:rPr>
          <w:rFonts w:ascii="Noto Sans" w:hAnsi="Noto Sans"/>
          <w:b/>
          <w:color w:val="0B1020"/>
          <w:sz w:val="18"/>
        </w:rPr>
        <w:t xml:space="preserve">(3) </w:t>
      </w:r>
      <w:r>
        <w:rPr>
          <w:rFonts w:ascii="Noto Sans" w:hAnsi="Noto Sans"/>
          <w:color w:val="2C2C2E"/>
          <w:sz w:val="18"/>
        </w:rPr>
        <w:t>Eine nachteilige Behandlung ausländischer Anlagen allein wegen ihres Sitzes ist unzulässig.</w:t>
      </w:r>
    </w:p>
    <w:p>
      <w:pPr>
        <w:pStyle w:val="Commentary"/>
      </w:pPr>
      <w:r>
        <w:rPr>
          <w:rFonts w:ascii="Noto Sans" w:hAnsi="Noto Sans"/>
          <w:b/>
          <w:color w:val="2F7D5C"/>
          <w:sz w:val="16"/>
        </w:rPr>
        <w:t xml:space="preserve">KOMMENTAR </w:t>
      </w:r>
      <w:r>
        <w:rPr>
          <w:rFonts w:ascii="Noto Sans" w:hAnsi="Noto Sans"/>
          <w:color w:val="2C2C2E"/>
          <w:sz w:val="17"/>
        </w:rPr>
        <w:t>Kapital ist ein Verstärker. Wirkungskapital muss aber am realen Underlying geprüft werden. Ein Fondslabel ersetzt keine Wirkung.</w:t>
      </w:r>
    </w:p>
    <w:p>
      <w:pPr>
        <w:pStyle w:val="Rationale"/>
      </w:pPr>
      <w:r>
        <w:rPr>
          <w:rFonts w:ascii="Noto Sans" w:hAnsi="Noto Sans"/>
          <w:b/>
          <w:color w:val="C89B3C"/>
          <w:sz w:val="16"/>
        </w:rPr>
        <w:t xml:space="preserve">BEGRÜNDUNG </w:t>
      </w:r>
      <w:r>
        <w:rPr>
          <w:rFonts w:ascii="Noto Sans" w:hAnsi="Noto Sans"/>
          <w:color w:val="2C2C2E"/>
          <w:sz w:val="17"/>
        </w:rPr>
        <w:t>Die Steuerlogik soll Kapitalallokation und reale Wirkung verbinden, ohne Kapitalverkehr willkürlich zu beschränken.</w:t>
      </w:r>
    </w:p>
    <w:p>
      <w:pPr>
        <w:pStyle w:val="LegalNote"/>
      </w:pPr>
      <w:r>
        <w:rPr>
          <w:rFonts w:ascii="Noto Sans" w:hAnsi="Noto Sans"/>
          <w:b/>
          <w:color w:val="C85A3C"/>
          <w:sz w:val="16"/>
        </w:rPr>
        <w:t xml:space="preserve">RECHTS- UND UMSETZUNGSNOTIZ </w:t>
      </w:r>
      <w:r>
        <w:rPr>
          <w:rFonts w:ascii="Noto Sans" w:hAnsi="Noto Sans"/>
          <w:color w:val="2C2C2E"/>
          <w:sz w:val="17"/>
        </w:rPr>
        <w:t>EU-Kapitalverkehrsfreiheit und Beihilferecht sind zu beachten.</w:t>
      </w:r>
    </w:p>
    <w:p>
      <w:pPr>
        <w:pStyle w:val="Heading2"/>
        <w:keepNext/>
      </w:pPr>
      <w:r>
        <w:t>§ 81 Mindeststeuer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globale Mindeststeuer und vergleichbare Mindestbesteuerungsregeln dienen der Sicherung einer Mindestbelastung und der Bekämpfung von Gewinnverlagerung.</w:t>
      </w:r>
    </w:p>
    <w:p>
      <w:pPr>
        <w:pStyle w:val="LawText"/>
        <w:ind w:left="113" w:hanging="113"/>
      </w:pPr>
      <w:r>
        <w:rPr>
          <w:rFonts w:ascii="Noto Sans" w:hAnsi="Noto Sans"/>
          <w:b/>
          <w:color w:val="0B1020"/>
          <w:sz w:val="18"/>
        </w:rPr>
        <w:t xml:space="preserve">(2) </w:t>
      </w:r>
      <w:r>
        <w:rPr>
          <w:rFonts w:ascii="Noto Sans" w:hAnsi="Noto Sans"/>
          <w:color w:val="2C2C2E"/>
          <w:sz w:val="18"/>
        </w:rPr>
        <w:t>Wirkungsbezogene Entlastungen dürfen die gesetzlich oder international vorgesehene Mindestbesteuerung nicht unterlaufen.</w:t>
      </w:r>
    </w:p>
    <w:p>
      <w:pPr>
        <w:pStyle w:val="Commentary"/>
      </w:pPr>
      <w:r>
        <w:rPr>
          <w:rFonts w:ascii="Noto Sans" w:hAnsi="Noto Sans"/>
          <w:b/>
          <w:color w:val="2F7D5C"/>
          <w:sz w:val="16"/>
        </w:rPr>
        <w:t xml:space="preserve">KOMMENTAR </w:t>
      </w:r>
      <w:r>
        <w:rPr>
          <w:rFonts w:ascii="Noto Sans" w:hAnsi="Noto Sans"/>
          <w:color w:val="2C2C2E"/>
          <w:sz w:val="17"/>
        </w:rPr>
        <w:t>Steuerintegrität ist selbst eine Systemvoraussetzung. Ein positiver Wirkungsnachweis darf nicht zur neuen Erosionsroute werden.</w:t>
      </w:r>
    </w:p>
    <w:p>
      <w:pPr>
        <w:pStyle w:val="Rationale"/>
      </w:pPr>
      <w:r>
        <w:rPr>
          <w:rFonts w:ascii="Noto Sans" w:hAnsi="Noto Sans"/>
          <w:b/>
          <w:color w:val="C89B3C"/>
          <w:sz w:val="16"/>
        </w:rPr>
        <w:t xml:space="preserve">BEGRÜNDUNG </w:t>
      </w:r>
      <w:r>
        <w:rPr>
          <w:rFonts w:ascii="Noto Sans" w:hAnsi="Noto Sans"/>
          <w:color w:val="2C2C2E"/>
          <w:sz w:val="17"/>
        </w:rPr>
        <w:t>Die Mindeststeuer ist primär fiskalische Integritätsarchitektur, nicht ein geeignetes Scoring-Modul.</w:t>
      </w:r>
    </w:p>
    <w:p>
      <w:pPr>
        <w:pStyle w:val="LegalNote"/>
      </w:pPr>
      <w:r>
        <w:rPr>
          <w:rFonts w:ascii="Noto Sans" w:hAnsi="Noto Sans"/>
          <w:b/>
          <w:color w:val="C85A3C"/>
          <w:sz w:val="16"/>
        </w:rPr>
        <w:t xml:space="preserve">RECHTS- UND UMSETZUNGSNOTIZ </w:t>
      </w:r>
      <w:r>
        <w:rPr>
          <w:rFonts w:ascii="Noto Sans" w:hAnsi="Noto Sans"/>
          <w:color w:val="2C2C2E"/>
          <w:sz w:val="17"/>
        </w:rPr>
        <w:t>Internationale Verpflichtungen haben Vorrang vor nationalen Wirkungsrabatten.</w:t>
      </w:r>
    </w:p>
    <w:p>
      <w:pPr>
        <w:pStyle w:val="Heading2"/>
        <w:keepNext/>
      </w:pPr>
      <w:r>
        <w:t>§ 82 Erbschaft- und Schenkungsteuer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Bei Erbschaften und Schenkungen kann Wirkung ergänzend berücksichtigt werden, soweit übertragene Unternehmen, Vermögensmassen oder gebundene Vermögenszwecke langfristig nachweisbare Wirkung oder Risiken tragen.</w:t>
      </w:r>
    </w:p>
    <w:p>
      <w:pPr>
        <w:pStyle w:val="LawText"/>
        <w:ind w:left="113" w:hanging="113"/>
      </w:pPr>
      <w:r>
        <w:rPr>
          <w:rFonts w:ascii="Noto Sans" w:hAnsi="Noto Sans"/>
          <w:b/>
          <w:color w:val="0B1020"/>
          <w:sz w:val="18"/>
        </w:rPr>
        <w:t xml:space="preserve">(2) </w:t>
      </w:r>
      <w:r>
        <w:rPr>
          <w:rFonts w:ascii="Noto Sans" w:hAnsi="Noto Sans"/>
          <w:color w:val="2C2C2E"/>
          <w:sz w:val="18"/>
        </w:rPr>
        <w:t>Die persönliche Nähe zum Erblasser oder Erwerber wird nicht wirkungsökonomisch bewertet.</w:t>
      </w:r>
    </w:p>
    <w:p>
      <w:pPr>
        <w:pStyle w:val="LawText"/>
        <w:ind w:left="113" w:hanging="113"/>
      </w:pPr>
      <w:r>
        <w:rPr>
          <w:rFonts w:ascii="Noto Sans" w:hAnsi="Noto Sans"/>
          <w:b/>
          <w:color w:val="0B1020"/>
          <w:sz w:val="18"/>
        </w:rPr>
        <w:t xml:space="preserve">(3) </w:t>
      </w:r>
      <w:r>
        <w:rPr>
          <w:rFonts w:ascii="Noto Sans" w:hAnsi="Noto Sans"/>
          <w:color w:val="2C2C2E"/>
          <w:sz w:val="18"/>
        </w:rPr>
        <w:t>Begünstigungen für Unternehmensfortführung können an überprüfbare Beschäftigungs-, Transformations- und Wirkungsbedingungen geknüpft werden, ohne unverhältnismäßig in Eigentum und Erbrecht einzugreifen.</w:t>
      </w:r>
    </w:p>
    <w:p>
      <w:pPr>
        <w:pStyle w:val="Commentary"/>
      </w:pPr>
      <w:r>
        <w:rPr>
          <w:rFonts w:ascii="Noto Sans" w:hAnsi="Noto Sans"/>
          <w:b/>
          <w:color w:val="2F7D5C"/>
          <w:sz w:val="16"/>
        </w:rPr>
        <w:t xml:space="preserve">KOMMENTAR </w:t>
      </w:r>
      <w:r>
        <w:rPr>
          <w:rFonts w:ascii="Noto Sans" w:hAnsi="Noto Sans"/>
          <w:color w:val="2C2C2E"/>
          <w:sz w:val="17"/>
        </w:rPr>
        <w:t>Erbschaftsteuer berührt Vermögenskonzentration, Unternehmensfortführung und Generationenwechsel. Wirkung kann die Verwendung und Bindung des Vermögens betreffen, nicht den moralischen Wert des Erben.</w:t>
      </w:r>
    </w:p>
    <w:p>
      <w:pPr>
        <w:pStyle w:val="Rationale"/>
      </w:pPr>
      <w:r>
        <w:rPr>
          <w:rFonts w:ascii="Noto Sans" w:hAnsi="Noto Sans"/>
          <w:b/>
          <w:color w:val="C89B3C"/>
          <w:sz w:val="16"/>
        </w:rPr>
        <w:t xml:space="preserve">BEGRÜNDUNG </w:t>
      </w:r>
      <w:r>
        <w:rPr>
          <w:rFonts w:ascii="Noto Sans" w:hAnsi="Noto Sans"/>
          <w:color w:val="2C2C2E"/>
          <w:sz w:val="17"/>
        </w:rPr>
        <w:t>Kapital erhält Richtung durch Bedingungen, nicht durch Gesinnung.</w:t>
      </w:r>
    </w:p>
    <w:p>
      <w:pPr>
        <w:pStyle w:val="LegalNote"/>
      </w:pPr>
      <w:r>
        <w:rPr>
          <w:rFonts w:ascii="Noto Sans" w:hAnsi="Noto Sans"/>
          <w:b/>
          <w:color w:val="C85A3C"/>
          <w:sz w:val="16"/>
        </w:rPr>
        <w:t xml:space="preserve">RECHTS- UND UMSETZUNGSNOTIZ </w:t>
      </w:r>
      <w:r>
        <w:rPr>
          <w:rFonts w:ascii="Noto Sans" w:hAnsi="Noto Sans"/>
          <w:color w:val="2C2C2E"/>
          <w:sz w:val="17"/>
        </w:rPr>
        <w:t>Art. 14 GG schützt Eigentum und Erbrecht und erlaubt zugleich Sozialbindung. [E4]</w:t>
      </w:r>
    </w:p>
    <w:p>
      <w:pPr>
        <w:pStyle w:val="Heading2"/>
        <w:keepNext/>
      </w:pPr>
      <w:r>
        <w:t>§ 83 Vermögensteuer - Zukunftsmodul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Dieses Gesetz führt keine Vermögensteuer ein.</w:t>
      </w:r>
    </w:p>
    <w:p>
      <w:pPr>
        <w:pStyle w:val="LawText"/>
        <w:ind w:left="113" w:hanging="113"/>
      </w:pPr>
      <w:r>
        <w:rPr>
          <w:rFonts w:ascii="Noto Sans" w:hAnsi="Noto Sans"/>
          <w:b/>
          <w:color w:val="0B1020"/>
          <w:sz w:val="18"/>
        </w:rPr>
        <w:t xml:space="preserve">(2) </w:t>
      </w:r>
      <w:r>
        <w:rPr>
          <w:rFonts w:ascii="Noto Sans" w:hAnsi="Noto Sans"/>
          <w:color w:val="2C2C2E"/>
          <w:sz w:val="18"/>
        </w:rPr>
        <w:t>Falls der Gesetzgeber eine Vermögensteuer künftig wieder erhebt, kann ein Wirkungsmodul die Art, Bindung, Liquidität und nachgewiesene Wirkung von Vermögen berücksichtigen, soweit dies verfassungsrechtlich gleichheitsgerecht ausgestaltet werden kann.</w:t>
      </w:r>
    </w:p>
    <w:p>
      <w:pPr>
        <w:pStyle w:val="LawText"/>
        <w:ind w:left="113" w:hanging="113"/>
      </w:pPr>
      <w:r>
        <w:rPr>
          <w:rFonts w:ascii="Noto Sans" w:hAnsi="Noto Sans"/>
          <w:b/>
          <w:color w:val="0B1020"/>
          <w:sz w:val="18"/>
        </w:rPr>
        <w:t xml:space="preserve">(3) </w:t>
      </w:r>
      <w:r>
        <w:rPr>
          <w:rFonts w:ascii="Noto Sans" w:hAnsi="Noto Sans"/>
          <w:color w:val="2C2C2E"/>
          <w:sz w:val="18"/>
        </w:rPr>
        <w:t>Nicht liquide betriebliche oder infrastrukturelle Vermögenswerte sind gesondert auf Tragfähigkeit und Investitionswirkung zu prüfen.</w:t>
      </w:r>
    </w:p>
    <w:p>
      <w:pPr>
        <w:pStyle w:val="Commentary"/>
      </w:pPr>
      <w:r>
        <w:rPr>
          <w:rFonts w:ascii="Noto Sans" w:hAnsi="Noto Sans"/>
          <w:b/>
          <w:color w:val="2F7D5C"/>
          <w:sz w:val="16"/>
        </w:rPr>
        <w:t xml:space="preserve">KOMMENTAR </w:t>
      </w:r>
      <w:r>
        <w:rPr>
          <w:rFonts w:ascii="Noto Sans" w:hAnsi="Noto Sans"/>
          <w:color w:val="2C2C2E"/>
          <w:sz w:val="17"/>
        </w:rPr>
        <w:t>Die Vermögensteuer wird in Deutschland derzeit nicht erhoben. Deshalb gehört sie in den Ausblick, nicht als heimlich vorausgesetzte laufende Steuer in das WStG.</w:t>
      </w:r>
    </w:p>
    <w:p>
      <w:pPr>
        <w:pStyle w:val="Rationale"/>
      </w:pPr>
      <w:r>
        <w:rPr>
          <w:rFonts w:ascii="Noto Sans" w:hAnsi="Noto Sans"/>
          <w:b/>
          <w:color w:val="C89B3C"/>
          <w:sz w:val="16"/>
        </w:rPr>
        <w:t xml:space="preserve">BEGRÜNDUNG </w:t>
      </w:r>
      <w:r>
        <w:rPr>
          <w:rFonts w:ascii="Noto Sans" w:hAnsi="Noto Sans"/>
          <w:color w:val="2C2C2E"/>
          <w:sz w:val="17"/>
        </w:rPr>
        <w:t>Die WÖk trennt geltendes Steuerinventar und Zukunftsarchitektur.</w:t>
      </w:r>
    </w:p>
    <w:p>
      <w:pPr>
        <w:pStyle w:val="LegalNote"/>
      </w:pPr>
      <w:r>
        <w:rPr>
          <w:rFonts w:ascii="Noto Sans" w:hAnsi="Noto Sans"/>
          <w:b/>
          <w:color w:val="C85A3C"/>
          <w:sz w:val="16"/>
        </w:rPr>
        <w:t xml:space="preserve">RECHTS- UND UMSETZUNGSNOTIZ </w:t>
      </w:r>
      <w:r>
        <w:rPr>
          <w:rFonts w:ascii="Noto Sans" w:hAnsi="Noto Sans"/>
          <w:color w:val="2C2C2E"/>
          <w:sz w:val="17"/>
        </w:rPr>
        <w:t>Seit 1. Januar 1997 wird die Vermögensteuer nicht erhoben; eine Wiedererhebung bedürfte politischer und verfassungsrechtlicher Entscheidung. [E20]</w:t>
      </w:r>
    </w:p>
    <w:p>
      <w:pPr>
        <w:pStyle w:val="Heading2"/>
        <w:keepNext/>
      </w:pPr>
      <w:r>
        <w:t>§ 84 Grundsteuer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Grundsteuer kann wirkungsbezogene Elemente für Flächennutzung, Versiegelung, Leerstand oder klimaresiliente beziehungsweise gemeinwohlrelevante Nutzung nur berücksichtigen, wenn die jeweiligen Gesetzgeber hierfür klare, massentaugliche Tatbestände schaffen.</w:t>
      </w:r>
    </w:p>
    <w:p>
      <w:pPr>
        <w:pStyle w:val="LawText"/>
        <w:ind w:left="113" w:hanging="113"/>
      </w:pPr>
      <w:r>
        <w:rPr>
          <w:rFonts w:ascii="Noto Sans" w:hAnsi="Noto Sans"/>
          <w:b/>
          <w:color w:val="0B1020"/>
          <w:sz w:val="18"/>
        </w:rPr>
        <w:t xml:space="preserve">(2) </w:t>
      </w:r>
      <w:r>
        <w:rPr>
          <w:rFonts w:ascii="Noto Sans" w:hAnsi="Noto Sans"/>
          <w:color w:val="2C2C2E"/>
          <w:sz w:val="18"/>
        </w:rPr>
        <w:t>Eine zusätzliche individuelle Gebäudewirkungsprüfung ist zu vermeiden, wenn sie außer Verhältnis zum Steueraufkommen steht.</w:t>
      </w:r>
    </w:p>
    <w:p>
      <w:pPr>
        <w:pStyle w:val="Commentary"/>
      </w:pPr>
      <w:r>
        <w:rPr>
          <w:rFonts w:ascii="Noto Sans" w:hAnsi="Noto Sans"/>
          <w:b/>
          <w:color w:val="2F7D5C"/>
          <w:sz w:val="16"/>
        </w:rPr>
        <w:t xml:space="preserve">KOMMENTAR </w:t>
      </w:r>
      <w:r>
        <w:rPr>
          <w:rFonts w:ascii="Noto Sans" w:hAnsi="Noto Sans"/>
          <w:color w:val="2C2C2E"/>
          <w:sz w:val="17"/>
        </w:rPr>
        <w:t>Grundsteuer ist Massenverfahren. WÖk-Logik muss hier besonders einfach und objektbezogen sein.</w:t>
      </w:r>
    </w:p>
    <w:p>
      <w:pPr>
        <w:pStyle w:val="Rationale"/>
      </w:pPr>
      <w:r>
        <w:rPr>
          <w:rFonts w:ascii="Noto Sans" w:hAnsi="Noto Sans"/>
          <w:b/>
          <w:color w:val="C89B3C"/>
          <w:sz w:val="16"/>
        </w:rPr>
        <w:t xml:space="preserve">BEGRÜNDUNG </w:t>
      </w:r>
      <w:r>
        <w:rPr>
          <w:rFonts w:ascii="Noto Sans" w:hAnsi="Noto Sans"/>
          <w:color w:val="2C2C2E"/>
          <w:sz w:val="17"/>
        </w:rPr>
        <w:t>Boden und Fläche sind zentrale Wirkungsräume, aber Massentauglichkeit ist Teil der Wirkung der Steuer selbst.</w:t>
      </w:r>
    </w:p>
    <w:p>
      <w:pPr>
        <w:pStyle w:val="LegalNote"/>
      </w:pPr>
      <w:r>
        <w:rPr>
          <w:rFonts w:ascii="Noto Sans" w:hAnsi="Noto Sans"/>
          <w:b/>
          <w:color w:val="C85A3C"/>
          <w:sz w:val="16"/>
        </w:rPr>
        <w:t xml:space="preserve">RECHTS- UND UMSETZUNGSNOTIZ </w:t>
      </w:r>
      <w:r>
        <w:rPr>
          <w:rFonts w:ascii="Noto Sans" w:hAnsi="Noto Sans"/>
          <w:color w:val="2C2C2E"/>
          <w:sz w:val="17"/>
        </w:rPr>
        <w:t>Länderkompetenzen und Bewertungsmodelle unterscheiden sich; eine einheitliche WÖk-Regel ist nicht automatisch möglich.</w:t>
      </w:r>
    </w:p>
    <w:p>
      <w:pPr>
        <w:pStyle w:val="Heading2"/>
        <w:keepNext/>
      </w:pPr>
      <w:r>
        <w:t>§ 85 Grunderwerbsteuer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Bei der Grunderwerbsteuer können Erwerbsvorgänge mit nachgewiesener gemeinwohl- oder transformationsbezogener Bindung gezielt entlastet werden, wenn die Regel typisierbar, missbrauchsfest und unionsrechtlich zulässig ist.</w:t>
      </w:r>
    </w:p>
    <w:p>
      <w:pPr>
        <w:pStyle w:val="LawText"/>
        <w:ind w:left="113" w:hanging="113"/>
      </w:pPr>
      <w:r>
        <w:rPr>
          <w:rFonts w:ascii="Noto Sans" w:hAnsi="Noto Sans"/>
          <w:b/>
          <w:color w:val="0B1020"/>
          <w:sz w:val="18"/>
        </w:rPr>
        <w:t xml:space="preserve">(2) </w:t>
      </w:r>
      <w:r>
        <w:rPr>
          <w:rFonts w:ascii="Noto Sans" w:hAnsi="Noto Sans"/>
          <w:color w:val="2C2C2E"/>
          <w:sz w:val="18"/>
        </w:rPr>
        <w:t>Spekulative Kurzfristrotation oder schädliche Bodenverwertung kann im Rahmen der verfassungsrechtlichen Kompetenz gesondert geprüft werden.</w:t>
      </w:r>
    </w:p>
    <w:p>
      <w:pPr>
        <w:pStyle w:val="Commentary"/>
      </w:pPr>
      <w:r>
        <w:rPr>
          <w:rFonts w:ascii="Noto Sans" w:hAnsi="Noto Sans"/>
          <w:b/>
          <w:color w:val="2F7D5C"/>
          <w:sz w:val="16"/>
        </w:rPr>
        <w:t xml:space="preserve">KOMMENTAR </w:t>
      </w:r>
      <w:r>
        <w:rPr>
          <w:rFonts w:ascii="Noto Sans" w:hAnsi="Noto Sans"/>
          <w:color w:val="2C2C2E"/>
          <w:sz w:val="17"/>
        </w:rPr>
        <w:t>Wohnraum und Boden haben starke soziale und ökologische Wirkungen. Die Grunderwerbsteuer kann Transaktionen steuern, darf aber Eigentumserwerb nicht pauschal erschweren.</w:t>
      </w:r>
    </w:p>
    <w:p>
      <w:pPr>
        <w:pStyle w:val="Rationale"/>
      </w:pPr>
      <w:r>
        <w:rPr>
          <w:rFonts w:ascii="Noto Sans" w:hAnsi="Noto Sans"/>
          <w:b/>
          <w:color w:val="C89B3C"/>
          <w:sz w:val="16"/>
        </w:rPr>
        <w:t xml:space="preserve">BEGRÜNDUNG </w:t>
      </w:r>
      <w:r>
        <w:rPr>
          <w:rFonts w:ascii="Noto Sans" w:hAnsi="Noto Sans"/>
          <w:color w:val="2C2C2E"/>
          <w:sz w:val="17"/>
        </w:rPr>
        <w:t>Wirkung muss zwischen Erstzugang, Sanierung, Bestandshandel und Bodenspekulation unterscheiden.</w:t>
      </w:r>
    </w:p>
    <w:p>
      <w:pPr>
        <w:pStyle w:val="LegalNote"/>
      </w:pPr>
      <w:r>
        <w:rPr>
          <w:rFonts w:ascii="Noto Sans" w:hAnsi="Noto Sans"/>
          <w:b/>
          <w:color w:val="C85A3C"/>
          <w:sz w:val="16"/>
        </w:rPr>
        <w:t xml:space="preserve">RECHTS- UND UMSETZUNGSNOTIZ </w:t>
      </w:r>
      <w:r>
        <w:rPr>
          <w:rFonts w:ascii="Noto Sans" w:hAnsi="Noto Sans"/>
          <w:color w:val="2C2C2E"/>
          <w:sz w:val="17"/>
        </w:rPr>
        <w:t>Länderfinanzen und Art. 14 GG sind zentral.</w:t>
      </w:r>
    </w:p>
    <w:p>
      <w:pPr>
        <w:pStyle w:val="Heading2"/>
        <w:keepNext/>
      </w:pPr>
      <w:r>
        <w:t>§ 86 Versicherungsteuer und Feuerschutzsteuer</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Versicherungsteuer kann risikopräventive und resilienzfördernde Versicherungsprodukte in begrenzten, sachlich begründeten Fällen anders behandeln, wenn Versicherungsaufsicht, Beihilfenrecht und Steuerkohärenz gewahrt bleiben.</w:t>
      </w:r>
    </w:p>
    <w:p>
      <w:pPr>
        <w:pStyle w:val="LawText"/>
        <w:ind w:left="113" w:hanging="113"/>
      </w:pPr>
      <w:r>
        <w:rPr>
          <w:rFonts w:ascii="Noto Sans" w:hAnsi="Noto Sans"/>
          <w:b/>
          <w:color w:val="0B1020"/>
          <w:sz w:val="18"/>
        </w:rPr>
        <w:t xml:space="preserve">(2) </w:t>
      </w:r>
      <w:r>
        <w:rPr>
          <w:rFonts w:ascii="Noto Sans" w:hAnsi="Noto Sans"/>
          <w:color w:val="2C2C2E"/>
          <w:sz w:val="18"/>
        </w:rPr>
        <w:t>Die Feuerschutzsteuer bleibt vorrangig ein spezifisches Finanzierungsinstrument; eine zusätzliche Wirkungskomponente ist nur bei erkennbarem Mehrwert vorzusehen.</w:t>
      </w:r>
    </w:p>
    <w:p>
      <w:pPr>
        <w:pStyle w:val="Commentary"/>
      </w:pPr>
      <w:r>
        <w:rPr>
          <w:rFonts w:ascii="Noto Sans" w:hAnsi="Noto Sans"/>
          <w:b/>
          <w:color w:val="2F7D5C"/>
          <w:sz w:val="16"/>
        </w:rPr>
        <w:t xml:space="preserve">KOMMENTAR </w:t>
      </w:r>
      <w:r>
        <w:rPr>
          <w:rFonts w:ascii="Noto Sans" w:hAnsi="Noto Sans"/>
          <w:color w:val="2C2C2E"/>
          <w:sz w:val="17"/>
        </w:rPr>
        <w:t>Versicherbarkeit ist ein Resilienzindikator. Dennoch sollte nicht jede Versicherung mit einer komplexen Wirkungsbewertung belastet werden.</w:t>
      </w:r>
    </w:p>
    <w:p>
      <w:pPr>
        <w:pStyle w:val="Rationale"/>
      </w:pPr>
      <w:r>
        <w:rPr>
          <w:rFonts w:ascii="Noto Sans" w:hAnsi="Noto Sans"/>
          <w:b/>
          <w:color w:val="C89B3C"/>
          <w:sz w:val="16"/>
        </w:rPr>
        <w:t xml:space="preserve">BEGRÜNDUNG </w:t>
      </w:r>
      <w:r>
        <w:rPr>
          <w:rFonts w:ascii="Noto Sans" w:hAnsi="Noto Sans"/>
          <w:color w:val="2C2C2E"/>
          <w:sz w:val="17"/>
        </w:rPr>
        <w:t>Wirkung liegt häufig eher im Risikomanagement, in Prävention und Produktgestaltung als in der Steuer selbst.</w:t>
      </w:r>
    </w:p>
    <w:p>
      <w:pPr>
        <w:pStyle w:val="LegalNote"/>
      </w:pPr>
      <w:r>
        <w:rPr>
          <w:rFonts w:ascii="Noto Sans" w:hAnsi="Noto Sans"/>
          <w:b/>
          <w:color w:val="C85A3C"/>
          <w:sz w:val="16"/>
        </w:rPr>
        <w:t xml:space="preserve">RECHTS- UND UMSETZUNGSNOTIZ </w:t>
      </w:r>
      <w:r>
        <w:rPr>
          <w:rFonts w:ascii="Noto Sans" w:hAnsi="Noto Sans"/>
          <w:color w:val="2C2C2E"/>
          <w:sz w:val="17"/>
        </w:rPr>
        <w:t>Doppelanreize mit Prämienkalkulation und Regulierung sind zu vermeiden.</w:t>
      </w:r>
    </w:p>
    <w:p>
      <w:pPr>
        <w:pStyle w:val="Heading2"/>
        <w:keepNext/>
      </w:pPr>
      <w:r>
        <w:t>§ 87 Rennwett-, Lotterie-, Spielbank- und Vergnügungssteuern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Glücksspielbezogene Steuern und Abgaben können neben fiskalischen Zwecken Sucht-, Jugend- und Sozialwirkungen berücksichtigen.</w:t>
      </w:r>
    </w:p>
    <w:p>
      <w:pPr>
        <w:pStyle w:val="LawText"/>
        <w:ind w:left="113" w:hanging="113"/>
      </w:pPr>
      <w:r>
        <w:rPr>
          <w:rFonts w:ascii="Noto Sans" w:hAnsi="Noto Sans"/>
          <w:b/>
          <w:color w:val="0B1020"/>
          <w:sz w:val="18"/>
        </w:rPr>
        <w:t xml:space="preserve">(2) </w:t>
      </w:r>
      <w:r>
        <w:rPr>
          <w:rFonts w:ascii="Noto Sans" w:hAnsi="Noto Sans"/>
          <w:color w:val="2C2C2E"/>
          <w:sz w:val="18"/>
        </w:rPr>
        <w:t>Die Belastung soll mit Regulierung, Spielerschutz und Prävention abgestimmt werden.</w:t>
      </w:r>
    </w:p>
    <w:p>
      <w:pPr>
        <w:pStyle w:val="LawText"/>
        <w:ind w:left="113" w:hanging="113"/>
      </w:pPr>
      <w:r>
        <w:rPr>
          <w:rFonts w:ascii="Noto Sans" w:hAnsi="Noto Sans"/>
          <w:b/>
          <w:color w:val="0B1020"/>
          <w:sz w:val="18"/>
        </w:rPr>
        <w:t xml:space="preserve">(3) </w:t>
      </w:r>
      <w:r>
        <w:rPr>
          <w:rFonts w:ascii="Noto Sans" w:hAnsi="Noto Sans"/>
          <w:color w:val="2C2C2E"/>
          <w:sz w:val="18"/>
        </w:rPr>
        <w:t>Eine rein höhere Steuer ohne wirksamen Schutzpfad ist zu evaluieren.</w:t>
      </w:r>
    </w:p>
    <w:p>
      <w:pPr>
        <w:pStyle w:val="Commentary"/>
      </w:pPr>
      <w:r>
        <w:rPr>
          <w:rFonts w:ascii="Noto Sans" w:hAnsi="Noto Sans"/>
          <w:b/>
          <w:color w:val="2F7D5C"/>
          <w:sz w:val="16"/>
        </w:rPr>
        <w:t xml:space="preserve">KOMMENTAR </w:t>
      </w:r>
      <w:r>
        <w:rPr>
          <w:rFonts w:ascii="Noto Sans" w:hAnsi="Noto Sans"/>
          <w:color w:val="2C2C2E"/>
          <w:sz w:val="17"/>
        </w:rPr>
        <w:t>Hier bestehen klare Mensch-Wirkungsrisiken. Die WÖk betrachtet Steuer und Regulierung gemeinsam.</w:t>
      </w:r>
    </w:p>
    <w:p>
      <w:pPr>
        <w:pStyle w:val="Rationale"/>
      </w:pPr>
      <w:r>
        <w:rPr>
          <w:rFonts w:ascii="Noto Sans" w:hAnsi="Noto Sans"/>
          <w:b/>
          <w:color w:val="C89B3C"/>
          <w:sz w:val="16"/>
        </w:rPr>
        <w:t xml:space="preserve">BEGRÜNDUNG </w:t>
      </w:r>
      <w:r>
        <w:rPr>
          <w:rFonts w:ascii="Noto Sans" w:hAnsi="Noto Sans"/>
          <w:color w:val="2C2C2E"/>
          <w:sz w:val="17"/>
        </w:rPr>
        <w:t>Steuerlenkung ersetzt keinen Spielerschutz.</w:t>
      </w:r>
    </w:p>
    <w:p>
      <w:pPr>
        <w:pStyle w:val="LegalNote"/>
      </w:pPr>
      <w:r>
        <w:rPr>
          <w:rFonts w:ascii="Noto Sans" w:hAnsi="Noto Sans"/>
          <w:b/>
          <w:color w:val="C85A3C"/>
          <w:sz w:val="16"/>
        </w:rPr>
        <w:t xml:space="preserve">RECHTS- UND UMSETZUNGSNOTIZ </w:t>
      </w:r>
      <w:r>
        <w:rPr>
          <w:rFonts w:ascii="Noto Sans" w:hAnsi="Noto Sans"/>
          <w:color w:val="2C2C2E"/>
          <w:sz w:val="17"/>
        </w:rPr>
        <w:t>Örtliche Vergnügungssteuern und bundesrechtliche Glücksspielsteuern haben unterschiedliche Kompetenzlagen.</w:t>
      </w:r>
    </w:p>
    <w:p>
      <w:pPr>
        <w:pStyle w:val="Heading2"/>
        <w:keepNext/>
      </w:pPr>
      <w:r>
        <w:t>§ 88 Örtliche Verbrauch- und Aufwandsteuern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Länder und Gemeinden können im Rahmen ihrer verfassungsrechtlichen Kompetenzen örtliche Verbrauch- und Aufwandsteuern mit klaren lokalen Wirkungszielen ausgestalten.</w:t>
      </w:r>
    </w:p>
    <w:p>
      <w:pPr>
        <w:pStyle w:val="LawText"/>
        <w:ind w:left="113" w:hanging="113"/>
      </w:pPr>
      <w:r>
        <w:rPr>
          <w:rFonts w:ascii="Noto Sans" w:hAnsi="Noto Sans"/>
          <w:b/>
          <w:color w:val="0B1020"/>
          <w:sz w:val="18"/>
        </w:rPr>
        <w:t xml:space="preserve">(2) </w:t>
      </w:r>
      <w:r>
        <w:rPr>
          <w:rFonts w:ascii="Noto Sans" w:hAnsi="Noto Sans"/>
          <w:color w:val="2C2C2E"/>
          <w:sz w:val="18"/>
        </w:rPr>
        <w:t>Geeignete Pilotfelder können Einwegverpackungen, Zweitwohnungen, bestimmte Freizeit- oder Ressourcenverbräuche sein, soweit Gleichartigkeit mit Bundessteuern und Verhältnismäßigkeit gewahrt sind.</w:t>
      </w:r>
    </w:p>
    <w:p>
      <w:pPr>
        <w:pStyle w:val="LawText"/>
        <w:ind w:left="113" w:hanging="113"/>
      </w:pPr>
      <w:r>
        <w:rPr>
          <w:rFonts w:ascii="Noto Sans" w:hAnsi="Noto Sans"/>
          <w:b/>
          <w:color w:val="0B1020"/>
          <w:sz w:val="18"/>
        </w:rPr>
        <w:t xml:space="preserve">(3) </w:t>
      </w:r>
      <w:r>
        <w:rPr>
          <w:rFonts w:ascii="Noto Sans" w:hAnsi="Noto Sans"/>
          <w:color w:val="2C2C2E"/>
          <w:sz w:val="18"/>
        </w:rPr>
        <w:t>Hundesteuer, Jagd- und Fischereisteuer, Getränkesteuer, Schankerlaubnissteuer und ähnliche Steuern werden nur dann wirkungsbezogen fortentwickelt, wenn der zusätzliche Wirkungsnutzen den Vollzugsaufwand rechtfertigt.</w:t>
      </w:r>
    </w:p>
    <w:p>
      <w:pPr>
        <w:pStyle w:val="Commentary"/>
      </w:pPr>
      <w:r>
        <w:rPr>
          <w:rFonts w:ascii="Noto Sans" w:hAnsi="Noto Sans"/>
          <w:b/>
          <w:color w:val="2F7D5C"/>
          <w:sz w:val="16"/>
        </w:rPr>
        <w:t xml:space="preserve">KOMMENTAR </w:t>
      </w:r>
      <w:r>
        <w:rPr>
          <w:rFonts w:ascii="Noto Sans" w:hAnsi="Noto Sans"/>
          <w:color w:val="2C2C2E"/>
          <w:sz w:val="17"/>
        </w:rPr>
        <w:t>Kommunale Steuern sind ein wichtiger Experimentierraum, aber kein Selbstzweck. Die Tübinger Verpackungsteuer zeigt, dass lokale Lenkungszwecke rechtlich möglich sein können.</w:t>
      </w:r>
    </w:p>
    <w:p>
      <w:pPr>
        <w:pStyle w:val="Rationale"/>
      </w:pPr>
      <w:r>
        <w:rPr>
          <w:rFonts w:ascii="Noto Sans" w:hAnsi="Noto Sans"/>
          <w:b/>
          <w:color w:val="C89B3C"/>
          <w:sz w:val="16"/>
        </w:rPr>
        <w:t xml:space="preserve">BEGRÜNDUNG </w:t>
      </w:r>
      <w:r>
        <w:rPr>
          <w:rFonts w:ascii="Noto Sans" w:hAnsi="Noto Sans"/>
          <w:color w:val="2C2C2E"/>
          <w:sz w:val="17"/>
        </w:rPr>
        <w:t>Lokale Wirkung ist oft unmittelbarer messbar.</w:t>
      </w:r>
    </w:p>
    <w:p>
      <w:pPr>
        <w:pStyle w:val="LegalNote"/>
      </w:pPr>
      <w:r>
        <w:rPr>
          <w:rFonts w:ascii="Noto Sans" w:hAnsi="Noto Sans"/>
          <w:b/>
          <w:color w:val="C85A3C"/>
          <w:sz w:val="16"/>
        </w:rPr>
        <w:t xml:space="preserve">RECHTS- UND UMSETZUNGSNOTIZ </w:t>
      </w:r>
      <w:r>
        <w:rPr>
          <w:rFonts w:ascii="Noto Sans" w:hAnsi="Noto Sans"/>
          <w:color w:val="2C2C2E"/>
          <w:sz w:val="17"/>
        </w:rPr>
        <w:t>Art. 105 Abs. 2a GG bildet die Kompetenzgrundlage; das BVerfG hat die Tübinger Verpackungsteuer 2025 im Kern bestätigt. [E7][E10]</w:t>
      </w:r>
    </w:p>
    <w:p>
      <w:pPr>
        <w:pStyle w:val="Heading2"/>
        <w:keepNext/>
      </w:pPr>
      <w:r>
        <w:t>§ 89 Zölle, CBAM und grenzbezogene Wirkungsinstrumente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Zölle sind unionsrechtliche Kompetenz. Dieses Gesetz schafft keine nationalen Zölle.</w:t>
      </w:r>
    </w:p>
    <w:p>
      <w:pPr>
        <w:pStyle w:val="LawText"/>
        <w:ind w:left="113" w:hanging="113"/>
      </w:pPr>
      <w:r>
        <w:rPr>
          <w:rFonts w:ascii="Noto Sans" w:hAnsi="Noto Sans"/>
          <w:b/>
          <w:color w:val="0B1020"/>
          <w:sz w:val="18"/>
        </w:rPr>
        <w:t xml:space="preserve">(2) </w:t>
      </w:r>
      <w:r>
        <w:rPr>
          <w:rFonts w:ascii="Noto Sans" w:hAnsi="Noto Sans"/>
          <w:color w:val="2C2C2E"/>
          <w:sz w:val="18"/>
        </w:rPr>
        <w:t>Die Bundesregierung soll auf EU-Ebene dafür eintreten, dass grenzbezogene Instrumente relevante, international vergleichbare Wirkungen diskriminierungsfrei berücksichtigen können.</w:t>
      </w:r>
    </w:p>
    <w:p>
      <w:pPr>
        <w:pStyle w:val="LawText"/>
        <w:ind w:left="113" w:hanging="113"/>
      </w:pPr>
      <w:r>
        <w:rPr>
          <w:rFonts w:ascii="Noto Sans" w:hAnsi="Noto Sans"/>
          <w:b/>
          <w:color w:val="0B1020"/>
          <w:sz w:val="18"/>
        </w:rPr>
        <w:t xml:space="preserve">(3) </w:t>
      </w:r>
      <w:r>
        <w:rPr>
          <w:rFonts w:ascii="Noto Sans" w:hAnsi="Noto Sans"/>
          <w:color w:val="2C2C2E"/>
          <w:sz w:val="18"/>
        </w:rPr>
        <w:t>Der Carbon Border Adjustment Mechanism dient als Referenz für die Verknüpfung von Importdaten, Emissionsintensität und Grenzausgleich, ohne daraus eine automatische Übertragbarkeit auf alle MPD-Wirkungen abzuleiten.</w:t>
      </w:r>
    </w:p>
    <w:p>
      <w:pPr>
        <w:pStyle w:val="Commentary"/>
      </w:pPr>
      <w:r>
        <w:rPr>
          <w:rFonts w:ascii="Noto Sans" w:hAnsi="Noto Sans"/>
          <w:b/>
          <w:color w:val="2F7D5C"/>
          <w:sz w:val="16"/>
        </w:rPr>
        <w:t xml:space="preserve">KOMMENTAR </w:t>
      </w:r>
      <w:r>
        <w:rPr>
          <w:rFonts w:ascii="Noto Sans" w:hAnsi="Noto Sans"/>
          <w:color w:val="2C2C2E"/>
          <w:sz w:val="17"/>
        </w:rPr>
        <w:t>Grenzausgleich ist technisch und politisch wichtig, aber national nur begrenzt gestaltbar. CBAM ist ein Vorbild für Daten- und Nachweislogik, kein Freibrief für einen universellen Wirkungszoll.</w:t>
      </w:r>
    </w:p>
    <w:p>
      <w:pPr>
        <w:pStyle w:val="Rationale"/>
      </w:pPr>
      <w:r>
        <w:rPr>
          <w:rFonts w:ascii="Noto Sans" w:hAnsi="Noto Sans"/>
          <w:b/>
          <w:color w:val="C89B3C"/>
          <w:sz w:val="16"/>
        </w:rPr>
        <w:t xml:space="preserve">BEGRÜNDUNG </w:t>
      </w:r>
      <w:r>
        <w:rPr>
          <w:rFonts w:ascii="Noto Sans" w:hAnsi="Noto Sans"/>
          <w:color w:val="2C2C2E"/>
          <w:sz w:val="17"/>
        </w:rPr>
        <w:t>Importierte Externalitäten dürfen nicht unsichtbar bleiben; gleiche Regeln für gleichartige Produkte sind nötig.</w:t>
      </w:r>
    </w:p>
    <w:p>
      <w:pPr>
        <w:pStyle w:val="LegalNote"/>
      </w:pPr>
      <w:r>
        <w:rPr>
          <w:rFonts w:ascii="Noto Sans" w:hAnsi="Noto Sans"/>
          <w:b/>
          <w:color w:val="C85A3C"/>
          <w:sz w:val="16"/>
        </w:rPr>
        <w:t xml:space="preserve">RECHTS- UND UMSETZUNGSNOTIZ </w:t>
      </w:r>
      <w:r>
        <w:rPr>
          <w:rFonts w:ascii="Noto Sans" w:hAnsi="Noto Sans"/>
          <w:color w:val="2C2C2E"/>
          <w:sz w:val="17"/>
        </w:rPr>
        <w:t>CBAM befindet sich seit 2026 im definitiven Regime. Handel, WTO-Recht und EU-Kompetenzen bleiben gesondert zu prüfen. [E14][E16]</w:t>
      </w:r>
    </w:p>
    <w:p>
      <w:pPr>
        <w:pStyle w:val="Heading2"/>
        <w:keepNext/>
      </w:pPr>
      <w:r>
        <w:t>§ 90 Solidaritätszuschlag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Der Solidaritätszuschlag erhält keine eigenständige Wirkungsbewertung.</w:t>
      </w:r>
    </w:p>
    <w:p>
      <w:pPr>
        <w:pStyle w:val="LawText"/>
        <w:ind w:left="113" w:hanging="113"/>
      </w:pPr>
      <w:r>
        <w:rPr>
          <w:rFonts w:ascii="Noto Sans" w:hAnsi="Noto Sans"/>
          <w:b/>
          <w:color w:val="0B1020"/>
          <w:sz w:val="18"/>
        </w:rPr>
        <w:t xml:space="preserve">(2) </w:t>
      </w:r>
      <w:r>
        <w:rPr>
          <w:rFonts w:ascii="Noto Sans" w:hAnsi="Noto Sans"/>
          <w:color w:val="2C2C2E"/>
          <w:sz w:val="18"/>
        </w:rPr>
        <w:t>Seine Fortentwicklung oder Abschaffung bleibt eine fiskal- und verfassungsrechtliche Frage. Wirkungsziele können nur im Rahmen einer ausdrücklichen gesetzlichen Neuordnung berücksichtigt werden.</w:t>
      </w:r>
    </w:p>
    <w:p>
      <w:pPr>
        <w:pStyle w:val="Commentary"/>
      </w:pPr>
      <w:r>
        <w:rPr>
          <w:rFonts w:ascii="Noto Sans" w:hAnsi="Noto Sans"/>
          <w:b/>
          <w:color w:val="2F7D5C"/>
          <w:sz w:val="16"/>
        </w:rPr>
        <w:t xml:space="preserve">KOMMENTAR </w:t>
      </w:r>
      <w:r>
        <w:rPr>
          <w:rFonts w:ascii="Noto Sans" w:hAnsi="Noto Sans"/>
          <w:color w:val="2C2C2E"/>
          <w:sz w:val="17"/>
        </w:rPr>
        <w:t>Nicht jede Steuer braucht einen WÖk-Score. Der Solidaritätszuschlag ist ein gutes Beispiel für Zurückhaltung.</w:t>
      </w:r>
    </w:p>
    <w:p>
      <w:pPr>
        <w:pStyle w:val="Rationale"/>
      </w:pPr>
      <w:r>
        <w:rPr>
          <w:rFonts w:ascii="Noto Sans" w:hAnsi="Noto Sans"/>
          <w:b/>
          <w:color w:val="C89B3C"/>
          <w:sz w:val="16"/>
        </w:rPr>
        <w:t xml:space="preserve">BEGRÜNDUNG </w:t>
      </w:r>
      <w:r>
        <w:rPr>
          <w:rFonts w:ascii="Noto Sans" w:hAnsi="Noto Sans"/>
          <w:color w:val="2C2C2E"/>
          <w:sz w:val="17"/>
        </w:rPr>
        <w:t>WÖk prüft die Wirkung des Steuerinstruments selbst, bevor es zusätzliche Komplexität schafft.</w:t>
      </w:r>
    </w:p>
    <w:p>
      <w:pPr>
        <w:pStyle w:val="LegalNote"/>
      </w:pPr>
      <w:r>
        <w:rPr>
          <w:rFonts w:ascii="Noto Sans" w:hAnsi="Noto Sans"/>
          <w:b/>
          <w:color w:val="C85A3C"/>
          <w:sz w:val="16"/>
        </w:rPr>
        <w:t xml:space="preserve">RECHTS- UND UMSETZUNGSNOTIZ </w:t>
      </w:r>
      <w:r>
        <w:rPr>
          <w:rFonts w:ascii="Noto Sans" w:hAnsi="Noto Sans"/>
          <w:color w:val="2C2C2E"/>
          <w:sz w:val="17"/>
        </w:rPr>
        <w:t>Verfassungs- und haushaltspolitische Fragen sind gesondert zu behandeln.</w:t>
      </w:r>
    </w:p>
    <w:p>
      <w:pPr>
        <w:pStyle w:val="Heading2"/>
        <w:keepNext/>
      </w:pPr>
      <w:r>
        <w:t>§ 91 Kirchensteuer und Religionsautonomie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Kirchensteuer wird durch dieses Gesetz nicht wirkungsbezogen modifiziert.</w:t>
      </w:r>
    </w:p>
    <w:p>
      <w:pPr>
        <w:pStyle w:val="LawText"/>
        <w:ind w:left="113" w:hanging="113"/>
      </w:pPr>
      <w:r>
        <w:rPr>
          <w:rFonts w:ascii="Noto Sans" w:hAnsi="Noto Sans"/>
          <w:b/>
          <w:color w:val="0B1020"/>
          <w:sz w:val="18"/>
        </w:rPr>
        <w:t xml:space="preserve">(2) </w:t>
      </w:r>
      <w:r>
        <w:rPr>
          <w:rFonts w:ascii="Noto Sans" w:hAnsi="Noto Sans"/>
          <w:color w:val="2C2C2E"/>
          <w:sz w:val="18"/>
        </w:rPr>
        <w:t>Religions- und Weltanschauungsgemeinschaften können eigene wirkungsorientierte Transparenzstandards entwickeln, soweit ihre verfassungsrechtliche Autonomie gewahrt bleibt.</w:t>
      </w:r>
    </w:p>
    <w:p>
      <w:pPr>
        <w:pStyle w:val="Commentary"/>
      </w:pPr>
      <w:r>
        <w:rPr>
          <w:rFonts w:ascii="Noto Sans" w:hAnsi="Noto Sans"/>
          <w:b/>
          <w:color w:val="2F7D5C"/>
          <w:sz w:val="16"/>
        </w:rPr>
        <w:t xml:space="preserve">KOMMENTAR </w:t>
      </w:r>
      <w:r>
        <w:rPr>
          <w:rFonts w:ascii="Noto Sans" w:hAnsi="Noto Sans"/>
          <w:color w:val="2C2C2E"/>
          <w:sz w:val="17"/>
        </w:rPr>
        <w:t>Eine staatliche Wirkungsbewertung religiöser Zugehörigkeit wäre mit dem No-Person-Score-Grundsatz unvereinbar.</w:t>
      </w:r>
    </w:p>
    <w:p>
      <w:pPr>
        <w:pStyle w:val="Rationale"/>
      </w:pPr>
      <w:r>
        <w:rPr>
          <w:rFonts w:ascii="Noto Sans" w:hAnsi="Noto Sans"/>
          <w:b/>
          <w:color w:val="C89B3C"/>
          <w:sz w:val="16"/>
        </w:rPr>
        <w:t xml:space="preserve">BEGRÜNDUNG </w:t>
      </w:r>
      <w:r>
        <w:rPr>
          <w:rFonts w:ascii="Noto Sans" w:hAnsi="Noto Sans"/>
          <w:color w:val="2C2C2E"/>
          <w:sz w:val="17"/>
        </w:rPr>
        <w:t>WÖk endet dort, wo ein Wirkungseingriff keinen legitimen steuerlichen Zweck und keine angemessene Kompetenzbasis hat.</w:t>
      </w:r>
    </w:p>
    <w:p>
      <w:pPr>
        <w:pStyle w:val="LegalNote"/>
      </w:pPr>
      <w:r>
        <w:rPr>
          <w:rFonts w:ascii="Noto Sans" w:hAnsi="Noto Sans"/>
          <w:b/>
          <w:color w:val="C85A3C"/>
          <w:sz w:val="16"/>
        </w:rPr>
        <w:t xml:space="preserve">RECHTS- UND UMSETZUNGSNOTIZ </w:t>
      </w:r>
      <w:r>
        <w:rPr>
          <w:rFonts w:ascii="Noto Sans" w:hAnsi="Noto Sans"/>
          <w:color w:val="2C2C2E"/>
          <w:sz w:val="17"/>
        </w:rPr>
        <w:t>Religionsfreiheit und kirchliches Selbstbestimmungsrecht sind zu respektieren.</w:t>
      </w:r>
    </w:p>
    <w:p>
      <w:pPr>
        <w:pStyle w:val="Heading2"/>
        <w:keepNext/>
      </w:pPr>
      <w:r>
        <w:t>§ 92 Abzugsteuern und Steuerabzug bei Bauleistungen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Abzugsteuern bei beschränkt Steuerpflichtigen, Kapitalertragsteuer als Erhebungsform, Lohnsteuer und Steuerabzug bei Bauleistungen erhalten keine eigenständige Wirkungsbewertung, soweit sie nur der Sicherung oder Erhebung einer materiellen Steuer dienen.</w:t>
      </w:r>
    </w:p>
    <w:p>
      <w:pPr>
        <w:pStyle w:val="LawText"/>
        <w:ind w:left="113" w:hanging="113"/>
      </w:pPr>
      <w:r>
        <w:rPr>
          <w:rFonts w:ascii="Noto Sans" w:hAnsi="Noto Sans"/>
          <w:b/>
          <w:color w:val="0B1020"/>
          <w:sz w:val="18"/>
        </w:rPr>
        <w:t xml:space="preserve">(2) </w:t>
      </w:r>
      <w:r>
        <w:rPr>
          <w:rFonts w:ascii="Noto Sans" w:hAnsi="Noto Sans"/>
          <w:color w:val="2C2C2E"/>
          <w:sz w:val="18"/>
        </w:rPr>
        <w:t>Wirkungsbezogene Rechtsfolgen der zugrunde liegenden Steuer werden technisch in das Abzugsverfahren übernommen, wenn dies erforderlich ist.</w:t>
      </w:r>
    </w:p>
    <w:p>
      <w:pPr>
        <w:pStyle w:val="Commentary"/>
      </w:pPr>
      <w:r>
        <w:rPr>
          <w:rFonts w:ascii="Noto Sans" w:hAnsi="Noto Sans"/>
          <w:b/>
          <w:color w:val="2F7D5C"/>
          <w:sz w:val="16"/>
        </w:rPr>
        <w:t xml:space="preserve">KOMMENTAR </w:t>
      </w:r>
      <w:r>
        <w:rPr>
          <w:rFonts w:ascii="Noto Sans" w:hAnsi="Noto Sans"/>
          <w:color w:val="2C2C2E"/>
          <w:sz w:val="17"/>
        </w:rPr>
        <w:t>Erhebungsformen sind keine eigenen Wirkungssteuern. Diese Trennung verhindert Doppelregulierung.</w:t>
      </w:r>
    </w:p>
    <w:p>
      <w:pPr>
        <w:pStyle w:val="Rationale"/>
      </w:pPr>
      <w:r>
        <w:rPr>
          <w:rFonts w:ascii="Noto Sans" w:hAnsi="Noto Sans"/>
          <w:b/>
          <w:color w:val="C89B3C"/>
          <w:sz w:val="16"/>
        </w:rPr>
        <w:t xml:space="preserve">BEGRÜNDUNG </w:t>
      </w:r>
      <w:r>
        <w:rPr>
          <w:rFonts w:ascii="Noto Sans" w:hAnsi="Noto Sans"/>
          <w:color w:val="2C2C2E"/>
          <w:sz w:val="17"/>
        </w:rPr>
        <w:t>Steuertechnik und Wirkungslogik werden getrennt, aber interoperabel gestaltet.</w:t>
      </w:r>
    </w:p>
    <w:p>
      <w:pPr>
        <w:pStyle w:val="LegalNote"/>
      </w:pPr>
      <w:r>
        <w:rPr>
          <w:rFonts w:ascii="Noto Sans" w:hAnsi="Noto Sans"/>
          <w:b/>
          <w:color w:val="C85A3C"/>
          <w:sz w:val="16"/>
        </w:rPr>
        <w:t xml:space="preserve">RECHTS- UND UMSETZUNGSNOTIZ </w:t>
      </w:r>
      <w:r>
        <w:rPr>
          <w:rFonts w:ascii="Noto Sans" w:hAnsi="Noto Sans"/>
          <w:color w:val="2C2C2E"/>
          <w:sz w:val="17"/>
        </w:rPr>
        <w:t>Grenzüberschreitende Quellensteuern erfordern zusätzlich Doppelbesteuerungs- und EU-Prüfung.</w:t>
      </w:r>
    </w:p>
    <w:p>
      <w:pPr>
        <w:pStyle w:val="Heading2"/>
      </w:pPr>
      <w:r>
        <w:t>Abschnitt 7 – Steuernahe und nichtsteuerliche Fiskalinstrumente</w:t>
      </w:r>
    </w:p>
    <w:p>
      <w:pPr>
        <w:pStyle w:val="Heading2"/>
        <w:keepNext/>
      </w:pPr>
      <w:r>
        <w:t>§ 93 Sozialversicherungsbeiträge und Wertschöpfungsbasis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Sozialversicherungsbeiträge sind keine Steuern im Sinne dieses Gesetzes. Die Bundesregierung soll jedoch prüfen, wie bei zunehmender Automatisierung die Finanzierungsbasis sozialer Sicherung breiter an Wertschöpfung statt ausschließlich an menschliche Arbeit gekoppelt werden kann.</w:t>
      </w:r>
    </w:p>
    <w:p>
      <w:pPr>
        <w:pStyle w:val="Commentary"/>
      </w:pPr>
      <w:r>
        <w:rPr>
          <w:rFonts w:ascii="Noto Sans" w:hAnsi="Noto Sans"/>
          <w:b/>
          <w:color w:val="2F7D5C"/>
          <w:sz w:val="16"/>
        </w:rPr>
        <w:t xml:space="preserve">KOMMENTAR </w:t>
      </w:r>
      <w:r>
        <w:rPr>
          <w:rFonts w:ascii="Noto Sans" w:hAnsi="Noto Sans"/>
          <w:color w:val="2C2C2E"/>
          <w:sz w:val="17"/>
        </w:rPr>
        <w:t>Dies greift die WÖk-Frage auf, wie Maschinenleistung und KI die Kette Arbeit - Einkommen - Beiträge verändern. Eine Maschinenabgabe wird nicht vorschnell als Steuer definiert.</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Ein separater Sozialfinanzierungsrahmen ist sachgerechter als versteckte Integration ins WStG.</w:t>
      </w:r>
    </w:p>
    <w:p>
      <w:pPr>
        <w:pStyle w:val="Heading2"/>
        <w:keepNext/>
      </w:pPr>
      <w:r>
        <w:t>§ 94 Öffentliche Beschaffung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Bund, Länder und Kommunen sollen Wirkungsdaten in der Beschaffung nutzen, soweit Vergaberecht, Wettbewerb und Verhältnismäßigkeit dies zulassen.</w:t>
      </w:r>
    </w:p>
    <w:p>
      <w:pPr>
        <w:pStyle w:val="Commentary"/>
      </w:pPr>
      <w:r>
        <w:rPr>
          <w:rFonts w:ascii="Noto Sans" w:hAnsi="Noto Sans"/>
          <w:b/>
          <w:color w:val="2F7D5C"/>
          <w:sz w:val="16"/>
        </w:rPr>
        <w:t xml:space="preserve">KOMMENTAR </w:t>
      </w:r>
      <w:r>
        <w:rPr>
          <w:rFonts w:ascii="Noto Sans" w:hAnsi="Noto Sans"/>
          <w:color w:val="2C2C2E"/>
          <w:sz w:val="17"/>
        </w:rPr>
        <w:t>Beschaffung ist oft schneller wirksam als eine Steueränderung und kann Datenmärkte für DPP und Scorecards schaffen.</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Wirkungsanforderungen müssen auftragsbezogen, überprüfbar und diskriminierungsfrei sein.</w:t>
      </w:r>
    </w:p>
    <w:p>
      <w:pPr>
        <w:pStyle w:val="Heading2"/>
        <w:keepNext/>
      </w:pPr>
      <w:r>
        <w:t>§ 95 Subventionen, Förderprogramme und Steuervergünstigungen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Öffentliche Förderungen und steuerliche Begünstigungen sollen einer Wirkungsprüfung unterzogen werden, die Ziele, Wirkpfade, Daten, Nebenwirkungen und Ausstiegskriterien ausweist.</w:t>
      </w:r>
    </w:p>
    <w:p>
      <w:pPr>
        <w:pStyle w:val="Commentary"/>
      </w:pPr>
      <w:r>
        <w:rPr>
          <w:rFonts w:ascii="Noto Sans" w:hAnsi="Noto Sans"/>
          <w:b/>
          <w:color w:val="2F7D5C"/>
          <w:sz w:val="16"/>
        </w:rPr>
        <w:t xml:space="preserve">KOMMENTAR </w:t>
      </w:r>
      <w:r>
        <w:rPr>
          <w:rFonts w:ascii="Noto Sans" w:hAnsi="Noto Sans"/>
          <w:color w:val="2C2C2E"/>
          <w:sz w:val="17"/>
        </w:rPr>
        <w:t>Wenn der Staat negative Wirkungen besteuert, darf er dieselben Pfade nicht gleichzeitig blind subventionieren.</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Bestehende Förderrechte und Beihilfenrecht bleiben maßgeblich.</w:t>
      </w:r>
    </w:p>
    <w:p>
      <w:pPr>
        <w:pStyle w:val="Heading2"/>
        <w:keepNext/>
      </w:pPr>
      <w:r>
        <w:t>§ 96 Wirkungshaushalt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Öffentliche Haushalte sollen Ausgaben, Investitionen und Steuervergünstigungen stärker nach Wirkungspotenzial, realer Wirkung, Risiken und langfristigen Folgekosten ausweisen.</w:t>
      </w:r>
    </w:p>
    <w:p>
      <w:pPr>
        <w:pStyle w:val="Commentary"/>
      </w:pPr>
      <w:r>
        <w:rPr>
          <w:rFonts w:ascii="Noto Sans" w:hAnsi="Noto Sans"/>
          <w:b/>
          <w:color w:val="2F7D5C"/>
          <w:sz w:val="16"/>
        </w:rPr>
        <w:t xml:space="preserve">KOMMENTAR </w:t>
      </w:r>
      <w:r>
        <w:rPr>
          <w:rFonts w:ascii="Noto Sans" w:hAnsi="Noto Sans"/>
          <w:color w:val="2C2C2E"/>
          <w:sz w:val="17"/>
        </w:rPr>
        <w:t>Der Wirkungshaushalt ist die staatliche Spiegelhälfte der Wirkungssteuer: Einnahmen und Ausgaben müssen dieselbe Wirkungslogik sprechen.</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Die Bundeshaushaltsordnung und parlamentarisches Budgetrecht bleiben Grundlage.</w:t>
      </w:r>
    </w:p>
    <w:p>
      <w:pPr>
        <w:pStyle w:val="Heading2"/>
        <w:keepNext/>
      </w:pPr>
      <w:r>
        <w:t>§ 97 Öffentliche Finanzierung, Garantien und Beteiligungen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Kredite, Garantien, Bürgschaften und Beteiligungen öffentlicher Finanzakteure können Wirkungskriterien nutzen, wenn Risiko-, Förder- und Wettbewerbsziele transparent getrennt werden.</w:t>
      </w:r>
    </w:p>
    <w:p>
      <w:pPr>
        <w:pStyle w:val="Commentary"/>
      </w:pPr>
      <w:r>
        <w:rPr>
          <w:rFonts w:ascii="Noto Sans" w:hAnsi="Noto Sans"/>
          <w:b/>
          <w:color w:val="2F7D5C"/>
          <w:sz w:val="16"/>
        </w:rPr>
        <w:t xml:space="preserve">KOMMENTAR </w:t>
      </w:r>
      <w:r>
        <w:rPr>
          <w:rFonts w:ascii="Noto Sans" w:hAnsi="Noto Sans"/>
          <w:color w:val="2C2C2E"/>
          <w:sz w:val="17"/>
        </w:rPr>
        <w:t>Kapitalzugang ist Wirkungslenkung. Der Staat kann über öffentliche Finanzierung schneller Standards setzen.</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Beihilfen- und Haushaltsrecht sind zentral.</w:t>
      </w:r>
    </w:p>
    <w:p>
      <w:pPr>
        <w:pStyle w:val="Heading2"/>
        <w:keepNext/>
      </w:pPr>
      <w:r>
        <w:t>§ 98 Gebühren, Beiträge, Produktverantwortung und Pfandsysteme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Gebühren, Beiträge, erweiterte Herstellerverantwortung, Rücknahmepflichten und Pfandsysteme sind als alternative oder ergänzende Wirkungsinstrumente systematisch zu prüfen.</w:t>
      </w:r>
    </w:p>
    <w:p>
      <w:pPr>
        <w:pStyle w:val="Commentary"/>
      </w:pPr>
      <w:r>
        <w:rPr>
          <w:rFonts w:ascii="Noto Sans" w:hAnsi="Noto Sans"/>
          <w:b/>
          <w:color w:val="2F7D5C"/>
          <w:sz w:val="16"/>
        </w:rPr>
        <w:t xml:space="preserve">KOMMENTAR </w:t>
      </w:r>
      <w:r>
        <w:rPr>
          <w:rFonts w:ascii="Noto Sans" w:hAnsi="Noto Sans"/>
          <w:color w:val="2C2C2E"/>
          <w:sz w:val="17"/>
        </w:rPr>
        <w:t>Nicht jedes Problem braucht eine Steuer. Häufig ist ein Pfand oder eine Rücknahmepflicht zielgenauer.</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Die Instrumentenwahl folgt Ursache, Vollzug und Verhältnismäßigkeit.</w:t>
      </w:r>
    </w:p>
    <w:p>
      <w:pPr>
        <w:pStyle w:val="Heading2"/>
        <w:keepNext/>
      </w:pPr>
      <w:r>
        <w:t>§ 99 Emissionshandel und CO2-Bepreisung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EU-Emissionshandel, ETS2 und nationale Übergangssysteme werden als eigenständige Wirkungsbepreisung in die Gesamtarchitektur einbezogen.</w:t>
      </w:r>
    </w:p>
    <w:p>
      <w:pPr>
        <w:pStyle w:val="Commentary"/>
      </w:pPr>
      <w:r>
        <w:rPr>
          <w:rFonts w:ascii="Noto Sans" w:hAnsi="Noto Sans"/>
          <w:b/>
          <w:color w:val="2F7D5C"/>
          <w:sz w:val="16"/>
        </w:rPr>
        <w:t xml:space="preserve">KOMMENTAR </w:t>
      </w:r>
      <w:r>
        <w:rPr>
          <w:rFonts w:ascii="Noto Sans" w:hAnsi="Noto Sans"/>
          <w:color w:val="2C2C2E"/>
          <w:sz w:val="17"/>
        </w:rPr>
        <w:t>CO2-Preis und Wirkungssteuer dürfen nicht parallel blind dieselbe Wirkung belasten.</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Die konkrete Koordination richtet sich nach EU-Recht und dem jeweiligen Einführungsstand.</w:t>
      </w:r>
    </w:p>
    <w:p>
      <w:pPr>
        <w:pStyle w:val="Heading2"/>
        <w:keepNext/>
      </w:pPr>
      <w:r>
        <w:t>§ 100 Wirkungsdividende und Rückverteilung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Mehreinnahmen aus stark lenkenden Wirkungsmodulen können nach gesetzlicher Entscheidung ganz oder teilweise als pauschale oder zielgerichtete Entlastung zurückverteilt werden.</w:t>
      </w:r>
    </w:p>
    <w:p>
      <w:pPr>
        <w:pStyle w:val="Commentary"/>
      </w:pPr>
      <w:r>
        <w:rPr>
          <w:rFonts w:ascii="Noto Sans" w:hAnsi="Noto Sans"/>
          <w:b/>
          <w:color w:val="2F7D5C"/>
          <w:sz w:val="16"/>
        </w:rPr>
        <w:t xml:space="preserve">KOMMENTAR </w:t>
      </w:r>
      <w:r>
        <w:rPr>
          <w:rFonts w:ascii="Noto Sans" w:hAnsi="Noto Sans"/>
          <w:color w:val="2C2C2E"/>
          <w:sz w:val="17"/>
        </w:rPr>
        <w:t>Rückverteilung kann soziale Akzeptanz erhöhen und die Lenkungswirkung erhalten. Sie ist keine individuelle Belohnung für moralisch gutes Verhalten.</w:t>
      </w:r>
    </w:p>
    <w:p>
      <w:pPr>
        <w:pStyle w:val="Rationale"/>
      </w:pPr>
      <w:r>
        <w:rPr>
          <w:rFonts w:ascii="Noto Sans" w:hAnsi="Noto Sans"/>
          <w:b/>
          <w:color w:val="C89B3C"/>
          <w:sz w:val="16"/>
        </w:rPr>
        <w:t xml:space="preserve">BEGRÜNDUNG </w:t>
      </w:r>
      <w:r>
        <w:rPr>
          <w:rFonts w:ascii="Noto Sans" w:hAnsi="Noto Sans"/>
          <w:color w:val="2C2C2E"/>
          <w:sz w:val="17"/>
        </w:rPr>
        <w:t>Die Wirkungsökonomie ist eine Fiskal- und Rückkopplungsarchitektur. Steuer ist ein wichtiges, aber nicht das einzige Instrument.</w:t>
      </w:r>
    </w:p>
    <w:p>
      <w:pPr>
        <w:pStyle w:val="LegalNote"/>
      </w:pPr>
      <w:r>
        <w:rPr>
          <w:rFonts w:ascii="Noto Sans" w:hAnsi="Noto Sans"/>
          <w:b/>
          <w:color w:val="C85A3C"/>
          <w:sz w:val="16"/>
        </w:rPr>
        <w:t xml:space="preserve">RECHTS- UND UMSETZUNGSNOTIZ </w:t>
      </w:r>
      <w:r>
        <w:rPr>
          <w:rFonts w:ascii="Noto Sans" w:hAnsi="Noto Sans"/>
          <w:color w:val="2C2C2E"/>
          <w:sz w:val="17"/>
        </w:rPr>
        <w:t>Ausgestaltung ist Haushalts- und Sozialpolitik und muss getrennt legitimiert werden.</w:t>
      </w:r>
    </w:p>
    <w:p>
      <w:pPr>
        <w:pStyle w:val="Heading2"/>
      </w:pPr>
      <w:r>
        <w:t>Abschnitt 8 – Verfahren, Kontrolle und Rechtsschutz</w:t>
      </w:r>
    </w:p>
    <w:p>
      <w:pPr>
        <w:pStyle w:val="Heading2"/>
        <w:keepNext/>
      </w:pPr>
      <w:r>
        <w:t>§ 101 Erklärung und Nachweispflichten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Wirkungsbezogene Angaben sind nur in dem Umfang zu erklären, den das aktivierte Modul verlangt. Nachweise sollen möglichst aus bestehenden Datenflüssen übernommen werden.</w:t>
      </w:r>
    </w:p>
    <w:p>
      <w:pPr>
        <w:pStyle w:val="Commentary"/>
      </w:pPr>
      <w:r>
        <w:rPr>
          <w:rFonts w:ascii="Noto Sans" w:hAnsi="Noto Sans"/>
          <w:b/>
          <w:color w:val="2F7D5C"/>
          <w:sz w:val="16"/>
        </w:rPr>
        <w:t xml:space="preserve">KOMMENTAR </w:t>
      </w:r>
      <w:r>
        <w:rPr>
          <w:rFonts w:ascii="Noto Sans" w:hAnsi="Noto Sans"/>
          <w:color w:val="2C2C2E"/>
          <w:sz w:val="17"/>
        </w:rPr>
        <w:t>Keine pauschale neue Berichtspflicht für alle.</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Standardisierung soll Doppelabfragen reduzieren.</w:t>
      </w:r>
    </w:p>
    <w:p>
      <w:pPr>
        <w:pStyle w:val="Heading2"/>
        <w:keepNext/>
      </w:pPr>
      <w:r>
        <w:t>§ 102 Beweislast und Standardbehandlung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Wer eine Wirkungsentlastung beansprucht, trägt grundsätzlich die Nachweispflicht für deren Voraussetzungen. Fehlen Daten, bleibt es grundsätzlich bei der normalen Steuerbehandlung.</w:t>
      </w:r>
    </w:p>
    <w:p>
      <w:pPr>
        <w:pStyle w:val="Commentary"/>
      </w:pPr>
      <w:r>
        <w:rPr>
          <w:rFonts w:ascii="Noto Sans" w:hAnsi="Noto Sans"/>
          <w:b/>
          <w:color w:val="2F7D5C"/>
          <w:sz w:val="16"/>
        </w:rPr>
        <w:t xml:space="preserve">KOMMENTAR </w:t>
      </w:r>
      <w:r>
        <w:rPr>
          <w:rFonts w:ascii="Noto Sans" w:hAnsi="Noto Sans"/>
          <w:color w:val="2C2C2E"/>
          <w:sz w:val="17"/>
        </w:rPr>
        <w:t>Das beseitigt die alte Regel „keine Daten = neutraler Wirkungswert“.</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Für Zuschläge aus fehlenden Daten braucht es eine eigene, risikobasierte und widerlegbare gesetzliche Defaultregel.</w:t>
      </w:r>
    </w:p>
    <w:p>
      <w:pPr>
        <w:pStyle w:val="Heading2"/>
        <w:keepNext/>
      </w:pPr>
      <w:r>
        <w:t>§ 103 Festsetzung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Finanzverwaltung setzt die Steuer unter Verwendung der jeweils gültigen gesetzlichen Wirkungsregeln fest.</w:t>
      </w:r>
    </w:p>
    <w:p>
      <w:pPr>
        <w:pStyle w:val="Commentary"/>
      </w:pPr>
      <w:r>
        <w:rPr>
          <w:rFonts w:ascii="Noto Sans" w:hAnsi="Noto Sans"/>
          <w:b/>
          <w:color w:val="2F7D5C"/>
          <w:sz w:val="16"/>
        </w:rPr>
        <w:t xml:space="preserve">KOMMENTAR </w:t>
      </w:r>
      <w:r>
        <w:rPr>
          <w:rFonts w:ascii="Noto Sans" w:hAnsi="Noto Sans"/>
          <w:color w:val="2C2C2E"/>
          <w:sz w:val="17"/>
        </w:rPr>
        <w:t>Methoden liefern Input, die Behörde trifft die hoheitliche Entscheidung.</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Automatisierung bleibt überprüfbar.</w:t>
      </w:r>
    </w:p>
    <w:p>
      <w:pPr>
        <w:pStyle w:val="Heading2"/>
        <w:keepNext/>
      </w:pPr>
      <w:r>
        <w:t>§ 104 Prüfung und Risikomanagement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Prüfungen werden risikoorientiert nach Steuerrelevanz, Datenqualität, Materialität und Missbrauchsrisiko gesteuert.</w:t>
      </w:r>
    </w:p>
    <w:p>
      <w:pPr>
        <w:pStyle w:val="Commentary"/>
      </w:pPr>
      <w:r>
        <w:rPr>
          <w:rFonts w:ascii="Noto Sans" w:hAnsi="Noto Sans"/>
          <w:b/>
          <w:color w:val="2F7D5C"/>
          <w:sz w:val="16"/>
        </w:rPr>
        <w:t xml:space="preserve">KOMMENTAR </w:t>
      </w:r>
      <w:r>
        <w:rPr>
          <w:rFonts w:ascii="Noto Sans" w:hAnsi="Noto Sans"/>
          <w:color w:val="2C2C2E"/>
          <w:sz w:val="17"/>
        </w:rPr>
        <w:t>Nicht jeder Datensatz braucht Vollprüfung.</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Assurance-Stufen können Prüfaufwand effizient verteilen.</w:t>
      </w:r>
    </w:p>
    <w:p>
      <w:pPr>
        <w:pStyle w:val="Heading2"/>
        <w:keepNext/>
      </w:pPr>
      <w:r>
        <w:t>§ 105 Begründungspflicht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Belastende oder begünstigende Wirkungsentscheidungen sind in ihren tragenden Daten, Regeln und Versionen nachvollziehbar zu begründen.</w:t>
      </w:r>
    </w:p>
    <w:p>
      <w:pPr>
        <w:pStyle w:val="Commentary"/>
      </w:pPr>
      <w:r>
        <w:rPr>
          <w:rFonts w:ascii="Noto Sans" w:hAnsi="Noto Sans"/>
          <w:b/>
          <w:color w:val="2F7D5C"/>
          <w:sz w:val="16"/>
        </w:rPr>
        <w:t xml:space="preserve">KOMMENTAR </w:t>
      </w:r>
      <w:r>
        <w:rPr>
          <w:rFonts w:ascii="Noto Sans" w:hAnsi="Noto Sans"/>
          <w:color w:val="2C2C2E"/>
          <w:sz w:val="17"/>
        </w:rPr>
        <w:t>Wer Wirkung besteuert, muss erklären können, warum.</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Die Begründung ist Grundlage effektiven Rechtsschutzes.</w:t>
      </w:r>
    </w:p>
    <w:p>
      <w:pPr>
        <w:pStyle w:val="Heading2"/>
        <w:keepNext/>
      </w:pPr>
      <w:r>
        <w:t>§ 106 Einspruch und Rechtsbehelf</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Gegen wirkungsbezogene Steuerfestsetzungen stehen die allgemeinen steuerlichen Rechtsbehelfe offen.</w:t>
      </w:r>
    </w:p>
    <w:p>
      <w:pPr>
        <w:pStyle w:val="Commentary"/>
      </w:pPr>
      <w:r>
        <w:rPr>
          <w:rFonts w:ascii="Noto Sans" w:hAnsi="Noto Sans"/>
          <w:b/>
          <w:color w:val="2F7D5C"/>
          <w:sz w:val="16"/>
        </w:rPr>
        <w:t xml:space="preserve">KOMMENTAR </w:t>
      </w:r>
      <w:r>
        <w:rPr>
          <w:rFonts w:ascii="Noto Sans" w:hAnsi="Noto Sans"/>
          <w:color w:val="2C2C2E"/>
          <w:sz w:val="17"/>
        </w:rPr>
        <w:t>Wirkung darf kein rechtsfreier Technikraum sein.</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Art. 19 Abs. 4 GG und Finanzgerichtsrecht bleiben maßgeblich. [E5]</w:t>
      </w:r>
    </w:p>
    <w:p>
      <w:pPr>
        <w:pStyle w:val="Heading2"/>
        <w:keepNext/>
      </w:pPr>
      <w:r>
        <w:t>§ 107 Korrektur und Rückabwicklung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Erweisen sich Wirkungsdaten oder Bewertungsgrundlagen als falsch, gelten die gesetzlichen Berichtigungs-, Änderungs-, Nachzahlungs- und Erstattungsregeln.</w:t>
      </w:r>
    </w:p>
    <w:p>
      <w:pPr>
        <w:pStyle w:val="Commentary"/>
      </w:pPr>
      <w:r>
        <w:rPr>
          <w:rFonts w:ascii="Noto Sans" w:hAnsi="Noto Sans"/>
          <w:b/>
          <w:color w:val="2F7D5C"/>
          <w:sz w:val="16"/>
        </w:rPr>
        <w:t xml:space="preserve">KOMMENTAR </w:t>
      </w:r>
      <w:r>
        <w:rPr>
          <w:rFonts w:ascii="Noto Sans" w:hAnsi="Noto Sans"/>
          <w:color w:val="2C2C2E"/>
          <w:sz w:val="17"/>
        </w:rPr>
        <w:t>Ein lernendes System muss auch rechtlich korrigieren können.</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Vertrauensschutz und Bestandskraft sind zu beachten.</w:t>
      </w:r>
    </w:p>
    <w:p>
      <w:pPr>
        <w:pStyle w:val="Heading2"/>
        <w:keepNext/>
      </w:pPr>
      <w:r>
        <w:t>§ 108 Ordnungswidrigkeiten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Vorsätzlich oder grob fahrlässig falsche Wirkungsnachweise, manipulative Produktkennungen oder gefälschte Prüfnachweise können als Ordnungswidrigkeit geahndet werden, wenn das aktivierende Gesetz Tatbestand und Bußgeldrahmen bestimmt.</w:t>
      </w:r>
    </w:p>
    <w:p>
      <w:pPr>
        <w:pStyle w:val="Commentary"/>
      </w:pPr>
      <w:r>
        <w:rPr>
          <w:rFonts w:ascii="Noto Sans" w:hAnsi="Noto Sans"/>
          <w:b/>
          <w:color w:val="2F7D5C"/>
          <w:sz w:val="16"/>
        </w:rPr>
        <w:t xml:space="preserve">KOMMENTAR </w:t>
      </w:r>
      <w:r>
        <w:rPr>
          <w:rFonts w:ascii="Noto Sans" w:hAnsi="Noto Sans"/>
          <w:color w:val="2C2C2E"/>
          <w:sz w:val="17"/>
        </w:rPr>
        <w:t>Die 2025er pauschalen Umsatzprozent-Bußgelder werden nicht blind übernommen.</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Sanktionen müssen bestimmt und verhältnismäßig sein.</w:t>
      </w:r>
    </w:p>
    <w:p>
      <w:pPr>
        <w:pStyle w:val="Heading2"/>
        <w:keepNext/>
      </w:pPr>
      <w:r>
        <w:t>§ 109 Steuerstraftaten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Führen manipulierte Wirkungsangaben zu einer Steuerverkürzung oder ungerechtfertigten Vergünstigung, gelten die bestehenden steuerstrafrechtlichen Vorschriften.</w:t>
      </w:r>
    </w:p>
    <w:p>
      <w:pPr>
        <w:pStyle w:val="Commentary"/>
      </w:pPr>
      <w:r>
        <w:rPr>
          <w:rFonts w:ascii="Noto Sans" w:hAnsi="Noto Sans"/>
          <w:b/>
          <w:color w:val="2F7D5C"/>
          <w:sz w:val="16"/>
        </w:rPr>
        <w:t xml:space="preserve">KOMMENTAR </w:t>
      </w:r>
      <w:r>
        <w:rPr>
          <w:rFonts w:ascii="Noto Sans" w:hAnsi="Noto Sans"/>
          <w:color w:val="2C2C2E"/>
          <w:sz w:val="17"/>
        </w:rPr>
        <w:t>Greenwashing wird dort zum Steuerproblem, wo es eine Steuerverkürzung bewirkt.</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Die Abgabenordnung ist der primäre Straf- und Verfahrensrahmen.</w:t>
      </w:r>
    </w:p>
    <w:p>
      <w:pPr>
        <w:pStyle w:val="Heading2"/>
        <w:keepNext/>
      </w:pPr>
      <w:r>
        <w:t>§ 110 Whistleblower- und Hinweisgeberschutz</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Hinweise auf systematische Wirkungsdatenmanipulation sollen über bestehende oder ergänzende geschützte Meldewege möglich sein.</w:t>
      </w:r>
    </w:p>
    <w:p>
      <w:pPr>
        <w:pStyle w:val="Commentary"/>
      </w:pPr>
      <w:r>
        <w:rPr>
          <w:rFonts w:ascii="Noto Sans" w:hAnsi="Noto Sans"/>
          <w:b/>
          <w:color w:val="2F7D5C"/>
          <w:sz w:val="16"/>
        </w:rPr>
        <w:t xml:space="preserve">KOMMENTAR </w:t>
      </w:r>
      <w:r>
        <w:rPr>
          <w:rFonts w:ascii="Noto Sans" w:hAnsi="Noto Sans"/>
          <w:color w:val="2C2C2E"/>
          <w:sz w:val="17"/>
        </w:rPr>
        <w:t>Datenintegrität braucht Schutz für interne Hinweisgeber.</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Die Regeln sind mit Hinweisgeberschutzrecht zu harmonisieren.</w:t>
      </w:r>
    </w:p>
    <w:p>
      <w:pPr>
        <w:pStyle w:val="Heading2"/>
        <w:keepNext/>
      </w:pPr>
      <w:r>
        <w:t>§ 111 Steuergeheimnis und Vertraulichkeit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Steuergeheimnis und legitime Vertraulichkeit gelten auch für Wirkungsdaten im Steuerverfahren.</w:t>
      </w:r>
    </w:p>
    <w:p>
      <w:pPr>
        <w:pStyle w:val="Commentary"/>
      </w:pPr>
      <w:r>
        <w:rPr>
          <w:rFonts w:ascii="Noto Sans" w:hAnsi="Noto Sans"/>
          <w:b/>
          <w:color w:val="2F7D5C"/>
          <w:sz w:val="16"/>
        </w:rPr>
        <w:t xml:space="preserve">KOMMENTAR </w:t>
      </w:r>
      <w:r>
        <w:rPr>
          <w:rFonts w:ascii="Noto Sans" w:hAnsi="Noto Sans"/>
          <w:color w:val="2C2C2E"/>
          <w:sz w:val="17"/>
        </w:rPr>
        <w:t>Öffentliche Wirkungstransparenz hat Grenzen.</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Aggregierte Transparenz ist der Regelfall.</w:t>
      </w:r>
    </w:p>
    <w:p>
      <w:pPr>
        <w:pStyle w:val="Heading2"/>
        <w:keepNext/>
      </w:pPr>
      <w:r>
        <w:t>§ 112 Verantwortung von Prüfstellen und Systembetreibern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Prüfstellen und Betreiber automatisierter Bewertungsdienste tragen Verantwortung für ordnungsgemäße Prüfung, Dokumentation und Korrektur im Rahmen ihrer gesetzlichen Pflichten.</w:t>
      </w:r>
    </w:p>
    <w:p>
      <w:pPr>
        <w:pStyle w:val="Commentary"/>
      </w:pPr>
      <w:r>
        <w:rPr>
          <w:rFonts w:ascii="Noto Sans" w:hAnsi="Noto Sans"/>
          <w:b/>
          <w:color w:val="2F7D5C"/>
          <w:sz w:val="16"/>
        </w:rPr>
        <w:t xml:space="preserve">KOMMENTAR </w:t>
      </w:r>
      <w:r>
        <w:rPr>
          <w:rFonts w:ascii="Noto Sans" w:hAnsi="Noto Sans"/>
          <w:color w:val="2C2C2E"/>
          <w:sz w:val="17"/>
        </w:rPr>
        <w:t>Die Verantwortung darf nicht in eine Black Box ausgelagert werden.</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Haftungsregeln sind im Fachrecht zu konkretisieren.</w:t>
      </w:r>
    </w:p>
    <w:p>
      <w:pPr>
        <w:pStyle w:val="Heading2"/>
        <w:keepNext/>
      </w:pPr>
      <w:r>
        <w:t>§ 113 Streit über Methoden und Einzelfall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Gerichte können die Rechtmäßigkeit angewandter Bewertungsmethoden und ihre Anwendung im Einzelfall überprüfen. Fachliche Einschätzungsspielräume bedürfen gesetzlicher Grundlage und nachvollziehbarer Grenzen.</w:t>
      </w:r>
    </w:p>
    <w:p>
      <w:pPr>
        <w:pStyle w:val="Commentary"/>
      </w:pPr>
      <w:r>
        <w:rPr>
          <w:rFonts w:ascii="Noto Sans" w:hAnsi="Noto Sans"/>
          <w:b/>
          <w:color w:val="2F7D5C"/>
          <w:sz w:val="16"/>
        </w:rPr>
        <w:t xml:space="preserve">KOMMENTAR </w:t>
      </w:r>
      <w:r>
        <w:rPr>
          <w:rFonts w:ascii="Noto Sans" w:hAnsi="Noto Sans"/>
          <w:color w:val="2C2C2E"/>
          <w:sz w:val="17"/>
        </w:rPr>
        <w:t>Methodische Komplexität hebt gerichtliche Kontrolle nicht auf.</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Expertise kann unterstützen, aber nicht Rechtsschutz ersetzen.</w:t>
      </w:r>
    </w:p>
    <w:p>
      <w:pPr>
        <w:pStyle w:val="Heading2"/>
        <w:keepNext/>
      </w:pPr>
      <w:r>
        <w:t>§ 114 Statistische Auswertung und Jahresbericht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Bundesregierung veröffentlicht jährlich aggregierte Angaben zu Aufkommen, Entlastungen, Verteilungswirkung, Branchen, Datenqualität, Einsprüchen und Evaluation.</w:t>
      </w:r>
    </w:p>
    <w:p>
      <w:pPr>
        <w:pStyle w:val="Commentary"/>
      </w:pPr>
      <w:r>
        <w:rPr>
          <w:rFonts w:ascii="Noto Sans" w:hAnsi="Noto Sans"/>
          <w:b/>
          <w:color w:val="2F7D5C"/>
          <w:sz w:val="16"/>
        </w:rPr>
        <w:t xml:space="preserve">KOMMENTAR </w:t>
      </w:r>
      <w:r>
        <w:rPr>
          <w:rFonts w:ascii="Noto Sans" w:hAnsi="Noto Sans"/>
          <w:color w:val="2C2C2E"/>
          <w:sz w:val="17"/>
        </w:rPr>
        <w:t>Die Wirkung der Wirkungssteuer muss selbst gemessen werden.</w:t>
      </w:r>
    </w:p>
    <w:p>
      <w:pPr>
        <w:pStyle w:val="Rationale"/>
      </w:pPr>
      <w:r>
        <w:rPr>
          <w:rFonts w:ascii="Noto Sans" w:hAnsi="Noto Sans"/>
          <w:b/>
          <w:color w:val="C89B3C"/>
          <w:sz w:val="16"/>
        </w:rPr>
        <w:t xml:space="preserve">BEGRÜNDUNG </w:t>
      </w:r>
      <w:r>
        <w:rPr>
          <w:rFonts w:ascii="Noto Sans" w:hAnsi="Noto Sans"/>
          <w:color w:val="2C2C2E"/>
          <w:sz w:val="17"/>
        </w:rPr>
        <w:t>Verfahrensrecht ist keine Nebenfrage. Ohne Begründung, Korrektur und Rechtsbehelf wäre Wirkungssteuer technokratisch.</w:t>
      </w:r>
    </w:p>
    <w:p>
      <w:pPr>
        <w:pStyle w:val="LegalNote"/>
      </w:pPr>
      <w:r>
        <w:rPr>
          <w:rFonts w:ascii="Noto Sans" w:hAnsi="Noto Sans"/>
          <w:b/>
          <w:color w:val="C85A3C"/>
          <w:sz w:val="16"/>
        </w:rPr>
        <w:t xml:space="preserve">RECHTS- UND UMSETZUNGSNOTIZ </w:t>
      </w:r>
      <w:r>
        <w:rPr>
          <w:rFonts w:ascii="Noto Sans" w:hAnsi="Noto Sans"/>
          <w:color w:val="2C2C2E"/>
          <w:sz w:val="17"/>
        </w:rPr>
        <w:t>Berichtspflichten sollen Politik lernen lassen, nicht nur Erfolge vermarkten.</w:t>
      </w:r>
    </w:p>
    <w:p>
      <w:pPr>
        <w:pStyle w:val="Heading2"/>
      </w:pPr>
      <w:r>
        <w:t>Abschnitt 9 – Pilotierung, EU-Pfad und Übergang</w:t>
      </w:r>
    </w:p>
    <w:p>
      <w:pPr>
        <w:pStyle w:val="Heading2"/>
        <w:keepNext/>
      </w:pPr>
      <w:r>
        <w:t>§ 115 Pilotphase</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Wirkungssteuerliche Module werden vor einer flächendeckenden Belastungswirkung grundsätzlich in Pilot-, Schattenrechnungs- oder freiwilligen Nachweisphasen erprobt, soweit nicht bereits ausreichend validierte Daten und Rechtsgrundlagen vorliegen.</w:t>
      </w:r>
    </w:p>
    <w:p>
      <w:pPr>
        <w:pStyle w:val="Commentary"/>
      </w:pPr>
      <w:r>
        <w:rPr>
          <w:rFonts w:ascii="Noto Sans" w:hAnsi="Noto Sans"/>
          <w:b/>
          <w:color w:val="2F7D5C"/>
          <w:sz w:val="16"/>
        </w:rPr>
        <w:t xml:space="preserve">KOMMENTAR </w:t>
      </w:r>
      <w:r>
        <w:rPr>
          <w:rFonts w:ascii="Noto Sans" w:hAnsi="Noto Sans"/>
          <w:color w:val="2C2C2E"/>
          <w:sz w:val="17"/>
        </w:rPr>
        <w:t>Pilotierung ist kein Aufschub, sondern Qualitätssicherung.</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Besonders geeignet sind datenreiche, hochwirksame und digital identifizierbare Sektoren.</w:t>
      </w:r>
    </w:p>
    <w:p>
      <w:pPr>
        <w:pStyle w:val="Heading2"/>
        <w:keepNext/>
      </w:pPr>
      <w:r>
        <w:t>§ 116 Schattenrechnung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In der Schattenrechnung wird die künftige Wirkungsfolge berechnet, ohne die Steuerlast zu verändern. Ergebnisse dienen Daten- und Verteilungsprüfung.</w:t>
      </w:r>
    </w:p>
    <w:p>
      <w:pPr>
        <w:pStyle w:val="Commentary"/>
      </w:pPr>
      <w:r>
        <w:rPr>
          <w:rFonts w:ascii="Noto Sans" w:hAnsi="Noto Sans"/>
          <w:b/>
          <w:color w:val="2F7D5C"/>
          <w:sz w:val="16"/>
        </w:rPr>
        <w:t xml:space="preserve">KOMMENTAR </w:t>
      </w:r>
      <w:r>
        <w:rPr>
          <w:rFonts w:ascii="Noto Sans" w:hAnsi="Noto Sans"/>
          <w:color w:val="2C2C2E"/>
          <w:sz w:val="17"/>
        </w:rPr>
        <w:t>So lassen sich Fehlanreize entdecken, bevor sie Geld bewegen.</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Schattenrechnungen sind klar als nicht rechtswirksam zu kennzeichnen.</w:t>
      </w:r>
    </w:p>
    <w:p>
      <w:pPr>
        <w:pStyle w:val="Heading2"/>
        <w:keepNext/>
      </w:pPr>
      <w:r>
        <w:t>§ 117 Pilotsektoren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Pilotsektoren werden nach Datenreife, Wirkungsrelevanz, Alternativen, Marktstruktur und administrativer Umsetzbarkeit ausgewählt.</w:t>
      </w:r>
    </w:p>
    <w:p>
      <w:pPr>
        <w:pStyle w:val="Commentary"/>
      </w:pPr>
      <w:r>
        <w:rPr>
          <w:rFonts w:ascii="Noto Sans" w:hAnsi="Noto Sans"/>
          <w:b/>
          <w:color w:val="2F7D5C"/>
          <w:sz w:val="16"/>
        </w:rPr>
        <w:t xml:space="preserve">KOMMENTAR </w:t>
      </w:r>
      <w:r>
        <w:rPr>
          <w:rFonts w:ascii="Noto Sans" w:hAnsi="Noto Sans"/>
          <w:color w:val="2C2C2E"/>
          <w:sz w:val="17"/>
        </w:rPr>
        <w:t>Nicht politischer Symbolwert, sondern Lernwert entscheidet.</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DPP-nahe Produktgruppen, Energie, Mobilität, Verpackung und ausgewählte Beschaffung sind naheliegende Kandidaten.</w:t>
      </w:r>
    </w:p>
    <w:p>
      <w:pPr>
        <w:pStyle w:val="Heading2"/>
        <w:keepNext/>
      </w:pPr>
      <w:r>
        <w:t>§ 118 Makrofiskalische Kalibrierung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Vor Aktivierung werden Aufkommens-, Preis-, Nachfrage-, Beschäftigungs- und Investitionseffekte modelliert.</w:t>
      </w:r>
    </w:p>
    <w:p>
      <w:pPr>
        <w:pStyle w:val="Commentary"/>
      </w:pPr>
      <w:r>
        <w:rPr>
          <w:rFonts w:ascii="Noto Sans" w:hAnsi="Noto Sans"/>
          <w:b/>
          <w:color w:val="2F7D5C"/>
          <w:sz w:val="16"/>
        </w:rPr>
        <w:t xml:space="preserve">KOMMENTAR </w:t>
      </w:r>
      <w:r>
        <w:rPr>
          <w:rFonts w:ascii="Noto Sans" w:hAnsi="Noto Sans"/>
          <w:color w:val="2C2C2E"/>
          <w:sz w:val="17"/>
        </w:rPr>
        <w:t>Eine Mikro-Scorecard kann makroökonomisch unerwartet wirken.</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Haushaltsneutralität oder andere Zielkorridore werden transparent definiert.</w:t>
      </w:r>
    </w:p>
    <w:p>
      <w:pPr>
        <w:pStyle w:val="Heading2"/>
        <w:keepNext/>
      </w:pPr>
      <w:r>
        <w:t>§ 119 Sozial-, Wettbewerbs- und Resilienzevaluation</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Jedes Modul wird auf Verteilung, Wettbewerbsfähigkeit, Innovation, administrative Kosten, Versorgungssicherheit, Resilienz und tatsächliche Wirkung evaluiert.</w:t>
      </w:r>
    </w:p>
    <w:p>
      <w:pPr>
        <w:pStyle w:val="Commentary"/>
      </w:pPr>
      <w:r>
        <w:rPr>
          <w:rFonts w:ascii="Noto Sans" w:hAnsi="Noto Sans"/>
          <w:b/>
          <w:color w:val="2F7D5C"/>
          <w:sz w:val="16"/>
        </w:rPr>
        <w:t xml:space="preserve">KOMMENTAR </w:t>
      </w:r>
      <w:r>
        <w:rPr>
          <w:rFonts w:ascii="Noto Sans" w:hAnsi="Noto Sans"/>
          <w:color w:val="2C2C2E"/>
          <w:sz w:val="17"/>
        </w:rPr>
        <w:t>Wirkungssteuer muss ihre eigene Wirkung beweisen.</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Negativbefunde können Redesign, Aussetzung oder Abschaffung auslösen.</w:t>
      </w:r>
    </w:p>
    <w:p>
      <w:pPr>
        <w:pStyle w:val="Heading2"/>
        <w:keepNext/>
      </w:pPr>
      <w:r>
        <w:t>§ 120 Europäischer Reformpfad</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 Bundesregierung entwickelt für Bereiche mit unionsrechtlicher Harmonisierung einen EU-Reformpfad, insbesondere für eine langfristig wirkungsdifferenziertere Mehrwertsteuer und Energiebesteuerung.</w:t>
      </w:r>
    </w:p>
    <w:p>
      <w:pPr>
        <w:pStyle w:val="Commentary"/>
      </w:pPr>
      <w:r>
        <w:rPr>
          <w:rFonts w:ascii="Noto Sans" w:hAnsi="Noto Sans"/>
          <w:b/>
          <w:color w:val="2F7D5C"/>
          <w:sz w:val="16"/>
        </w:rPr>
        <w:t xml:space="preserve">KOMMENTAR </w:t>
      </w:r>
      <w:r>
        <w:rPr>
          <w:rFonts w:ascii="Noto Sans" w:hAnsi="Noto Sans"/>
          <w:color w:val="2C2C2E"/>
          <w:sz w:val="17"/>
        </w:rPr>
        <w:t>Nationales Wunschrecht ist kein EU-Recht. Der WStG 3.0 macht Kompetenzgrenzen selbst zum Teil des Umsetzungspfads.</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Steuerharmonisierung nach Art. 113 AEUV erfordert europäische Gesetzgebung und regelmäßig Einstimmigkeit im Rat. [E17]</w:t>
      </w:r>
    </w:p>
    <w:p>
      <w:pPr>
        <w:pStyle w:val="Heading2"/>
        <w:keepNext/>
      </w:pPr>
      <w:r>
        <w:t>§ 121 Internationale Anschlussfähigkeit</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Internationale Wirkungsinstrumente sollen auf interoperablen Daten, gleichartigen Kriterien, gegenseitiger Anerkennung und Schutz vor diskriminierender Handelspolitik aufbauen.</w:t>
      </w:r>
    </w:p>
    <w:p>
      <w:pPr>
        <w:pStyle w:val="Commentary"/>
      </w:pPr>
      <w:r>
        <w:rPr>
          <w:rFonts w:ascii="Noto Sans" w:hAnsi="Noto Sans"/>
          <w:b/>
          <w:color w:val="2F7D5C"/>
          <w:sz w:val="16"/>
        </w:rPr>
        <w:t xml:space="preserve">KOMMENTAR </w:t>
      </w:r>
      <w:r>
        <w:rPr>
          <w:rFonts w:ascii="Noto Sans" w:hAnsi="Noto Sans"/>
          <w:color w:val="2C2C2E"/>
          <w:sz w:val="17"/>
        </w:rPr>
        <w:t>WÖk soll weltfähig sein, nicht national moralisierend.</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WTO-, Handels- und Doppelbesteuerungsrecht sind je Instrument gesondert zu prüfen.</w:t>
      </w:r>
    </w:p>
    <w:p>
      <w:pPr>
        <w:pStyle w:val="Heading2"/>
        <w:keepNext/>
      </w:pPr>
      <w:r>
        <w:t>§ 122 Transformationsschutz</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Bei tiefgreifenden Steueränderungen sind Übergänge für Beschäftigte, Haushalte, Regionen, Investitionen und gebundenes Altkapital vorzusehen.</w:t>
      </w:r>
    </w:p>
    <w:p>
      <w:pPr>
        <w:pStyle w:val="Commentary"/>
      </w:pPr>
      <w:r>
        <w:rPr>
          <w:rFonts w:ascii="Noto Sans" w:hAnsi="Noto Sans"/>
          <w:b/>
          <w:color w:val="2F7D5C"/>
          <w:sz w:val="16"/>
        </w:rPr>
        <w:t xml:space="preserve">KOMMENTAR </w:t>
      </w:r>
      <w:r>
        <w:rPr>
          <w:rFonts w:ascii="Noto Sans" w:hAnsi="Noto Sans"/>
          <w:color w:val="2C2C2E"/>
          <w:sz w:val="17"/>
        </w:rPr>
        <w:t>Transformation ohne Brücken kann soziale und politische Gegenwirkung erzeugen.</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Schutz darf jedoch keine unbegrenzte Fortsetzung strukturell schädlicher Pfade garantieren.</w:t>
      </w:r>
    </w:p>
    <w:p>
      <w:pPr>
        <w:pStyle w:val="Heading2"/>
        <w:keepNext/>
      </w:pPr>
      <w:r>
        <w:t>§ 123 Stufenweise Aktivierung</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Ein Wirkungsmodul tritt in Stufen in Kraft: Daten- und Testphase, freiwillige oder beschränkte Anwendung, reguläre Anwendung und Evaluation.</w:t>
      </w:r>
    </w:p>
    <w:p>
      <w:pPr>
        <w:pStyle w:val="Commentary"/>
      </w:pPr>
      <w:r>
        <w:rPr>
          <w:rFonts w:ascii="Noto Sans" w:hAnsi="Noto Sans"/>
          <w:b/>
          <w:color w:val="2F7D5C"/>
          <w:sz w:val="16"/>
        </w:rPr>
        <w:t xml:space="preserve">KOMMENTAR </w:t>
      </w:r>
      <w:r>
        <w:rPr>
          <w:rFonts w:ascii="Noto Sans" w:hAnsi="Noto Sans"/>
          <w:color w:val="2C2C2E"/>
          <w:sz w:val="17"/>
        </w:rPr>
        <w:t>Stufen ermöglichen Lernfähigkeit und Planungssicherheit.</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Zeitpunkte und Kriterien stehen im jeweiligen Aktivierungsgesetz.</w:t>
      </w:r>
    </w:p>
    <w:p>
      <w:pPr>
        <w:pStyle w:val="Heading2"/>
        <w:keepNext/>
      </w:pPr>
      <w:r>
        <w:t>§ 124 Sunset und Revisionsklausel</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Neue Wirkungszuschläge und Pilotvergünstigungen erhalten grundsätzlich eine Evaluations- oder Sunset-Klausel, wenn ihre Wirkung nicht bereits langfristig gesichert ist.</w:t>
      </w:r>
    </w:p>
    <w:p>
      <w:pPr>
        <w:pStyle w:val="Commentary"/>
      </w:pPr>
      <w:r>
        <w:rPr>
          <w:rFonts w:ascii="Noto Sans" w:hAnsi="Noto Sans"/>
          <w:b/>
          <w:color w:val="2F7D5C"/>
          <w:sz w:val="16"/>
        </w:rPr>
        <w:t xml:space="preserve">KOMMENTAR </w:t>
      </w:r>
      <w:r>
        <w:rPr>
          <w:rFonts w:ascii="Noto Sans" w:hAnsi="Noto Sans"/>
          <w:color w:val="2C2C2E"/>
          <w:sz w:val="17"/>
        </w:rPr>
        <w:t>Wirkungssteuer soll sich selbst abschaffen können, wenn sie keine Wirkung erzeugt.</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Dauerrecht braucht periodische Überprüfung, ohne permanentes Rechtschaos zu erzeugen.</w:t>
      </w:r>
    </w:p>
    <w:p>
      <w:pPr>
        <w:pStyle w:val="Heading2"/>
        <w:keepNext/>
      </w:pPr>
      <w:r>
        <w:t>§ 125 Inkrafttreten und Rechtsstatus</w:t>
      </w:r>
    </w:p>
    <w:p>
      <w:pPr>
        <w:spacing w:after="20"/>
      </w:pPr>
      <w:r>
        <w:rPr>
          <w:rFonts w:ascii="Noto Sans" w:hAnsi="Noto Sans"/>
          <w:b/>
          <w:color w:val="2F7D5C"/>
          <w:sz w:val="14"/>
        </w:rPr>
        <w:t>GESETZESTEXT</w:t>
      </w:r>
    </w:p>
    <w:p>
      <w:pPr>
        <w:pStyle w:val="LawText"/>
        <w:ind w:left="113" w:hanging="113"/>
      </w:pPr>
      <w:r>
        <w:rPr>
          <w:rFonts w:ascii="Noto Sans" w:hAnsi="Noto Sans"/>
          <w:b/>
          <w:color w:val="0B1020"/>
          <w:sz w:val="18"/>
        </w:rPr>
        <w:t xml:space="preserve">(1) </w:t>
      </w:r>
      <w:r>
        <w:rPr>
          <w:rFonts w:ascii="Noto Sans" w:hAnsi="Noto Sans"/>
          <w:color w:val="2C2C2E"/>
          <w:sz w:val="18"/>
        </w:rPr>
        <w:t>Dieses Gesetz tritt nur nach parlamentarischer Gesetzgebung und ordnungsgemäßer Verkündung in Kraft. Die vorliegende Fassung ist bis dahin ein Wirkungsökonomie-Entwurf und keine geltende Rechtsnorm.</w:t>
      </w:r>
    </w:p>
    <w:p>
      <w:pPr>
        <w:pStyle w:val="Commentary"/>
      </w:pPr>
      <w:r>
        <w:rPr>
          <w:rFonts w:ascii="Noto Sans" w:hAnsi="Noto Sans"/>
          <w:b/>
          <w:color w:val="2F7D5C"/>
          <w:sz w:val="16"/>
        </w:rPr>
        <w:t xml:space="preserve">KOMMENTAR </w:t>
      </w:r>
      <w:r>
        <w:rPr>
          <w:rFonts w:ascii="Noto Sans" w:hAnsi="Noto Sans"/>
          <w:color w:val="2C2C2E"/>
          <w:sz w:val="17"/>
        </w:rPr>
        <w:t>Der Schlusssatz schützt die gesamte Veröffentlichung vor dem wichtigsten Statusfehler: Modell ist nicht geltendes Recht.</w:t>
      </w:r>
    </w:p>
    <w:p>
      <w:pPr>
        <w:pStyle w:val="Rationale"/>
      </w:pPr>
      <w:r>
        <w:rPr>
          <w:rFonts w:ascii="Noto Sans" w:hAnsi="Noto Sans"/>
          <w:b/>
          <w:color w:val="C89B3C"/>
          <w:sz w:val="16"/>
        </w:rPr>
        <w:t xml:space="preserve">BEGRÜNDUNG </w:t>
      </w:r>
      <w:r>
        <w:rPr>
          <w:rFonts w:ascii="Noto Sans" w:hAnsi="Noto Sans"/>
          <w:color w:val="2C2C2E"/>
          <w:sz w:val="17"/>
        </w:rPr>
        <w:t>Die Einführung selbst ist ein Wirkungsprozess und muss deshalb gemessen, begrenzt und korrigierbar sein.</w:t>
      </w:r>
    </w:p>
    <w:p>
      <w:pPr>
        <w:pStyle w:val="LegalNote"/>
      </w:pPr>
      <w:r>
        <w:rPr>
          <w:rFonts w:ascii="Noto Sans" w:hAnsi="Noto Sans"/>
          <w:b/>
          <w:color w:val="C85A3C"/>
          <w:sz w:val="16"/>
        </w:rPr>
        <w:t xml:space="preserve">RECHTS- UND UMSETZUNGSNOTIZ </w:t>
      </w:r>
      <w:r>
        <w:rPr>
          <w:rFonts w:ascii="Noto Sans" w:hAnsi="Noto Sans"/>
          <w:color w:val="2C2C2E"/>
          <w:sz w:val="17"/>
        </w:rPr>
        <w:t>Ein späteres Artikelgesetz muss die betroffenen Einzelsteuergesetze ausdrücklich ändern.</w:t>
      </w:r>
    </w:p>
    <w:p>
      <w:r>
        <w:br w:type="page"/>
      </w:r>
    </w:p>
    <w:p>
      <w:pPr>
        <w:pStyle w:val="Heading1"/>
      </w:pPr>
      <w:r>
        <w:t>TEIL C – Steuerartenatlas: Jede Steuer im Wirkungscheck</w:t>
      </w:r>
    </w:p>
    <w:p>
      <w:r>
        <w:rPr>
          <w:rFonts w:ascii="Noto Sans" w:hAnsi="Noto Sans"/>
        </w:rPr>
        <w:t>Nicht jede Steuer ist ein gleich guter Wirkungsträger. Die folgende Matrix behandelt die in der BMF-Systematik geführten wesentlichen Steuerarten plus die Vermögensteuer als derzeit nicht erhobene Zukunftsoption. Die Einstufung „WÖk-Fit“ bewertet nicht die politische Wichtigkeit der Steuer, sondern die Eignung, Wirkung ohne unverhältnismäßige Komplexität an den jeweiligen Steuergegenstand zurückzukoppeln. [E11]</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blHeader w:val="true"/>
        </w:trPr>
        <w:tc>
          <w:tcPr>
            <w:tcW w:type="dxa" w:w="1757"/>
            <w:shd w:fill="0B1020"/>
            <w:tcMar>
              <w:top w:w="55" w:type="dxa"/>
              <w:start w:w="55" w:type="dxa"/>
              <w:bottom w:w="55" w:type="dxa"/>
              <w:end w:w="55" w:type="dxa"/>
            </w:tcMar>
          </w:tcPr>
          <w:p>
            <w:r>
              <w:rPr>
                <w:rFonts w:ascii="Noto Sans" w:hAnsi="Noto Sans"/>
                <w:b/>
                <w:color w:val="FFFFFF"/>
                <w:sz w:val="11"/>
              </w:rPr>
              <w:t>Steuerart</w:t>
            </w:r>
          </w:p>
        </w:tc>
        <w:tc>
          <w:tcPr>
            <w:tcW w:type="dxa" w:w="1757"/>
            <w:shd w:fill="0B1020"/>
            <w:tcMar>
              <w:top w:w="55" w:type="dxa"/>
              <w:start w:w="55" w:type="dxa"/>
              <w:bottom w:w="55" w:type="dxa"/>
              <w:end w:w="55" w:type="dxa"/>
            </w:tcMar>
          </w:tcPr>
          <w:p>
            <w:r>
              <w:rPr>
                <w:rFonts w:ascii="Noto Sans" w:hAnsi="Noto Sans"/>
                <w:b/>
                <w:color w:val="FFFFFF"/>
                <w:sz w:val="11"/>
              </w:rPr>
              <w:t>Ebene/Typ</w:t>
            </w:r>
          </w:p>
        </w:tc>
        <w:tc>
          <w:tcPr>
            <w:tcW w:type="dxa" w:w="1134"/>
            <w:shd w:fill="0B1020"/>
            <w:tcMar>
              <w:top w:w="55" w:type="dxa"/>
              <w:start w:w="55" w:type="dxa"/>
              <w:bottom w:w="55" w:type="dxa"/>
              <w:end w:w="55" w:type="dxa"/>
            </w:tcMar>
          </w:tcPr>
          <w:p>
            <w:r>
              <w:rPr>
                <w:rFonts w:ascii="Noto Sans" w:hAnsi="Noto Sans"/>
                <w:b/>
                <w:color w:val="FFFFFF"/>
                <w:sz w:val="11"/>
              </w:rPr>
              <w:t>WÖk-Fit</w:t>
            </w:r>
          </w:p>
        </w:tc>
        <w:tc>
          <w:tcPr>
            <w:tcW w:type="dxa" w:w="1814"/>
            <w:shd w:fill="0B1020"/>
            <w:tcMar>
              <w:top w:w="55" w:type="dxa"/>
              <w:start w:w="55" w:type="dxa"/>
              <w:bottom w:w="55" w:type="dxa"/>
              <w:end w:w="55" w:type="dxa"/>
            </w:tcMar>
          </w:tcPr>
          <w:p>
            <w:r>
              <w:rPr>
                <w:rFonts w:ascii="Noto Sans" w:hAnsi="Noto Sans"/>
                <w:b/>
                <w:color w:val="FFFFFF"/>
                <w:sz w:val="11"/>
              </w:rPr>
              <w:t>primäre Wirkungsfrage</w:t>
            </w:r>
          </w:p>
        </w:tc>
        <w:tc>
          <w:tcPr>
            <w:tcW w:type="dxa" w:w="2948"/>
            <w:shd w:fill="0B1020"/>
            <w:tcMar>
              <w:top w:w="55" w:type="dxa"/>
              <w:start w:w="55" w:type="dxa"/>
              <w:bottom w:w="55" w:type="dxa"/>
              <w:end w:w="55" w:type="dxa"/>
            </w:tcMar>
          </w:tcPr>
          <w:p>
            <w:r>
              <w:rPr>
                <w:rFonts w:ascii="Noto Sans" w:hAnsi="Noto Sans"/>
                <w:b/>
                <w:color w:val="FFFFFF"/>
                <w:sz w:val="11"/>
              </w:rPr>
              <w:t>Empfohlene Behandlung</w:t>
            </w:r>
          </w:p>
        </w:tc>
      </w:tr>
      <w:tr>
        <w:trPr>
          <w:cantSplit/>
        </w:trPr>
        <w:tc>
          <w:tcPr>
            <w:tcW w:type="dxa" w:w="1757"/>
            <w:tcMar>
              <w:top w:w="45" w:type="dxa"/>
              <w:start w:w="50" w:type="dxa"/>
              <w:bottom w:w="45" w:type="dxa"/>
              <w:end w:w="50" w:type="dxa"/>
            </w:tcMar>
            <w:vAlign w:val="top"/>
          </w:tcPr>
          <w:p>
            <w:r>
              <w:rPr>
                <w:rFonts w:ascii="Noto Sans" w:hAnsi="Noto Sans"/>
                <w:color w:val="2C2C2E"/>
                <w:sz w:val="11"/>
              </w:rPr>
              <w:t>Abgeltungsteuer</w:t>
            </w:r>
          </w:p>
        </w:tc>
        <w:tc>
          <w:tcPr>
            <w:tcW w:type="dxa" w:w="1757"/>
            <w:tcMar>
              <w:top w:w="45" w:type="dxa"/>
              <w:start w:w="50" w:type="dxa"/>
              <w:bottom w:w="45" w:type="dxa"/>
              <w:end w:w="50" w:type="dxa"/>
            </w:tcMar>
            <w:vAlign w:val="top"/>
          </w:tcPr>
          <w:p>
            <w:r>
              <w:rPr>
                <w:rFonts w:ascii="Noto Sans" w:hAnsi="Noto Sans"/>
                <w:color w:val="2C2C2E"/>
                <w:sz w:val="11"/>
              </w:rPr>
              <w:t>Bund/Länder; Erhebungsform Kapitalertrag</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Kapitalallokation, Finanzierungswirkung</w:t>
            </w:r>
          </w:p>
        </w:tc>
        <w:tc>
          <w:tcPr>
            <w:tcW w:type="dxa" w:w="2948"/>
            <w:tcMar>
              <w:top w:w="45" w:type="dxa"/>
              <w:start w:w="50" w:type="dxa"/>
              <w:bottom w:w="45" w:type="dxa"/>
              <w:end w:w="50" w:type="dxa"/>
            </w:tcMar>
            <w:vAlign w:val="top"/>
          </w:tcPr>
          <w:p>
            <w:r>
              <w:rPr>
                <w:rFonts w:ascii="Noto Sans" w:hAnsi="Noto Sans"/>
                <w:color w:val="2C2C2E"/>
                <w:sz w:val="11"/>
              </w:rPr>
              <w:t>Keine Personenbewertung. Wirkung eher über Produkt-/Investmentkriterien, Fondsregeln oder Kapitalmodul; Abstimmung mit Kapitalertragsteuer.</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Abzugsteuern bei beschränkt Steuerpflichtigen</w:t>
            </w:r>
          </w:p>
        </w:tc>
        <w:tc>
          <w:tcPr>
            <w:tcW w:type="dxa" w:w="1757"/>
            <w:tcMar>
              <w:top w:w="45" w:type="dxa"/>
              <w:start w:w="50" w:type="dxa"/>
              <w:bottom w:w="45" w:type="dxa"/>
              <w:end w:w="50" w:type="dxa"/>
            </w:tcMar>
            <w:vAlign w:val="top"/>
            <w:shd w:fill="FAF9F7"/>
          </w:tcPr>
          <w:p>
            <w:r>
              <w:rPr>
                <w:rFonts w:ascii="Noto Sans" w:hAnsi="Noto Sans"/>
                <w:color w:val="2C2C2E"/>
                <w:sz w:val="11"/>
              </w:rPr>
              <w:t>Bund/Länder; Erhebungsverfahren</w:t>
            </w:r>
          </w:p>
        </w:tc>
        <w:tc>
          <w:tcPr>
            <w:tcW w:type="dxa" w:w="1134"/>
            <w:tcMar>
              <w:top w:w="45" w:type="dxa"/>
              <w:start w:w="50" w:type="dxa"/>
              <w:bottom w:w="45" w:type="dxa"/>
              <w:end w:w="50" w:type="dxa"/>
            </w:tcMar>
            <w:vAlign w:val="top"/>
            <w:shd w:fill="FAF9F7"/>
          </w:tcPr>
          <w:p>
            <w:r>
              <w:rPr>
                <w:rFonts w:ascii="Noto Sans" w:hAnsi="Noto Sans"/>
                <w:color w:val="2C2C2E"/>
                <w:sz w:val="11"/>
              </w:rPr>
              <w:t>niedrig</w:t>
            </w:r>
          </w:p>
        </w:tc>
        <w:tc>
          <w:tcPr>
            <w:tcW w:type="dxa" w:w="1814"/>
            <w:tcMar>
              <w:top w:w="45" w:type="dxa"/>
              <w:start w:w="50" w:type="dxa"/>
              <w:bottom w:w="45" w:type="dxa"/>
              <w:end w:w="50" w:type="dxa"/>
            </w:tcMar>
            <w:vAlign w:val="top"/>
            <w:shd w:fill="FAF9F7"/>
          </w:tcPr>
          <w:p>
            <w:r>
              <w:rPr>
                <w:rFonts w:ascii="Noto Sans" w:hAnsi="Noto Sans"/>
                <w:color w:val="2C2C2E"/>
                <w:sz w:val="11"/>
              </w:rPr>
              <w:t>grenzüberschreitende Einkünfte</w:t>
            </w:r>
          </w:p>
        </w:tc>
        <w:tc>
          <w:tcPr>
            <w:tcW w:type="dxa" w:w="2948"/>
            <w:tcMar>
              <w:top w:w="45" w:type="dxa"/>
              <w:start w:w="50" w:type="dxa"/>
              <w:bottom w:w="45" w:type="dxa"/>
              <w:end w:w="50" w:type="dxa"/>
            </w:tcMar>
            <w:vAlign w:val="top"/>
            <w:shd w:fill="FAF9F7"/>
          </w:tcPr>
          <w:p>
            <w:r>
              <w:rPr>
                <w:rFonts w:ascii="Noto Sans" w:hAnsi="Noto Sans"/>
                <w:color w:val="2C2C2E"/>
                <w:sz w:val="11"/>
              </w:rPr>
              <w:t>Kein eigener WÖk-Tarif. Nur Nachweis-/Informationsfunktion, wenn zugrunde liegende Einkunftsart ein Wirkungsmodul hat.</w:t>
            </w:r>
          </w:p>
        </w:tc>
      </w:tr>
      <w:tr>
        <w:trPr>
          <w:cantSplit/>
        </w:trPr>
        <w:tc>
          <w:tcPr>
            <w:tcW w:type="dxa" w:w="1757"/>
            <w:tcMar>
              <w:top w:w="45" w:type="dxa"/>
              <w:start w:w="50" w:type="dxa"/>
              <w:bottom w:w="45" w:type="dxa"/>
              <w:end w:w="50" w:type="dxa"/>
            </w:tcMar>
            <w:vAlign w:val="top"/>
          </w:tcPr>
          <w:p>
            <w:r>
              <w:rPr>
                <w:rFonts w:ascii="Noto Sans" w:hAnsi="Noto Sans"/>
                <w:color w:val="2C2C2E"/>
                <w:sz w:val="11"/>
              </w:rPr>
              <w:t>Alkoholsteuer</w:t>
            </w:r>
          </w:p>
        </w:tc>
        <w:tc>
          <w:tcPr>
            <w:tcW w:type="dxa" w:w="1757"/>
            <w:tcMar>
              <w:top w:w="45" w:type="dxa"/>
              <w:start w:w="50" w:type="dxa"/>
              <w:bottom w:w="45" w:type="dxa"/>
              <w:end w:w="50" w:type="dxa"/>
            </w:tcMar>
            <w:vAlign w:val="top"/>
          </w:tcPr>
          <w:p>
            <w:r>
              <w:rPr>
                <w:rFonts w:ascii="Noto Sans" w:hAnsi="Noto Sans"/>
                <w:color w:val="2C2C2E"/>
                <w:sz w:val="11"/>
              </w:rPr>
              <w:t>Bund/EU-harmonisiert; Verbrauch</w:t>
            </w:r>
          </w:p>
        </w:tc>
        <w:tc>
          <w:tcPr>
            <w:tcW w:type="dxa" w:w="1134"/>
            <w:tcMar>
              <w:top w:w="45" w:type="dxa"/>
              <w:start w:w="50" w:type="dxa"/>
              <w:bottom w:w="45" w:type="dxa"/>
              <w:end w:w="50" w:type="dxa"/>
            </w:tcMar>
            <w:vAlign w:val="top"/>
          </w:tcPr>
          <w:p>
            <w:r>
              <w:rPr>
                <w:rFonts w:ascii="Noto Sans" w:hAnsi="Noto Sans"/>
                <w:color w:val="2C2C2E"/>
                <w:sz w:val="11"/>
              </w:rPr>
              <w:t>hoch</w:t>
            </w:r>
          </w:p>
        </w:tc>
        <w:tc>
          <w:tcPr>
            <w:tcW w:type="dxa" w:w="1814"/>
            <w:tcMar>
              <w:top w:w="45" w:type="dxa"/>
              <w:start w:w="50" w:type="dxa"/>
              <w:bottom w:w="45" w:type="dxa"/>
              <w:end w:w="50" w:type="dxa"/>
            </w:tcMar>
            <w:vAlign w:val="top"/>
          </w:tcPr>
          <w:p>
            <w:r>
              <w:rPr>
                <w:rFonts w:ascii="Noto Sans" w:hAnsi="Noto Sans"/>
                <w:color w:val="2C2C2E"/>
                <w:sz w:val="11"/>
              </w:rPr>
              <w:t>Gesundheit, Prävention, Suchtfolgen</w:t>
            </w:r>
          </w:p>
        </w:tc>
        <w:tc>
          <w:tcPr>
            <w:tcW w:type="dxa" w:w="2948"/>
            <w:tcMar>
              <w:top w:w="45" w:type="dxa"/>
              <w:start w:w="50" w:type="dxa"/>
              <w:bottom w:w="45" w:type="dxa"/>
              <w:end w:w="50" w:type="dxa"/>
            </w:tcMar>
            <w:vAlign w:val="top"/>
          </w:tcPr>
          <w:p>
            <w:r>
              <w:rPr>
                <w:rFonts w:ascii="Noto Sans" w:hAnsi="Noto Sans"/>
                <w:color w:val="2C2C2E"/>
                <w:sz w:val="11"/>
              </w:rPr>
              <w:t>Wirkungsmodul gut anschlussfähig; Alkoholgehalt, Gesundheitsrisiko, Prävention, bestehende EU-Mindestsätze beachten.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Alkopopsteuer</w:t>
            </w:r>
          </w:p>
        </w:tc>
        <w:tc>
          <w:tcPr>
            <w:tcW w:type="dxa" w:w="1757"/>
            <w:tcMar>
              <w:top w:w="45" w:type="dxa"/>
              <w:start w:w="50" w:type="dxa"/>
              <w:bottom w:w="45" w:type="dxa"/>
              <w:end w:w="50" w:type="dxa"/>
            </w:tcMar>
            <w:vAlign w:val="top"/>
            <w:shd w:fill="FAF9F7"/>
          </w:tcPr>
          <w:p>
            <w:r>
              <w:rPr>
                <w:rFonts w:ascii="Noto Sans" w:hAnsi="Noto Sans"/>
                <w:color w:val="2C2C2E"/>
                <w:sz w:val="11"/>
              </w:rPr>
              <w:t>Bund; Verbrauch</w:t>
            </w:r>
          </w:p>
        </w:tc>
        <w:tc>
          <w:tcPr>
            <w:tcW w:type="dxa" w:w="1134"/>
            <w:tcMar>
              <w:top w:w="45" w:type="dxa"/>
              <w:start w:w="50" w:type="dxa"/>
              <w:bottom w:w="45" w:type="dxa"/>
              <w:end w:w="50" w:type="dxa"/>
            </w:tcMar>
            <w:vAlign w:val="top"/>
            <w:shd w:fill="FAF9F7"/>
          </w:tcPr>
          <w:p>
            <w:r>
              <w:rPr>
                <w:rFonts w:ascii="Noto Sans" w:hAnsi="Noto Sans"/>
                <w:color w:val="2C2C2E"/>
                <w:sz w:val="11"/>
              </w:rPr>
              <w:t>hoch</w:t>
            </w:r>
          </w:p>
        </w:tc>
        <w:tc>
          <w:tcPr>
            <w:tcW w:type="dxa" w:w="1814"/>
            <w:tcMar>
              <w:top w:w="45" w:type="dxa"/>
              <w:start w:w="50" w:type="dxa"/>
              <w:bottom w:w="45" w:type="dxa"/>
              <w:end w:w="50" w:type="dxa"/>
            </w:tcMar>
            <w:vAlign w:val="top"/>
            <w:shd w:fill="FAF9F7"/>
          </w:tcPr>
          <w:p>
            <w:r>
              <w:rPr>
                <w:rFonts w:ascii="Noto Sans" w:hAnsi="Noto Sans"/>
                <w:color w:val="2C2C2E"/>
                <w:sz w:val="11"/>
              </w:rPr>
              <w:t>Jugend-/Gesundheitsschutz</w:t>
            </w:r>
          </w:p>
        </w:tc>
        <w:tc>
          <w:tcPr>
            <w:tcW w:type="dxa" w:w="2948"/>
            <w:tcMar>
              <w:top w:w="45" w:type="dxa"/>
              <w:start w:w="50" w:type="dxa"/>
              <w:bottom w:w="45" w:type="dxa"/>
              <w:end w:w="50" w:type="dxa"/>
            </w:tcMar>
            <w:vAlign w:val="top"/>
            <w:shd w:fill="FAF9F7"/>
          </w:tcPr>
          <w:p>
            <w:r>
              <w:rPr>
                <w:rFonts w:ascii="Noto Sans" w:hAnsi="Noto Sans"/>
                <w:color w:val="2C2C2E"/>
                <w:sz w:val="11"/>
              </w:rPr>
              <w:t>Bestehender Lenkungscharakter; WÖk kann Evidenz- und Evaluationslogik schärfen.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Biersteuer</w:t>
            </w:r>
          </w:p>
        </w:tc>
        <w:tc>
          <w:tcPr>
            <w:tcW w:type="dxa" w:w="1757"/>
            <w:tcMar>
              <w:top w:w="45" w:type="dxa"/>
              <w:start w:w="50" w:type="dxa"/>
              <w:bottom w:w="45" w:type="dxa"/>
              <w:end w:w="50" w:type="dxa"/>
            </w:tcMar>
            <w:vAlign w:val="top"/>
          </w:tcPr>
          <w:p>
            <w:r>
              <w:rPr>
                <w:rFonts w:ascii="Noto Sans" w:hAnsi="Noto Sans"/>
                <w:color w:val="2C2C2E"/>
                <w:sz w:val="11"/>
              </w:rPr>
              <w:t>Länder/EU-harmonisiert; Verbrauch</w:t>
            </w:r>
          </w:p>
        </w:tc>
        <w:tc>
          <w:tcPr>
            <w:tcW w:type="dxa" w:w="1134"/>
            <w:tcMar>
              <w:top w:w="45" w:type="dxa"/>
              <w:start w:w="50" w:type="dxa"/>
              <w:bottom w:w="45" w:type="dxa"/>
              <w:end w:w="50" w:type="dxa"/>
            </w:tcMar>
            <w:vAlign w:val="top"/>
          </w:tcPr>
          <w:p>
            <w:r>
              <w:rPr>
                <w:rFonts w:ascii="Noto Sans" w:hAnsi="Noto Sans"/>
                <w:color w:val="2C2C2E"/>
                <w:sz w:val="11"/>
              </w:rPr>
              <w:t>hoch</w:t>
            </w:r>
          </w:p>
        </w:tc>
        <w:tc>
          <w:tcPr>
            <w:tcW w:type="dxa" w:w="1814"/>
            <w:tcMar>
              <w:top w:w="45" w:type="dxa"/>
              <w:start w:w="50" w:type="dxa"/>
              <w:bottom w:w="45" w:type="dxa"/>
              <w:end w:w="50" w:type="dxa"/>
            </w:tcMar>
            <w:vAlign w:val="top"/>
          </w:tcPr>
          <w:p>
            <w:r>
              <w:rPr>
                <w:rFonts w:ascii="Noto Sans" w:hAnsi="Noto Sans"/>
                <w:color w:val="2C2C2E"/>
                <w:sz w:val="11"/>
              </w:rPr>
              <w:t>Gesundheit, Konsummuster</w:t>
            </w:r>
          </w:p>
        </w:tc>
        <w:tc>
          <w:tcPr>
            <w:tcW w:type="dxa" w:w="2948"/>
            <w:tcMar>
              <w:top w:w="45" w:type="dxa"/>
              <w:start w:w="50" w:type="dxa"/>
              <w:bottom w:w="45" w:type="dxa"/>
              <w:end w:w="50" w:type="dxa"/>
            </w:tcMar>
            <w:vAlign w:val="top"/>
          </w:tcPr>
          <w:p>
            <w:r>
              <w:rPr>
                <w:rFonts w:ascii="Noto Sans" w:hAnsi="Noto Sans"/>
                <w:color w:val="2C2C2E"/>
                <w:sz w:val="11"/>
              </w:rPr>
              <w:t>Wirkungsbezug möglich, aber EU-Verbrauchsteuerrecht und Gleichbehandlung prüfen.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Einfuhrumsatzsteuer</w:t>
            </w:r>
          </w:p>
        </w:tc>
        <w:tc>
          <w:tcPr>
            <w:tcW w:type="dxa" w:w="1757"/>
            <w:tcMar>
              <w:top w:w="45" w:type="dxa"/>
              <w:start w:w="50" w:type="dxa"/>
              <w:bottom w:w="45" w:type="dxa"/>
              <w:end w:w="50" w:type="dxa"/>
            </w:tcMar>
            <w:vAlign w:val="top"/>
            <w:shd w:fill="FAF9F7"/>
          </w:tcPr>
          <w:p>
            <w:r>
              <w:rPr>
                <w:rFonts w:ascii="Noto Sans" w:hAnsi="Noto Sans"/>
                <w:color w:val="2C2C2E"/>
                <w:sz w:val="11"/>
              </w:rPr>
              <w:t>Bund/Länder/EU; Umsatz</w:t>
            </w:r>
          </w:p>
        </w:tc>
        <w:tc>
          <w:tcPr>
            <w:tcW w:type="dxa" w:w="1134"/>
            <w:tcMar>
              <w:top w:w="45" w:type="dxa"/>
              <w:start w:w="50" w:type="dxa"/>
              <w:bottom w:w="45" w:type="dxa"/>
              <w:end w:w="50" w:type="dxa"/>
            </w:tcMar>
            <w:vAlign w:val="top"/>
            <w:shd w:fill="FAF9F7"/>
          </w:tcPr>
          <w:p>
            <w:r>
              <w:rPr>
                <w:rFonts w:ascii="Noto Sans" w:hAnsi="Noto Sans"/>
                <w:color w:val="2C2C2E"/>
                <w:sz w:val="11"/>
              </w:rPr>
              <w:t>hoch, rechtlich begrenzt</w:t>
            </w:r>
          </w:p>
        </w:tc>
        <w:tc>
          <w:tcPr>
            <w:tcW w:type="dxa" w:w="1814"/>
            <w:tcMar>
              <w:top w:w="45" w:type="dxa"/>
              <w:start w:w="50" w:type="dxa"/>
              <w:bottom w:w="45" w:type="dxa"/>
              <w:end w:w="50" w:type="dxa"/>
            </w:tcMar>
            <w:vAlign w:val="top"/>
            <w:shd w:fill="FAF9F7"/>
          </w:tcPr>
          <w:p>
            <w:r>
              <w:rPr>
                <w:rFonts w:ascii="Noto Sans" w:hAnsi="Noto Sans"/>
                <w:color w:val="2C2C2E"/>
                <w:sz w:val="11"/>
              </w:rPr>
              <w:t>Import-/Produktwirkung</w:t>
            </w:r>
          </w:p>
        </w:tc>
        <w:tc>
          <w:tcPr>
            <w:tcW w:type="dxa" w:w="2948"/>
            <w:tcMar>
              <w:top w:w="45" w:type="dxa"/>
              <w:start w:w="50" w:type="dxa"/>
              <w:bottom w:w="45" w:type="dxa"/>
              <w:end w:w="50" w:type="dxa"/>
            </w:tcMar>
            <w:vAlign w:val="top"/>
            <w:shd w:fill="FAF9F7"/>
          </w:tcPr>
          <w:p>
            <w:r>
              <w:rPr>
                <w:rFonts w:ascii="Noto Sans" w:hAnsi="Noto Sans"/>
                <w:color w:val="2C2C2E"/>
                <w:sz w:val="11"/>
              </w:rPr>
              <w:t>Nicht als nationaler Wirkungsgrenzzoll missverstehen. Anschluss an EU-VAT, Produktdaten, CBAM/DPP; Diskriminierungsverbot beachten.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Einkommensteuer</w:t>
            </w:r>
          </w:p>
        </w:tc>
        <w:tc>
          <w:tcPr>
            <w:tcW w:type="dxa" w:w="1757"/>
            <w:tcMar>
              <w:top w:w="45" w:type="dxa"/>
              <w:start w:w="50" w:type="dxa"/>
              <w:bottom w:w="45" w:type="dxa"/>
              <w:end w:w="50" w:type="dxa"/>
            </w:tcMar>
            <w:vAlign w:val="top"/>
          </w:tcPr>
          <w:p>
            <w:r>
              <w:rPr>
                <w:rFonts w:ascii="Noto Sans" w:hAnsi="Noto Sans"/>
                <w:color w:val="2C2C2E"/>
                <w:sz w:val="11"/>
              </w:rPr>
              <w:t>Gemeinschaftsteuer</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Tätigkeit, Aufwendungen, Prävention, gesellschaftliche Wirkleistung</w:t>
            </w:r>
          </w:p>
        </w:tc>
        <w:tc>
          <w:tcPr>
            <w:tcW w:type="dxa" w:w="2948"/>
            <w:tcMar>
              <w:top w:w="45" w:type="dxa"/>
              <w:start w:w="50" w:type="dxa"/>
              <w:bottom w:w="45" w:type="dxa"/>
              <w:end w:w="50" w:type="dxa"/>
            </w:tcMar>
            <w:vAlign w:val="top"/>
          </w:tcPr>
          <w:p>
            <w:r>
              <w:rPr>
                <w:rFonts w:ascii="Noto Sans" w:hAnsi="Noto Sans"/>
                <w:color w:val="2C2C2E"/>
                <w:sz w:val="11"/>
              </w:rPr>
              <w:t>Leistungsfähigkeit bleibt Primärmaßstab. Nur objektive Abzüge/Gutschriften/Paare von Tatbestand und Nachweis; keine persönliche Wirkungsnote.</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Energiesteuer</w:t>
            </w:r>
          </w:p>
        </w:tc>
        <w:tc>
          <w:tcPr>
            <w:tcW w:type="dxa" w:w="1757"/>
            <w:tcMar>
              <w:top w:w="45" w:type="dxa"/>
              <w:start w:w="50" w:type="dxa"/>
              <w:bottom w:w="45" w:type="dxa"/>
              <w:end w:w="50" w:type="dxa"/>
            </w:tcMar>
            <w:vAlign w:val="top"/>
            <w:shd w:fill="FAF9F7"/>
          </w:tcPr>
          <w:p>
            <w:r>
              <w:rPr>
                <w:rFonts w:ascii="Noto Sans" w:hAnsi="Noto Sans"/>
                <w:color w:val="2C2C2E"/>
                <w:sz w:val="11"/>
              </w:rPr>
              <w:t>Bund/EU-harmonisiert; Verbrauch</w:t>
            </w:r>
          </w:p>
        </w:tc>
        <w:tc>
          <w:tcPr>
            <w:tcW w:type="dxa" w:w="1134"/>
            <w:tcMar>
              <w:top w:w="45" w:type="dxa"/>
              <w:start w:w="50" w:type="dxa"/>
              <w:bottom w:w="45" w:type="dxa"/>
              <w:end w:w="50" w:type="dxa"/>
            </w:tcMar>
            <w:vAlign w:val="top"/>
            <w:shd w:fill="FAF9F7"/>
          </w:tcPr>
          <w:p>
            <w:r>
              <w:rPr>
                <w:rFonts w:ascii="Noto Sans" w:hAnsi="Noto Sans"/>
                <w:color w:val="2C2C2E"/>
                <w:sz w:val="11"/>
              </w:rPr>
              <w:t>sehr hoch</w:t>
            </w:r>
          </w:p>
        </w:tc>
        <w:tc>
          <w:tcPr>
            <w:tcW w:type="dxa" w:w="1814"/>
            <w:tcMar>
              <w:top w:w="45" w:type="dxa"/>
              <w:start w:w="50" w:type="dxa"/>
              <w:bottom w:w="45" w:type="dxa"/>
              <w:end w:w="50" w:type="dxa"/>
            </w:tcMar>
            <w:vAlign w:val="top"/>
            <w:shd w:fill="FAF9F7"/>
          </w:tcPr>
          <w:p>
            <w:r>
              <w:rPr>
                <w:rFonts w:ascii="Noto Sans" w:hAnsi="Noto Sans"/>
                <w:color w:val="2C2C2E"/>
                <w:sz w:val="11"/>
              </w:rPr>
              <w:t>Klima, Luft, Versorgung, Ressourcen</w:t>
            </w:r>
          </w:p>
        </w:tc>
        <w:tc>
          <w:tcPr>
            <w:tcW w:type="dxa" w:w="2948"/>
            <w:tcMar>
              <w:top w:w="45" w:type="dxa"/>
              <w:start w:w="50" w:type="dxa"/>
              <w:bottom w:w="45" w:type="dxa"/>
              <w:end w:w="50" w:type="dxa"/>
            </w:tcMar>
            <w:vAlign w:val="top"/>
            <w:shd w:fill="FAF9F7"/>
          </w:tcPr>
          <w:p>
            <w:r>
              <w:rPr>
                <w:rFonts w:ascii="Noto Sans" w:hAnsi="Noto Sans"/>
                <w:color w:val="2C2C2E"/>
                <w:sz w:val="11"/>
              </w:rPr>
              <w:t>Kernmodul. Bestehende CO₂-/ETS-/Energiepreise und Doppelbepreisung prüfen; technologie- und wirkungsbezogene Kalibrierung.</w:t>
            </w:r>
          </w:p>
        </w:tc>
      </w:tr>
      <w:tr>
        <w:trPr>
          <w:cantSplit/>
        </w:trPr>
        <w:tc>
          <w:tcPr>
            <w:tcW w:type="dxa" w:w="1757"/>
            <w:tcMar>
              <w:top w:w="45" w:type="dxa"/>
              <w:start w:w="50" w:type="dxa"/>
              <w:bottom w:w="45" w:type="dxa"/>
              <w:end w:w="50" w:type="dxa"/>
            </w:tcMar>
            <w:vAlign w:val="top"/>
          </w:tcPr>
          <w:p>
            <w:r>
              <w:rPr>
                <w:rFonts w:ascii="Noto Sans" w:hAnsi="Noto Sans"/>
                <w:color w:val="2C2C2E"/>
                <w:sz w:val="11"/>
              </w:rPr>
              <w:t>Erbschaft-/Schenkungsteuer</w:t>
            </w:r>
          </w:p>
        </w:tc>
        <w:tc>
          <w:tcPr>
            <w:tcW w:type="dxa" w:w="1757"/>
            <w:tcMar>
              <w:top w:w="45" w:type="dxa"/>
              <w:start w:w="50" w:type="dxa"/>
              <w:bottom w:w="45" w:type="dxa"/>
              <w:end w:w="50" w:type="dxa"/>
            </w:tcMar>
            <w:vAlign w:val="top"/>
          </w:tcPr>
          <w:p>
            <w:r>
              <w:rPr>
                <w:rFonts w:ascii="Noto Sans" w:hAnsi="Noto Sans"/>
                <w:color w:val="2C2C2E"/>
                <w:sz w:val="11"/>
              </w:rPr>
              <w:t>Länder; Vermögensübergang</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Langfristige Kapitalbindung, Unternehmensfortführung, Gemeinwohlbindung</w:t>
            </w:r>
          </w:p>
        </w:tc>
        <w:tc>
          <w:tcPr>
            <w:tcW w:type="dxa" w:w="2948"/>
            <w:tcMar>
              <w:top w:w="45" w:type="dxa"/>
              <w:start w:w="50" w:type="dxa"/>
              <w:bottom w:w="45" w:type="dxa"/>
              <w:end w:w="50" w:type="dxa"/>
            </w:tcMar>
            <w:vAlign w:val="top"/>
          </w:tcPr>
          <w:p>
            <w:r>
              <w:rPr>
                <w:rFonts w:ascii="Noto Sans" w:hAnsi="Noto Sans"/>
                <w:color w:val="2C2C2E"/>
                <w:sz w:val="11"/>
              </w:rPr>
              <w:t>Wirkung über konkrete Bindungen/Investitionsauflagen denkbar; Eigentums-, Erbrechts- und Gleichheitsprüfung zentral.</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Feuerschutzsteuer</w:t>
            </w:r>
          </w:p>
        </w:tc>
        <w:tc>
          <w:tcPr>
            <w:tcW w:type="dxa" w:w="1757"/>
            <w:tcMar>
              <w:top w:w="45" w:type="dxa"/>
              <w:start w:w="50" w:type="dxa"/>
              <w:bottom w:w="45" w:type="dxa"/>
              <w:end w:w="50" w:type="dxa"/>
            </w:tcMar>
            <w:vAlign w:val="top"/>
            <w:shd w:fill="FAF9F7"/>
          </w:tcPr>
          <w:p>
            <w:r>
              <w:rPr>
                <w:rFonts w:ascii="Noto Sans" w:hAnsi="Noto Sans"/>
                <w:color w:val="2C2C2E"/>
                <w:sz w:val="11"/>
              </w:rPr>
              <w:t>Länder; Versicherung</w:t>
            </w:r>
          </w:p>
        </w:tc>
        <w:tc>
          <w:tcPr>
            <w:tcW w:type="dxa" w:w="1134"/>
            <w:tcMar>
              <w:top w:w="45" w:type="dxa"/>
              <w:start w:w="50" w:type="dxa"/>
              <w:bottom w:w="45" w:type="dxa"/>
              <w:end w:w="50" w:type="dxa"/>
            </w:tcMar>
            <w:vAlign w:val="top"/>
            <w:shd w:fill="FAF9F7"/>
          </w:tcPr>
          <w:p>
            <w:r>
              <w:rPr>
                <w:rFonts w:ascii="Noto Sans" w:hAnsi="Noto Sans"/>
                <w:color w:val="2C2C2E"/>
                <w:sz w:val="11"/>
              </w:rPr>
              <w:t>niedrig</w:t>
            </w:r>
          </w:p>
        </w:tc>
        <w:tc>
          <w:tcPr>
            <w:tcW w:type="dxa" w:w="1814"/>
            <w:tcMar>
              <w:top w:w="45" w:type="dxa"/>
              <w:start w:w="50" w:type="dxa"/>
              <w:bottom w:w="45" w:type="dxa"/>
              <w:end w:w="50" w:type="dxa"/>
            </w:tcMar>
            <w:vAlign w:val="top"/>
            <w:shd w:fill="FAF9F7"/>
          </w:tcPr>
          <w:p>
            <w:r>
              <w:rPr>
                <w:rFonts w:ascii="Noto Sans" w:hAnsi="Noto Sans"/>
                <w:color w:val="2C2C2E"/>
                <w:sz w:val="11"/>
              </w:rPr>
              <w:t>Prävention/Feuerschutzfinanzierung</w:t>
            </w:r>
          </w:p>
        </w:tc>
        <w:tc>
          <w:tcPr>
            <w:tcW w:type="dxa" w:w="2948"/>
            <w:tcMar>
              <w:top w:w="45" w:type="dxa"/>
              <w:start w:w="50" w:type="dxa"/>
              <w:bottom w:w="45" w:type="dxa"/>
              <w:end w:w="50" w:type="dxa"/>
            </w:tcMar>
            <w:vAlign w:val="top"/>
            <w:shd w:fill="FAF9F7"/>
          </w:tcPr>
          <w:p>
            <w:r>
              <w:rPr>
                <w:rFonts w:ascii="Noto Sans" w:hAnsi="Noto Sans"/>
                <w:color w:val="2C2C2E"/>
                <w:sz w:val="11"/>
              </w:rPr>
              <w:t>Bereits eng zweckbezogen. WÖk nur als Evaluation der Präventionswirkung, nicht zwingend Tarifdifferenzierung.</w:t>
            </w:r>
          </w:p>
        </w:tc>
      </w:tr>
      <w:tr>
        <w:trPr>
          <w:cantSplit/>
        </w:trPr>
        <w:tc>
          <w:tcPr>
            <w:tcW w:type="dxa" w:w="1757"/>
            <w:tcMar>
              <w:top w:w="45" w:type="dxa"/>
              <w:start w:w="50" w:type="dxa"/>
              <w:bottom w:w="45" w:type="dxa"/>
              <w:end w:w="50" w:type="dxa"/>
            </w:tcMar>
            <w:vAlign w:val="top"/>
          </w:tcPr>
          <w:p>
            <w:r>
              <w:rPr>
                <w:rFonts w:ascii="Noto Sans" w:hAnsi="Noto Sans"/>
                <w:color w:val="2C2C2E"/>
                <w:sz w:val="11"/>
              </w:rPr>
              <w:t>Getränkesteuer</w:t>
            </w:r>
          </w:p>
        </w:tc>
        <w:tc>
          <w:tcPr>
            <w:tcW w:type="dxa" w:w="1757"/>
            <w:tcMar>
              <w:top w:w="45" w:type="dxa"/>
              <w:start w:w="50" w:type="dxa"/>
              <w:bottom w:w="45" w:type="dxa"/>
              <w:end w:w="50" w:type="dxa"/>
            </w:tcMar>
            <w:vAlign w:val="top"/>
          </w:tcPr>
          <w:p>
            <w:r>
              <w:rPr>
                <w:rFonts w:ascii="Noto Sans" w:hAnsi="Noto Sans"/>
                <w:color w:val="2C2C2E"/>
                <w:sz w:val="11"/>
              </w:rPr>
              <w:t>kommunal, soweit erhoben</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Abfall, Verpackung, Gesundheit lokal</w:t>
            </w:r>
          </w:p>
        </w:tc>
        <w:tc>
          <w:tcPr>
            <w:tcW w:type="dxa" w:w="2948"/>
            <w:tcMar>
              <w:top w:w="45" w:type="dxa"/>
              <w:start w:w="50" w:type="dxa"/>
              <w:bottom w:w="45" w:type="dxa"/>
              <w:end w:w="50" w:type="dxa"/>
            </w:tcMar>
            <w:vAlign w:val="top"/>
          </w:tcPr>
          <w:p>
            <w:r>
              <w:rPr>
                <w:rFonts w:ascii="Noto Sans" w:hAnsi="Noto Sans"/>
                <w:color w:val="2C2C2E"/>
                <w:sz w:val="11"/>
              </w:rPr>
              <w:t>Lokales Pilotfeld möglich; Satzungs- und Landesrecht, örtlicher Tatbestand, Administrierbarkeit prüfen.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Gewerbesteuer</w:t>
            </w:r>
          </w:p>
        </w:tc>
        <w:tc>
          <w:tcPr>
            <w:tcW w:type="dxa" w:w="1757"/>
            <w:tcMar>
              <w:top w:w="45" w:type="dxa"/>
              <w:start w:w="50" w:type="dxa"/>
              <w:bottom w:w="45" w:type="dxa"/>
              <w:end w:w="50" w:type="dxa"/>
            </w:tcMar>
            <w:vAlign w:val="top"/>
            <w:shd w:fill="FAF9F7"/>
          </w:tcPr>
          <w:p>
            <w:r>
              <w:rPr>
                <w:rFonts w:ascii="Noto Sans" w:hAnsi="Noto Sans"/>
                <w:color w:val="2C2C2E"/>
                <w:sz w:val="11"/>
              </w:rPr>
              <w:t>Gemeinden</w:t>
            </w:r>
          </w:p>
        </w:tc>
        <w:tc>
          <w:tcPr>
            <w:tcW w:type="dxa" w:w="1134"/>
            <w:tcMar>
              <w:top w:w="45" w:type="dxa"/>
              <w:start w:w="50" w:type="dxa"/>
              <w:bottom w:w="45" w:type="dxa"/>
              <w:end w:w="50" w:type="dxa"/>
            </w:tcMar>
            <w:vAlign w:val="top"/>
            <w:shd w:fill="FAF9F7"/>
          </w:tcPr>
          <w:p>
            <w:r>
              <w:rPr>
                <w:rFonts w:ascii="Noto Sans" w:hAnsi="Noto Sans"/>
                <w:color w:val="2C2C2E"/>
                <w:sz w:val="11"/>
              </w:rPr>
              <w:t>mittel bis hoch</w:t>
            </w:r>
          </w:p>
        </w:tc>
        <w:tc>
          <w:tcPr>
            <w:tcW w:type="dxa" w:w="1814"/>
            <w:tcMar>
              <w:top w:w="45" w:type="dxa"/>
              <w:start w:w="50" w:type="dxa"/>
              <w:bottom w:w="45" w:type="dxa"/>
              <w:end w:w="50" w:type="dxa"/>
            </w:tcMar>
            <w:vAlign w:val="top"/>
            <w:shd w:fill="FAF9F7"/>
          </w:tcPr>
          <w:p>
            <w:r>
              <w:rPr>
                <w:rFonts w:ascii="Noto Sans" w:hAnsi="Noto Sans"/>
                <w:color w:val="2C2C2E"/>
                <w:sz w:val="11"/>
              </w:rPr>
              <w:t>lokale Unternehmenswirkung, Standort, Arbeit, Fläche</w:t>
            </w:r>
          </w:p>
        </w:tc>
        <w:tc>
          <w:tcPr>
            <w:tcW w:type="dxa" w:w="2948"/>
            <w:tcMar>
              <w:top w:w="45" w:type="dxa"/>
              <w:start w:w="50" w:type="dxa"/>
              <w:bottom w:w="45" w:type="dxa"/>
              <w:end w:w="50" w:type="dxa"/>
            </w:tcMar>
            <w:vAlign w:val="top"/>
            <w:shd w:fill="FAF9F7"/>
          </w:tcPr>
          <w:p>
            <w:r>
              <w:rPr>
                <w:rFonts w:ascii="Noto Sans" w:hAnsi="Noto Sans"/>
                <w:color w:val="2C2C2E"/>
                <w:sz w:val="11"/>
              </w:rPr>
              <w:t>Kommunales Wirkungsmodul nur mit planbarer Bemessungsbasis, begrenztem Korridor und Bund/Länder-Rechtsrahmen; keine freie Gemeinwohlbewertung.</w:t>
            </w:r>
          </w:p>
        </w:tc>
      </w:tr>
      <w:tr>
        <w:trPr>
          <w:cantSplit/>
        </w:trPr>
        <w:tc>
          <w:tcPr>
            <w:tcW w:type="dxa" w:w="1757"/>
            <w:tcMar>
              <w:top w:w="45" w:type="dxa"/>
              <w:start w:w="50" w:type="dxa"/>
              <w:bottom w:w="45" w:type="dxa"/>
              <w:end w:w="50" w:type="dxa"/>
            </w:tcMar>
            <w:vAlign w:val="top"/>
          </w:tcPr>
          <w:p>
            <w:r>
              <w:rPr>
                <w:rFonts w:ascii="Noto Sans" w:hAnsi="Noto Sans"/>
                <w:color w:val="2C2C2E"/>
                <w:sz w:val="11"/>
              </w:rPr>
              <w:t>Grunderwerbsteuer</w:t>
            </w:r>
          </w:p>
        </w:tc>
        <w:tc>
          <w:tcPr>
            <w:tcW w:type="dxa" w:w="1757"/>
            <w:tcMar>
              <w:top w:w="45" w:type="dxa"/>
              <w:start w:w="50" w:type="dxa"/>
              <w:bottom w:w="45" w:type="dxa"/>
              <w:end w:w="50" w:type="dxa"/>
            </w:tcMar>
            <w:vAlign w:val="top"/>
          </w:tcPr>
          <w:p>
            <w:r>
              <w:rPr>
                <w:rFonts w:ascii="Noto Sans" w:hAnsi="Noto Sans"/>
                <w:color w:val="2C2C2E"/>
                <w:sz w:val="11"/>
              </w:rPr>
              <w:t>Länder</w:t>
            </w:r>
          </w:p>
        </w:tc>
        <w:tc>
          <w:tcPr>
            <w:tcW w:type="dxa" w:w="1134"/>
            <w:tcMar>
              <w:top w:w="45" w:type="dxa"/>
              <w:start w:w="50" w:type="dxa"/>
              <w:bottom w:w="45" w:type="dxa"/>
              <w:end w:w="50" w:type="dxa"/>
            </w:tcMar>
            <w:vAlign w:val="top"/>
          </w:tcPr>
          <w:p>
            <w:r>
              <w:rPr>
                <w:rFonts w:ascii="Noto Sans" w:hAnsi="Noto Sans"/>
                <w:color w:val="2C2C2E"/>
                <w:sz w:val="11"/>
              </w:rPr>
              <w:t>mittel bis hoch</w:t>
            </w:r>
          </w:p>
        </w:tc>
        <w:tc>
          <w:tcPr>
            <w:tcW w:type="dxa" w:w="1814"/>
            <w:tcMar>
              <w:top w:w="45" w:type="dxa"/>
              <w:start w:w="50" w:type="dxa"/>
              <w:bottom w:w="45" w:type="dxa"/>
              <w:end w:w="50" w:type="dxa"/>
            </w:tcMar>
            <w:vAlign w:val="top"/>
          </w:tcPr>
          <w:p>
            <w:r>
              <w:rPr>
                <w:rFonts w:ascii="Noto Sans" w:hAnsi="Noto Sans"/>
                <w:color w:val="2C2C2E"/>
                <w:sz w:val="11"/>
              </w:rPr>
              <w:t>Flächennutzung, Bestand/Sanierung, Spekulation</w:t>
            </w:r>
          </w:p>
        </w:tc>
        <w:tc>
          <w:tcPr>
            <w:tcW w:type="dxa" w:w="2948"/>
            <w:tcMar>
              <w:top w:w="45" w:type="dxa"/>
              <w:start w:w="50" w:type="dxa"/>
              <w:bottom w:w="45" w:type="dxa"/>
              <w:end w:w="50" w:type="dxa"/>
            </w:tcMar>
            <w:vAlign w:val="top"/>
          </w:tcPr>
          <w:p>
            <w:r>
              <w:rPr>
                <w:rFonts w:ascii="Noto Sans" w:hAnsi="Noto Sans"/>
                <w:color w:val="2C2C2E"/>
                <w:sz w:val="11"/>
              </w:rPr>
              <w:t>Differenzierung über objektive Erwerbs-/Nutzungsmerkmale denkbar; Transaktionshemmnisse, Wohnungsmarkt und Umgehung prüfen.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Grundsteuer</w:t>
            </w:r>
          </w:p>
        </w:tc>
        <w:tc>
          <w:tcPr>
            <w:tcW w:type="dxa" w:w="1757"/>
            <w:tcMar>
              <w:top w:w="45" w:type="dxa"/>
              <w:start w:w="50" w:type="dxa"/>
              <w:bottom w:w="45" w:type="dxa"/>
              <w:end w:w="50" w:type="dxa"/>
            </w:tcMar>
            <w:vAlign w:val="top"/>
            <w:shd w:fill="FAF9F7"/>
          </w:tcPr>
          <w:p>
            <w:r>
              <w:rPr>
                <w:rFonts w:ascii="Noto Sans" w:hAnsi="Noto Sans"/>
                <w:color w:val="2C2C2E"/>
                <w:sz w:val="11"/>
              </w:rPr>
              <w:t>Gemeinden</w:t>
            </w:r>
          </w:p>
        </w:tc>
        <w:tc>
          <w:tcPr>
            <w:tcW w:type="dxa" w:w="1134"/>
            <w:tcMar>
              <w:top w:w="45" w:type="dxa"/>
              <w:start w:w="50" w:type="dxa"/>
              <w:bottom w:w="45" w:type="dxa"/>
              <w:end w:w="50" w:type="dxa"/>
            </w:tcMar>
            <w:vAlign w:val="top"/>
            <w:shd w:fill="FAF9F7"/>
          </w:tcPr>
          <w:p>
            <w:r>
              <w:rPr>
                <w:rFonts w:ascii="Noto Sans" w:hAnsi="Noto Sans"/>
                <w:color w:val="2C2C2E"/>
                <w:sz w:val="11"/>
              </w:rPr>
              <w:t>mittel</w:t>
            </w:r>
          </w:p>
        </w:tc>
        <w:tc>
          <w:tcPr>
            <w:tcW w:type="dxa" w:w="1814"/>
            <w:tcMar>
              <w:top w:w="45" w:type="dxa"/>
              <w:start w:w="50" w:type="dxa"/>
              <w:bottom w:w="45" w:type="dxa"/>
              <w:end w:w="50" w:type="dxa"/>
            </w:tcMar>
            <w:vAlign w:val="top"/>
            <w:shd w:fill="FAF9F7"/>
          </w:tcPr>
          <w:p>
            <w:r>
              <w:rPr>
                <w:rFonts w:ascii="Noto Sans" w:hAnsi="Noto Sans"/>
                <w:color w:val="2C2C2E"/>
                <w:sz w:val="11"/>
              </w:rPr>
              <w:t>Fläche, Boden, Nutzung, Versiegelung</w:t>
            </w:r>
          </w:p>
        </w:tc>
        <w:tc>
          <w:tcPr>
            <w:tcW w:type="dxa" w:w="2948"/>
            <w:tcMar>
              <w:top w:w="45" w:type="dxa"/>
              <w:start w:w="50" w:type="dxa"/>
              <w:bottom w:w="45" w:type="dxa"/>
              <w:end w:w="50" w:type="dxa"/>
            </w:tcMar>
            <w:vAlign w:val="top"/>
            <w:shd w:fill="FAF9F7"/>
          </w:tcPr>
          <w:p>
            <w:r>
              <w:rPr>
                <w:rFonts w:ascii="Noto Sans" w:hAnsi="Noto Sans"/>
                <w:color w:val="2C2C2E"/>
                <w:sz w:val="11"/>
              </w:rPr>
              <w:t>Ergänzende kommunale Lenkungslogik möglich, aber Hauptfunktion stabile kommunale Einnahme sichern; Daten- und Verfassungsfestigkeit zentral.</w:t>
            </w:r>
          </w:p>
        </w:tc>
      </w:tr>
      <w:tr>
        <w:trPr>
          <w:cantSplit/>
        </w:trPr>
        <w:tc>
          <w:tcPr>
            <w:tcW w:type="dxa" w:w="1757"/>
            <w:tcMar>
              <w:top w:w="45" w:type="dxa"/>
              <w:start w:w="50" w:type="dxa"/>
              <w:bottom w:w="45" w:type="dxa"/>
              <w:end w:w="50" w:type="dxa"/>
            </w:tcMar>
            <w:vAlign w:val="top"/>
          </w:tcPr>
          <w:p>
            <w:r>
              <w:rPr>
                <w:rFonts w:ascii="Noto Sans" w:hAnsi="Noto Sans"/>
                <w:color w:val="2C2C2E"/>
                <w:sz w:val="11"/>
              </w:rPr>
              <w:t>Hundesteuer</w:t>
            </w:r>
          </w:p>
        </w:tc>
        <w:tc>
          <w:tcPr>
            <w:tcW w:type="dxa" w:w="1757"/>
            <w:tcMar>
              <w:top w:w="45" w:type="dxa"/>
              <w:start w:w="50" w:type="dxa"/>
              <w:bottom w:w="45" w:type="dxa"/>
              <w:end w:w="50" w:type="dxa"/>
            </w:tcMar>
            <w:vAlign w:val="top"/>
          </w:tcPr>
          <w:p>
            <w:r>
              <w:rPr>
                <w:rFonts w:ascii="Noto Sans" w:hAnsi="Noto Sans"/>
                <w:color w:val="2C2C2E"/>
                <w:sz w:val="11"/>
              </w:rPr>
              <w:t>Gemeinden</w:t>
            </w:r>
          </w:p>
        </w:tc>
        <w:tc>
          <w:tcPr>
            <w:tcW w:type="dxa" w:w="1134"/>
            <w:tcMar>
              <w:top w:w="45" w:type="dxa"/>
              <w:start w:w="50" w:type="dxa"/>
              <w:bottom w:w="45" w:type="dxa"/>
              <w:end w:w="50" w:type="dxa"/>
            </w:tcMar>
            <w:vAlign w:val="top"/>
          </w:tcPr>
          <w:p>
            <w:r>
              <w:rPr>
                <w:rFonts w:ascii="Noto Sans" w:hAnsi="Noto Sans"/>
                <w:color w:val="2C2C2E"/>
                <w:sz w:val="11"/>
              </w:rPr>
              <w:t>niedrig</w:t>
            </w:r>
          </w:p>
        </w:tc>
        <w:tc>
          <w:tcPr>
            <w:tcW w:type="dxa" w:w="1814"/>
            <w:tcMar>
              <w:top w:w="45" w:type="dxa"/>
              <w:start w:w="50" w:type="dxa"/>
              <w:bottom w:w="45" w:type="dxa"/>
              <w:end w:w="50" w:type="dxa"/>
            </w:tcMar>
            <w:vAlign w:val="top"/>
          </w:tcPr>
          <w:p>
            <w:r>
              <w:rPr>
                <w:rFonts w:ascii="Noto Sans" w:hAnsi="Noto Sans"/>
                <w:color w:val="2C2C2E"/>
                <w:sz w:val="11"/>
              </w:rPr>
              <w:t>lokale Ordnung/Lenkung</w:t>
            </w:r>
          </w:p>
        </w:tc>
        <w:tc>
          <w:tcPr>
            <w:tcW w:type="dxa" w:w="2948"/>
            <w:tcMar>
              <w:top w:w="45" w:type="dxa"/>
              <w:start w:w="50" w:type="dxa"/>
              <w:bottom w:w="45" w:type="dxa"/>
              <w:end w:w="50" w:type="dxa"/>
            </w:tcMar>
            <w:vAlign w:val="top"/>
          </w:tcPr>
          <w:p>
            <w:r>
              <w:rPr>
                <w:rFonts w:ascii="Noto Sans" w:hAnsi="Noto Sans"/>
                <w:color w:val="2C2C2E"/>
                <w:sz w:val="11"/>
              </w:rPr>
              <w:t>Kein WÖk-Schwerpunkt. Nur spezifische lokale Ziele; keine künstliche MPD-Komplexität.</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Jagd-/Fischereisteuer</w:t>
            </w:r>
          </w:p>
        </w:tc>
        <w:tc>
          <w:tcPr>
            <w:tcW w:type="dxa" w:w="1757"/>
            <w:tcMar>
              <w:top w:w="45" w:type="dxa"/>
              <w:start w:w="50" w:type="dxa"/>
              <w:bottom w:w="45" w:type="dxa"/>
              <w:end w:w="50" w:type="dxa"/>
            </w:tcMar>
            <w:vAlign w:val="top"/>
            <w:shd w:fill="FAF9F7"/>
          </w:tcPr>
          <w:p>
            <w:r>
              <w:rPr>
                <w:rFonts w:ascii="Noto Sans" w:hAnsi="Noto Sans"/>
                <w:color w:val="2C2C2E"/>
                <w:sz w:val="11"/>
              </w:rPr>
              <w:t>kommunal/Land, soweit erhoben</w:t>
            </w:r>
          </w:p>
        </w:tc>
        <w:tc>
          <w:tcPr>
            <w:tcW w:type="dxa" w:w="1134"/>
            <w:tcMar>
              <w:top w:w="45" w:type="dxa"/>
              <w:start w:w="50" w:type="dxa"/>
              <w:bottom w:w="45" w:type="dxa"/>
              <w:end w:w="50" w:type="dxa"/>
            </w:tcMar>
            <w:vAlign w:val="top"/>
            <w:shd w:fill="FAF9F7"/>
          </w:tcPr>
          <w:p>
            <w:r>
              <w:rPr>
                <w:rFonts w:ascii="Noto Sans" w:hAnsi="Noto Sans"/>
                <w:color w:val="2C2C2E"/>
                <w:sz w:val="11"/>
              </w:rPr>
              <w:t>mittel</w:t>
            </w:r>
          </w:p>
        </w:tc>
        <w:tc>
          <w:tcPr>
            <w:tcW w:type="dxa" w:w="1814"/>
            <w:tcMar>
              <w:top w:w="45" w:type="dxa"/>
              <w:start w:w="50" w:type="dxa"/>
              <w:bottom w:w="45" w:type="dxa"/>
              <w:end w:w="50" w:type="dxa"/>
            </w:tcMar>
            <w:vAlign w:val="top"/>
            <w:shd w:fill="FAF9F7"/>
          </w:tcPr>
          <w:p>
            <w:r>
              <w:rPr>
                <w:rFonts w:ascii="Noto Sans" w:hAnsi="Noto Sans"/>
                <w:color w:val="2C2C2E"/>
                <w:sz w:val="11"/>
              </w:rPr>
              <w:t>Biodiversität, Nutzung natürlicher Bestände</w:t>
            </w:r>
          </w:p>
        </w:tc>
        <w:tc>
          <w:tcPr>
            <w:tcW w:type="dxa" w:w="2948"/>
            <w:tcMar>
              <w:top w:w="45" w:type="dxa"/>
              <w:start w:w="50" w:type="dxa"/>
              <w:bottom w:w="45" w:type="dxa"/>
              <w:end w:w="50" w:type="dxa"/>
            </w:tcMar>
            <w:vAlign w:val="top"/>
            <w:shd w:fill="FAF9F7"/>
          </w:tcPr>
          <w:p>
            <w:r>
              <w:rPr>
                <w:rFonts w:ascii="Noto Sans" w:hAnsi="Noto Sans"/>
                <w:color w:val="2C2C2E"/>
                <w:sz w:val="11"/>
              </w:rPr>
              <w:t>Potenzial bei ökologisch tragfähiger Jagd/Fischerei; Fachrecht und Populationsmanagement sind primär.</w:t>
            </w:r>
          </w:p>
        </w:tc>
      </w:tr>
      <w:tr>
        <w:trPr>
          <w:cantSplit/>
        </w:trPr>
        <w:tc>
          <w:tcPr>
            <w:tcW w:type="dxa" w:w="1757"/>
            <w:tcMar>
              <w:top w:w="45" w:type="dxa"/>
              <w:start w:w="50" w:type="dxa"/>
              <w:bottom w:w="45" w:type="dxa"/>
              <w:end w:w="50" w:type="dxa"/>
            </w:tcMar>
            <w:vAlign w:val="top"/>
          </w:tcPr>
          <w:p>
            <w:r>
              <w:rPr>
                <w:rFonts w:ascii="Noto Sans" w:hAnsi="Noto Sans"/>
                <w:color w:val="2C2C2E"/>
                <w:sz w:val="11"/>
              </w:rPr>
              <w:t>Kaffeesteuer</w:t>
            </w:r>
          </w:p>
        </w:tc>
        <w:tc>
          <w:tcPr>
            <w:tcW w:type="dxa" w:w="1757"/>
            <w:tcMar>
              <w:top w:w="45" w:type="dxa"/>
              <w:start w:w="50" w:type="dxa"/>
              <w:bottom w:w="45" w:type="dxa"/>
              <w:end w:w="50" w:type="dxa"/>
            </w:tcMar>
            <w:vAlign w:val="top"/>
          </w:tcPr>
          <w:p>
            <w:r>
              <w:rPr>
                <w:rFonts w:ascii="Noto Sans" w:hAnsi="Noto Sans"/>
                <w:color w:val="2C2C2E"/>
                <w:sz w:val="11"/>
              </w:rPr>
              <w:t>Bund; Verbrauch</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Lieferkette, Entwaldung, Arbeit</w:t>
            </w:r>
          </w:p>
        </w:tc>
        <w:tc>
          <w:tcPr>
            <w:tcW w:type="dxa" w:w="2948"/>
            <w:tcMar>
              <w:top w:w="45" w:type="dxa"/>
              <w:start w:w="50" w:type="dxa"/>
              <w:bottom w:w="45" w:type="dxa"/>
              <w:end w:w="50" w:type="dxa"/>
            </w:tcMar>
            <w:vAlign w:val="top"/>
          </w:tcPr>
          <w:p>
            <w:r>
              <w:rPr>
                <w:rFonts w:ascii="Noto Sans" w:hAnsi="Noto Sans"/>
                <w:color w:val="2C2C2E"/>
                <w:sz w:val="11"/>
              </w:rPr>
              <w:t>Wirkungsbezug möglich, aber Lieferkettendaten und EU-Handelsrecht beachten; eher produkt-/lieferkettenbezogen.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Kapitalertragsteuer</w:t>
            </w:r>
          </w:p>
        </w:tc>
        <w:tc>
          <w:tcPr>
            <w:tcW w:type="dxa" w:w="1757"/>
            <w:tcMar>
              <w:top w:w="45" w:type="dxa"/>
              <w:start w:w="50" w:type="dxa"/>
              <w:bottom w:w="45" w:type="dxa"/>
              <w:end w:w="50" w:type="dxa"/>
            </w:tcMar>
            <w:vAlign w:val="top"/>
            <w:shd w:fill="FAF9F7"/>
          </w:tcPr>
          <w:p>
            <w:r>
              <w:rPr>
                <w:rFonts w:ascii="Noto Sans" w:hAnsi="Noto Sans"/>
                <w:color w:val="2C2C2E"/>
                <w:sz w:val="11"/>
              </w:rPr>
              <w:t>Bund/Länder; Erhebungsform</w:t>
            </w:r>
          </w:p>
        </w:tc>
        <w:tc>
          <w:tcPr>
            <w:tcW w:type="dxa" w:w="1134"/>
            <w:tcMar>
              <w:top w:w="45" w:type="dxa"/>
              <w:start w:w="50" w:type="dxa"/>
              <w:bottom w:w="45" w:type="dxa"/>
              <w:end w:w="50" w:type="dxa"/>
            </w:tcMar>
            <w:vAlign w:val="top"/>
            <w:shd w:fill="FAF9F7"/>
          </w:tcPr>
          <w:p>
            <w:r>
              <w:rPr>
                <w:rFonts w:ascii="Noto Sans" w:hAnsi="Noto Sans"/>
                <w:color w:val="2C2C2E"/>
                <w:sz w:val="11"/>
              </w:rPr>
              <w:t>mittel</w:t>
            </w:r>
          </w:p>
        </w:tc>
        <w:tc>
          <w:tcPr>
            <w:tcW w:type="dxa" w:w="1814"/>
            <w:tcMar>
              <w:top w:w="45" w:type="dxa"/>
              <w:start w:w="50" w:type="dxa"/>
              <w:bottom w:w="45" w:type="dxa"/>
              <w:end w:w="50" w:type="dxa"/>
            </w:tcMar>
            <w:vAlign w:val="top"/>
            <w:shd w:fill="FAF9F7"/>
          </w:tcPr>
          <w:p>
            <w:r>
              <w:rPr>
                <w:rFonts w:ascii="Noto Sans" w:hAnsi="Noto Sans"/>
                <w:color w:val="2C2C2E"/>
                <w:sz w:val="11"/>
              </w:rPr>
              <w:t>Kapitalallokation</w:t>
            </w:r>
          </w:p>
        </w:tc>
        <w:tc>
          <w:tcPr>
            <w:tcW w:type="dxa" w:w="2948"/>
            <w:tcMar>
              <w:top w:w="45" w:type="dxa"/>
              <w:start w:w="50" w:type="dxa"/>
              <w:bottom w:w="45" w:type="dxa"/>
              <w:end w:w="50" w:type="dxa"/>
            </w:tcMar>
            <w:vAlign w:val="top"/>
            <w:shd w:fill="FAF9F7"/>
          </w:tcPr>
          <w:p>
            <w:r>
              <w:rPr>
                <w:rFonts w:ascii="Noto Sans" w:hAnsi="Noto Sans"/>
                <w:color w:val="2C2C2E"/>
                <w:sz w:val="11"/>
              </w:rPr>
              <w:t>Wirkung am Investment/Emittenten statt an Person. Doppelung mit Abgeltungsteuer/SFDR/Finanzmarktregeln vermeiden.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Kirchensteuer</w:t>
            </w:r>
          </w:p>
        </w:tc>
        <w:tc>
          <w:tcPr>
            <w:tcW w:type="dxa" w:w="1757"/>
            <w:tcMar>
              <w:top w:w="45" w:type="dxa"/>
              <w:start w:w="50" w:type="dxa"/>
              <w:bottom w:w="45" w:type="dxa"/>
              <w:end w:w="50" w:type="dxa"/>
            </w:tcMar>
            <w:vAlign w:val="top"/>
          </w:tcPr>
          <w:p>
            <w:r>
              <w:rPr>
                <w:rFonts w:ascii="Noto Sans" w:hAnsi="Noto Sans"/>
                <w:color w:val="2C2C2E"/>
                <w:sz w:val="11"/>
              </w:rPr>
              <w:t>Religionsgemeinschaften/Länderrecht</w:t>
            </w:r>
          </w:p>
        </w:tc>
        <w:tc>
          <w:tcPr>
            <w:tcW w:type="dxa" w:w="1134"/>
            <w:tcMar>
              <w:top w:w="45" w:type="dxa"/>
              <w:start w:w="50" w:type="dxa"/>
              <w:bottom w:w="45" w:type="dxa"/>
              <w:end w:w="50" w:type="dxa"/>
            </w:tcMar>
            <w:vAlign w:val="top"/>
          </w:tcPr>
          <w:p>
            <w:r>
              <w:rPr>
                <w:rFonts w:ascii="Noto Sans" w:hAnsi="Noto Sans"/>
                <w:color w:val="2C2C2E"/>
                <w:sz w:val="11"/>
              </w:rPr>
              <w:t>außerhalb</w:t>
            </w:r>
          </w:p>
        </w:tc>
        <w:tc>
          <w:tcPr>
            <w:tcW w:type="dxa" w:w="1814"/>
            <w:tcMar>
              <w:top w:w="45" w:type="dxa"/>
              <w:start w:w="50" w:type="dxa"/>
              <w:bottom w:w="45" w:type="dxa"/>
              <w:end w:w="50" w:type="dxa"/>
            </w:tcMar>
            <w:vAlign w:val="top"/>
          </w:tcPr>
          <w:p>
            <w:r>
              <w:rPr>
                <w:rFonts w:ascii="Noto Sans" w:hAnsi="Noto Sans"/>
                <w:color w:val="2C2C2E"/>
                <w:sz w:val="11"/>
              </w:rPr>
              <w:t>Mitgliedschaftsbezogene Finanzierung</w:t>
            </w:r>
          </w:p>
        </w:tc>
        <w:tc>
          <w:tcPr>
            <w:tcW w:type="dxa" w:w="2948"/>
            <w:tcMar>
              <w:top w:w="45" w:type="dxa"/>
              <w:start w:w="50" w:type="dxa"/>
              <w:bottom w:w="45" w:type="dxa"/>
              <w:end w:w="50" w:type="dxa"/>
            </w:tcMar>
            <w:vAlign w:val="top"/>
          </w:tcPr>
          <w:p>
            <w:r>
              <w:rPr>
                <w:rFonts w:ascii="Noto Sans" w:hAnsi="Noto Sans"/>
                <w:color w:val="2C2C2E"/>
                <w:sz w:val="11"/>
              </w:rPr>
              <w:t>Kein WÖk-Steuermodul. Religions- und Selbstverwaltungsordnung respektieren.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Körperschaftsteuer</w:t>
            </w:r>
          </w:p>
        </w:tc>
        <w:tc>
          <w:tcPr>
            <w:tcW w:type="dxa" w:w="1757"/>
            <w:tcMar>
              <w:top w:w="45" w:type="dxa"/>
              <w:start w:w="50" w:type="dxa"/>
              <w:bottom w:w="45" w:type="dxa"/>
              <w:end w:w="50" w:type="dxa"/>
            </w:tcMar>
            <w:vAlign w:val="top"/>
            <w:shd w:fill="FAF9F7"/>
          </w:tcPr>
          <w:p>
            <w:r>
              <w:rPr>
                <w:rFonts w:ascii="Noto Sans" w:hAnsi="Noto Sans"/>
                <w:color w:val="2C2C2E"/>
                <w:sz w:val="11"/>
              </w:rPr>
              <w:t>Bund/Länder</w:t>
            </w:r>
          </w:p>
        </w:tc>
        <w:tc>
          <w:tcPr>
            <w:tcW w:type="dxa" w:w="1134"/>
            <w:tcMar>
              <w:top w:w="45" w:type="dxa"/>
              <w:start w:w="50" w:type="dxa"/>
              <w:bottom w:w="45" w:type="dxa"/>
              <w:end w:w="50" w:type="dxa"/>
            </w:tcMar>
            <w:vAlign w:val="top"/>
            <w:shd w:fill="FAF9F7"/>
          </w:tcPr>
          <w:p>
            <w:r>
              <w:rPr>
                <w:rFonts w:ascii="Noto Sans" w:hAnsi="Noto Sans"/>
                <w:color w:val="2C2C2E"/>
                <w:sz w:val="11"/>
              </w:rPr>
              <w:t>hoch</w:t>
            </w:r>
          </w:p>
        </w:tc>
        <w:tc>
          <w:tcPr>
            <w:tcW w:type="dxa" w:w="1814"/>
            <w:tcMar>
              <w:top w:w="45" w:type="dxa"/>
              <w:start w:w="50" w:type="dxa"/>
              <w:bottom w:w="45" w:type="dxa"/>
              <w:end w:w="50" w:type="dxa"/>
            </w:tcMar>
            <w:vAlign w:val="top"/>
            <w:shd w:fill="FAF9F7"/>
          </w:tcPr>
          <w:p>
            <w:r>
              <w:rPr>
                <w:rFonts w:ascii="Noto Sans" w:hAnsi="Noto Sans"/>
                <w:color w:val="2C2C2E"/>
                <w:sz w:val="11"/>
              </w:rPr>
              <w:t>Unternehmenswirkung, Investition, Transformation</w:t>
            </w:r>
          </w:p>
        </w:tc>
        <w:tc>
          <w:tcPr>
            <w:tcW w:type="dxa" w:w="2948"/>
            <w:tcMar>
              <w:top w:w="45" w:type="dxa"/>
              <w:start w:w="50" w:type="dxa"/>
              <w:bottom w:w="45" w:type="dxa"/>
              <w:end w:w="50" w:type="dxa"/>
            </w:tcMar>
            <w:vAlign w:val="top"/>
            <w:shd w:fill="FAF9F7"/>
          </w:tcPr>
          <w:p>
            <w:r>
              <w:rPr>
                <w:rFonts w:ascii="Noto Sans" w:hAnsi="Noto Sans"/>
                <w:color w:val="2C2C2E"/>
                <w:sz w:val="11"/>
              </w:rPr>
              <w:t>Kernmodul denkbar, aber Gewinnbesteuerung bleibt Basis. Wirkung über eng definierte Investitions-/Transformationsanreize statt Gesamtmoralnote.</w:t>
            </w:r>
          </w:p>
        </w:tc>
      </w:tr>
      <w:tr>
        <w:trPr>
          <w:cantSplit/>
        </w:trPr>
        <w:tc>
          <w:tcPr>
            <w:tcW w:type="dxa" w:w="1757"/>
            <w:tcMar>
              <w:top w:w="45" w:type="dxa"/>
              <w:start w:w="50" w:type="dxa"/>
              <w:bottom w:w="45" w:type="dxa"/>
              <w:end w:w="50" w:type="dxa"/>
            </w:tcMar>
            <w:vAlign w:val="top"/>
          </w:tcPr>
          <w:p>
            <w:r>
              <w:rPr>
                <w:rFonts w:ascii="Noto Sans" w:hAnsi="Noto Sans"/>
                <w:color w:val="2C2C2E"/>
                <w:sz w:val="11"/>
              </w:rPr>
              <w:t>Kraftfahrzeugsteuer</w:t>
            </w:r>
          </w:p>
        </w:tc>
        <w:tc>
          <w:tcPr>
            <w:tcW w:type="dxa" w:w="1757"/>
            <w:tcMar>
              <w:top w:w="45" w:type="dxa"/>
              <w:start w:w="50" w:type="dxa"/>
              <w:bottom w:w="45" w:type="dxa"/>
              <w:end w:w="50" w:type="dxa"/>
            </w:tcMar>
            <w:vAlign w:val="top"/>
          </w:tcPr>
          <w:p>
            <w:r>
              <w:rPr>
                <w:rFonts w:ascii="Noto Sans" w:hAnsi="Noto Sans"/>
                <w:color w:val="2C2C2E"/>
                <w:sz w:val="11"/>
              </w:rPr>
              <w:t>Bund</w:t>
            </w:r>
          </w:p>
        </w:tc>
        <w:tc>
          <w:tcPr>
            <w:tcW w:type="dxa" w:w="1134"/>
            <w:tcMar>
              <w:top w:w="45" w:type="dxa"/>
              <w:start w:w="50" w:type="dxa"/>
              <w:bottom w:w="45" w:type="dxa"/>
              <w:end w:w="50" w:type="dxa"/>
            </w:tcMar>
            <w:vAlign w:val="top"/>
          </w:tcPr>
          <w:p>
            <w:r>
              <w:rPr>
                <w:rFonts w:ascii="Noto Sans" w:hAnsi="Noto Sans"/>
                <w:color w:val="2C2C2E"/>
                <w:sz w:val="11"/>
              </w:rPr>
              <w:t>hoch</w:t>
            </w:r>
          </w:p>
        </w:tc>
        <w:tc>
          <w:tcPr>
            <w:tcW w:type="dxa" w:w="1814"/>
            <w:tcMar>
              <w:top w:w="45" w:type="dxa"/>
              <w:start w:w="50" w:type="dxa"/>
              <w:bottom w:w="45" w:type="dxa"/>
              <w:end w:w="50" w:type="dxa"/>
            </w:tcMar>
            <w:vAlign w:val="top"/>
          </w:tcPr>
          <w:p>
            <w:r>
              <w:rPr>
                <w:rFonts w:ascii="Noto Sans" w:hAnsi="Noto Sans"/>
                <w:color w:val="2C2C2E"/>
                <w:sz w:val="11"/>
              </w:rPr>
              <w:t>Klima, Luft, Ressourcen, Fläche, Fahrzeugcharakteristika</w:t>
            </w:r>
          </w:p>
        </w:tc>
        <w:tc>
          <w:tcPr>
            <w:tcW w:type="dxa" w:w="2948"/>
            <w:tcMar>
              <w:top w:w="45" w:type="dxa"/>
              <w:start w:w="50" w:type="dxa"/>
              <w:bottom w:w="45" w:type="dxa"/>
              <w:end w:w="50" w:type="dxa"/>
            </w:tcMar>
            <w:vAlign w:val="top"/>
          </w:tcPr>
          <w:p>
            <w:r>
              <w:rPr>
                <w:rFonts w:ascii="Noto Sans" w:hAnsi="Noto Sans"/>
                <w:color w:val="2C2C2E"/>
                <w:sz w:val="11"/>
              </w:rPr>
              <w:t>Sehr geeignet für objektive technische Merkmale; Lebenszyklusdaten perspektivisch ergänzen, soziale und Nutzungsunterschiede prüfen.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Lohnsteuer</w:t>
            </w:r>
          </w:p>
        </w:tc>
        <w:tc>
          <w:tcPr>
            <w:tcW w:type="dxa" w:w="1757"/>
            <w:tcMar>
              <w:top w:w="45" w:type="dxa"/>
              <w:start w:w="50" w:type="dxa"/>
              <w:bottom w:w="45" w:type="dxa"/>
              <w:end w:w="50" w:type="dxa"/>
            </w:tcMar>
            <w:vAlign w:val="top"/>
            <w:shd w:fill="FAF9F7"/>
          </w:tcPr>
          <w:p>
            <w:r>
              <w:rPr>
                <w:rFonts w:ascii="Noto Sans" w:hAnsi="Noto Sans"/>
                <w:color w:val="2C2C2E"/>
                <w:sz w:val="11"/>
              </w:rPr>
              <w:t>Erhebungsform Einkommensteuer</w:t>
            </w:r>
          </w:p>
        </w:tc>
        <w:tc>
          <w:tcPr>
            <w:tcW w:type="dxa" w:w="1134"/>
            <w:tcMar>
              <w:top w:w="45" w:type="dxa"/>
              <w:start w:w="50" w:type="dxa"/>
              <w:bottom w:w="45" w:type="dxa"/>
              <w:end w:w="50" w:type="dxa"/>
            </w:tcMar>
            <w:vAlign w:val="top"/>
            <w:shd w:fill="FAF9F7"/>
          </w:tcPr>
          <w:p>
            <w:r>
              <w:rPr>
                <w:rFonts w:ascii="Noto Sans" w:hAnsi="Noto Sans"/>
                <w:color w:val="2C2C2E"/>
                <w:sz w:val="11"/>
              </w:rPr>
              <w:t>niedrig als eigenes Modul</w:t>
            </w:r>
          </w:p>
        </w:tc>
        <w:tc>
          <w:tcPr>
            <w:tcW w:type="dxa" w:w="1814"/>
            <w:tcMar>
              <w:top w:w="45" w:type="dxa"/>
              <w:start w:w="50" w:type="dxa"/>
              <w:bottom w:w="45" w:type="dxa"/>
              <w:end w:w="50" w:type="dxa"/>
            </w:tcMar>
            <w:vAlign w:val="top"/>
            <w:shd w:fill="FAF9F7"/>
          </w:tcPr>
          <w:p>
            <w:r>
              <w:rPr>
                <w:rFonts w:ascii="Noto Sans" w:hAnsi="Noto Sans"/>
                <w:color w:val="2C2C2E"/>
                <w:sz w:val="11"/>
              </w:rPr>
              <w:t>Arbeitsentgelt</w:t>
            </w:r>
          </w:p>
        </w:tc>
        <w:tc>
          <w:tcPr>
            <w:tcW w:type="dxa" w:w="2948"/>
            <w:tcMar>
              <w:top w:w="45" w:type="dxa"/>
              <w:start w:w="50" w:type="dxa"/>
              <w:bottom w:w="45" w:type="dxa"/>
              <w:end w:w="50" w:type="dxa"/>
            </w:tcMar>
            <w:vAlign w:val="top"/>
            <w:shd w:fill="FAF9F7"/>
          </w:tcPr>
          <w:p>
            <w:r>
              <w:rPr>
                <w:rFonts w:ascii="Noto Sans" w:hAnsi="Noto Sans"/>
                <w:color w:val="2C2C2E"/>
                <w:sz w:val="11"/>
              </w:rPr>
              <w:t>Keine eigene Wirkungssteuer. Änderungen über Einkommensteuer; Arbeitgeberwirkung darf Beschäftigte nicht bestrafen.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Luftverkehrsteuer</w:t>
            </w:r>
          </w:p>
        </w:tc>
        <w:tc>
          <w:tcPr>
            <w:tcW w:type="dxa" w:w="1757"/>
            <w:tcMar>
              <w:top w:w="45" w:type="dxa"/>
              <w:start w:w="50" w:type="dxa"/>
              <w:bottom w:w="45" w:type="dxa"/>
              <w:end w:w="50" w:type="dxa"/>
            </w:tcMar>
            <w:vAlign w:val="top"/>
          </w:tcPr>
          <w:p>
            <w:r>
              <w:rPr>
                <w:rFonts w:ascii="Noto Sans" w:hAnsi="Noto Sans"/>
                <w:color w:val="2C2C2E"/>
                <w:sz w:val="11"/>
              </w:rPr>
              <w:t>Bund</w:t>
            </w:r>
          </w:p>
        </w:tc>
        <w:tc>
          <w:tcPr>
            <w:tcW w:type="dxa" w:w="1134"/>
            <w:tcMar>
              <w:top w:w="45" w:type="dxa"/>
              <w:start w:w="50" w:type="dxa"/>
              <w:bottom w:w="45" w:type="dxa"/>
              <w:end w:w="50" w:type="dxa"/>
            </w:tcMar>
            <w:vAlign w:val="top"/>
          </w:tcPr>
          <w:p>
            <w:r>
              <w:rPr>
                <w:rFonts w:ascii="Noto Sans" w:hAnsi="Noto Sans"/>
                <w:color w:val="2C2C2E"/>
                <w:sz w:val="11"/>
              </w:rPr>
              <w:t>hoch</w:t>
            </w:r>
          </w:p>
        </w:tc>
        <w:tc>
          <w:tcPr>
            <w:tcW w:type="dxa" w:w="1814"/>
            <w:tcMar>
              <w:top w:w="45" w:type="dxa"/>
              <w:start w:w="50" w:type="dxa"/>
              <w:bottom w:w="45" w:type="dxa"/>
              <w:end w:w="50" w:type="dxa"/>
            </w:tcMar>
            <w:vAlign w:val="top"/>
          </w:tcPr>
          <w:p>
            <w:r>
              <w:rPr>
                <w:rFonts w:ascii="Noto Sans" w:hAnsi="Noto Sans"/>
                <w:color w:val="2C2C2E"/>
                <w:sz w:val="11"/>
              </w:rPr>
              <w:t>Klima, Nicht-CO₂-Effekte, Verkehrslenkung</w:t>
            </w:r>
          </w:p>
        </w:tc>
        <w:tc>
          <w:tcPr>
            <w:tcW w:type="dxa" w:w="2948"/>
            <w:tcMar>
              <w:top w:w="45" w:type="dxa"/>
              <w:start w:w="50" w:type="dxa"/>
              <w:bottom w:w="45" w:type="dxa"/>
              <w:end w:w="50" w:type="dxa"/>
            </w:tcMar>
            <w:vAlign w:val="top"/>
          </w:tcPr>
          <w:p>
            <w:r>
              <w:rPr>
                <w:rFonts w:ascii="Noto Sans" w:hAnsi="Noto Sans"/>
                <w:color w:val="2C2C2E"/>
                <w:sz w:val="11"/>
              </w:rPr>
              <w:t>Kernmodul mit hoher Wirkungseignung; EU/Chicago-/Luftverkehrsrecht und internationale Wettbewerbswirkungen prüfen.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Mindeststeuer</w:t>
            </w:r>
          </w:p>
        </w:tc>
        <w:tc>
          <w:tcPr>
            <w:tcW w:type="dxa" w:w="1757"/>
            <w:tcMar>
              <w:top w:w="45" w:type="dxa"/>
              <w:start w:w="50" w:type="dxa"/>
              <w:bottom w:w="45" w:type="dxa"/>
              <w:end w:w="50" w:type="dxa"/>
            </w:tcMar>
            <w:vAlign w:val="top"/>
            <w:shd w:fill="FAF9F7"/>
          </w:tcPr>
          <w:p>
            <w:r>
              <w:rPr>
                <w:rFonts w:ascii="Noto Sans" w:hAnsi="Noto Sans"/>
                <w:color w:val="2C2C2E"/>
                <w:sz w:val="11"/>
              </w:rPr>
              <w:t>Bund/Länder; internationale Unternehmensbesteuerung</w:t>
            </w:r>
          </w:p>
        </w:tc>
        <w:tc>
          <w:tcPr>
            <w:tcW w:type="dxa" w:w="1134"/>
            <w:tcMar>
              <w:top w:w="45" w:type="dxa"/>
              <w:start w:w="50" w:type="dxa"/>
              <w:bottom w:w="45" w:type="dxa"/>
              <w:end w:w="50" w:type="dxa"/>
            </w:tcMar>
            <w:vAlign w:val="top"/>
            <w:shd w:fill="FAF9F7"/>
          </w:tcPr>
          <w:p>
            <w:r>
              <w:rPr>
                <w:rFonts w:ascii="Noto Sans" w:hAnsi="Noto Sans"/>
                <w:color w:val="2C2C2E"/>
                <w:sz w:val="11"/>
              </w:rPr>
              <w:t>niedrig als WÖk-Modul</w:t>
            </w:r>
          </w:p>
        </w:tc>
        <w:tc>
          <w:tcPr>
            <w:tcW w:type="dxa" w:w="1814"/>
            <w:tcMar>
              <w:top w:w="45" w:type="dxa"/>
              <w:start w:w="50" w:type="dxa"/>
              <w:bottom w:w="45" w:type="dxa"/>
              <w:end w:w="50" w:type="dxa"/>
            </w:tcMar>
            <w:vAlign w:val="top"/>
            <w:shd w:fill="FAF9F7"/>
          </w:tcPr>
          <w:p>
            <w:r>
              <w:rPr>
                <w:rFonts w:ascii="Noto Sans" w:hAnsi="Noto Sans"/>
                <w:color w:val="2C2C2E"/>
                <w:sz w:val="11"/>
              </w:rPr>
              <w:t>Steuerbasis-/Gewinnverlagerungsschutz</w:t>
            </w:r>
          </w:p>
        </w:tc>
        <w:tc>
          <w:tcPr>
            <w:tcW w:type="dxa" w:w="2948"/>
            <w:tcMar>
              <w:top w:w="45" w:type="dxa"/>
              <w:start w:w="50" w:type="dxa"/>
              <w:bottom w:w="45" w:type="dxa"/>
              <w:end w:w="50" w:type="dxa"/>
            </w:tcMar>
            <w:vAlign w:val="top"/>
            <w:shd w:fill="FAF9F7"/>
          </w:tcPr>
          <w:p>
            <w:r>
              <w:rPr>
                <w:rFonts w:ascii="Noto Sans" w:hAnsi="Noto Sans"/>
                <w:color w:val="2C2C2E"/>
                <w:sz w:val="11"/>
              </w:rPr>
              <w:t>Nicht durch Wirkungsrabatte aushöhlen. Integritätsfunktion hat Vorrang; Wirkung eher ergänzend außerhalb des Mindestniveaus.</w:t>
            </w:r>
          </w:p>
        </w:tc>
      </w:tr>
      <w:tr>
        <w:trPr>
          <w:cantSplit/>
        </w:trPr>
        <w:tc>
          <w:tcPr>
            <w:tcW w:type="dxa" w:w="1757"/>
            <w:tcMar>
              <w:top w:w="45" w:type="dxa"/>
              <w:start w:w="50" w:type="dxa"/>
              <w:bottom w:w="45" w:type="dxa"/>
              <w:end w:w="50" w:type="dxa"/>
            </w:tcMar>
            <w:vAlign w:val="top"/>
          </w:tcPr>
          <w:p>
            <w:r>
              <w:rPr>
                <w:rFonts w:ascii="Noto Sans" w:hAnsi="Noto Sans"/>
                <w:color w:val="2C2C2E"/>
                <w:sz w:val="11"/>
              </w:rPr>
              <w:t>Örtliche Steuern allgemein</w:t>
            </w:r>
          </w:p>
        </w:tc>
        <w:tc>
          <w:tcPr>
            <w:tcW w:type="dxa" w:w="1757"/>
            <w:tcMar>
              <w:top w:w="45" w:type="dxa"/>
              <w:start w:w="50" w:type="dxa"/>
              <w:bottom w:w="45" w:type="dxa"/>
              <w:end w:w="50" w:type="dxa"/>
            </w:tcMar>
            <w:vAlign w:val="top"/>
          </w:tcPr>
          <w:p>
            <w:r>
              <w:rPr>
                <w:rFonts w:ascii="Noto Sans" w:hAnsi="Noto Sans"/>
                <w:color w:val="2C2C2E"/>
                <w:sz w:val="11"/>
              </w:rPr>
              <w:t>Gemeinden/Länderrahmen</w:t>
            </w:r>
          </w:p>
        </w:tc>
        <w:tc>
          <w:tcPr>
            <w:tcW w:type="dxa" w:w="1134"/>
            <w:tcMar>
              <w:top w:w="45" w:type="dxa"/>
              <w:start w:w="50" w:type="dxa"/>
              <w:bottom w:w="45" w:type="dxa"/>
              <w:end w:w="50" w:type="dxa"/>
            </w:tcMar>
            <w:vAlign w:val="top"/>
          </w:tcPr>
          <w:p>
            <w:r>
              <w:rPr>
                <w:rFonts w:ascii="Noto Sans" w:hAnsi="Noto Sans"/>
                <w:color w:val="2C2C2E"/>
                <w:sz w:val="11"/>
              </w:rPr>
              <w:t>variabel</w:t>
            </w:r>
          </w:p>
        </w:tc>
        <w:tc>
          <w:tcPr>
            <w:tcW w:type="dxa" w:w="1814"/>
            <w:tcMar>
              <w:top w:w="45" w:type="dxa"/>
              <w:start w:w="50" w:type="dxa"/>
              <w:bottom w:w="45" w:type="dxa"/>
              <w:end w:w="50" w:type="dxa"/>
            </w:tcMar>
            <w:vAlign w:val="top"/>
          </w:tcPr>
          <w:p>
            <w:r>
              <w:rPr>
                <w:rFonts w:ascii="Noto Sans" w:hAnsi="Noto Sans"/>
                <w:color w:val="2C2C2E"/>
                <w:sz w:val="11"/>
              </w:rPr>
              <w:t>lokale externe Effekte</w:t>
            </w:r>
          </w:p>
        </w:tc>
        <w:tc>
          <w:tcPr>
            <w:tcW w:type="dxa" w:w="2948"/>
            <w:tcMar>
              <w:top w:w="45" w:type="dxa"/>
              <w:start w:w="50" w:type="dxa"/>
              <w:bottom w:w="45" w:type="dxa"/>
              <w:end w:w="50" w:type="dxa"/>
            </w:tcMar>
            <w:vAlign w:val="top"/>
          </w:tcPr>
          <w:p>
            <w:r>
              <w:rPr>
                <w:rFonts w:ascii="Noto Sans" w:hAnsi="Noto Sans"/>
                <w:color w:val="2C2C2E"/>
                <w:sz w:val="11"/>
              </w:rPr>
              <w:t>Wichtiger Reallaborraum. Tatbestand muss örtlich, rechtlich zulässig und administrierbar sein; Tübinger Verpackungssteuer ist relevantes Beispiel.</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Rennwett-/Lotteriesteuer</w:t>
            </w:r>
          </w:p>
        </w:tc>
        <w:tc>
          <w:tcPr>
            <w:tcW w:type="dxa" w:w="1757"/>
            <w:tcMar>
              <w:top w:w="45" w:type="dxa"/>
              <w:start w:w="50" w:type="dxa"/>
              <w:bottom w:w="45" w:type="dxa"/>
              <w:end w:w="50" w:type="dxa"/>
            </w:tcMar>
            <w:vAlign w:val="top"/>
            <w:shd w:fill="FAF9F7"/>
          </w:tcPr>
          <w:p>
            <w:r>
              <w:rPr>
                <w:rFonts w:ascii="Noto Sans" w:hAnsi="Noto Sans"/>
                <w:color w:val="2C2C2E"/>
                <w:sz w:val="11"/>
              </w:rPr>
              <w:t>Bund/Länder</w:t>
            </w:r>
          </w:p>
        </w:tc>
        <w:tc>
          <w:tcPr>
            <w:tcW w:type="dxa" w:w="1134"/>
            <w:tcMar>
              <w:top w:w="45" w:type="dxa"/>
              <w:start w:w="50" w:type="dxa"/>
              <w:bottom w:w="45" w:type="dxa"/>
              <w:end w:w="50" w:type="dxa"/>
            </w:tcMar>
            <w:vAlign w:val="top"/>
            <w:shd w:fill="FAF9F7"/>
          </w:tcPr>
          <w:p>
            <w:r>
              <w:rPr>
                <w:rFonts w:ascii="Noto Sans" w:hAnsi="Noto Sans"/>
                <w:color w:val="2C2C2E"/>
                <w:sz w:val="11"/>
              </w:rPr>
              <w:t>mittel bis hoch</w:t>
            </w:r>
          </w:p>
        </w:tc>
        <w:tc>
          <w:tcPr>
            <w:tcW w:type="dxa" w:w="1814"/>
            <w:tcMar>
              <w:top w:w="45" w:type="dxa"/>
              <w:start w:w="50" w:type="dxa"/>
              <w:bottom w:w="45" w:type="dxa"/>
              <w:end w:w="50" w:type="dxa"/>
            </w:tcMar>
            <w:vAlign w:val="top"/>
            <w:shd w:fill="FAF9F7"/>
          </w:tcPr>
          <w:p>
            <w:r>
              <w:rPr>
                <w:rFonts w:ascii="Noto Sans" w:hAnsi="Noto Sans"/>
                <w:color w:val="2C2C2E"/>
                <w:sz w:val="11"/>
              </w:rPr>
              <w:t>Glücksspiel-/Suchtfolgen</w:t>
            </w:r>
          </w:p>
        </w:tc>
        <w:tc>
          <w:tcPr>
            <w:tcW w:type="dxa" w:w="2948"/>
            <w:tcMar>
              <w:top w:w="45" w:type="dxa"/>
              <w:start w:w="50" w:type="dxa"/>
              <w:bottom w:w="45" w:type="dxa"/>
              <w:end w:w="50" w:type="dxa"/>
            </w:tcMar>
            <w:vAlign w:val="top"/>
            <w:shd w:fill="FAF9F7"/>
          </w:tcPr>
          <w:p>
            <w:r>
              <w:rPr>
                <w:rFonts w:ascii="Noto Sans" w:hAnsi="Noto Sans"/>
                <w:color w:val="2C2C2E"/>
                <w:sz w:val="11"/>
              </w:rPr>
              <w:t>Lenkungs- und Präventionslogik gut anschlussfähig; nicht nur fiskalisch, sondern evidenzbasiert evaluieren.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Schankerlaubnissteuer</w:t>
            </w:r>
          </w:p>
        </w:tc>
        <w:tc>
          <w:tcPr>
            <w:tcW w:type="dxa" w:w="1757"/>
            <w:tcMar>
              <w:top w:w="45" w:type="dxa"/>
              <w:start w:w="50" w:type="dxa"/>
              <w:bottom w:w="45" w:type="dxa"/>
              <w:end w:w="50" w:type="dxa"/>
            </w:tcMar>
            <w:vAlign w:val="top"/>
          </w:tcPr>
          <w:p>
            <w:r>
              <w:rPr>
                <w:rFonts w:ascii="Noto Sans" w:hAnsi="Noto Sans"/>
                <w:color w:val="2C2C2E"/>
                <w:sz w:val="11"/>
              </w:rPr>
              <w:t>örtlich, soweit erhoben</w:t>
            </w:r>
          </w:p>
        </w:tc>
        <w:tc>
          <w:tcPr>
            <w:tcW w:type="dxa" w:w="1134"/>
            <w:tcMar>
              <w:top w:w="45" w:type="dxa"/>
              <w:start w:w="50" w:type="dxa"/>
              <w:bottom w:w="45" w:type="dxa"/>
              <w:end w:w="50" w:type="dxa"/>
            </w:tcMar>
            <w:vAlign w:val="top"/>
          </w:tcPr>
          <w:p>
            <w:r>
              <w:rPr>
                <w:rFonts w:ascii="Noto Sans" w:hAnsi="Noto Sans"/>
                <w:color w:val="2C2C2E"/>
                <w:sz w:val="11"/>
              </w:rPr>
              <w:t>niedrig</w:t>
            </w:r>
          </w:p>
        </w:tc>
        <w:tc>
          <w:tcPr>
            <w:tcW w:type="dxa" w:w="1814"/>
            <w:tcMar>
              <w:top w:w="45" w:type="dxa"/>
              <w:start w:w="50" w:type="dxa"/>
              <w:bottom w:w="45" w:type="dxa"/>
              <w:end w:w="50" w:type="dxa"/>
            </w:tcMar>
            <w:vAlign w:val="top"/>
          </w:tcPr>
          <w:p>
            <w:r>
              <w:rPr>
                <w:rFonts w:ascii="Noto Sans" w:hAnsi="Noto Sans"/>
                <w:color w:val="2C2C2E"/>
                <w:sz w:val="11"/>
              </w:rPr>
              <w:t>lokale Gaststätten-/Ordnungsaspekte</w:t>
            </w:r>
          </w:p>
        </w:tc>
        <w:tc>
          <w:tcPr>
            <w:tcW w:type="dxa" w:w="2948"/>
            <w:tcMar>
              <w:top w:w="45" w:type="dxa"/>
              <w:start w:w="50" w:type="dxa"/>
              <w:bottom w:w="45" w:type="dxa"/>
              <w:end w:w="50" w:type="dxa"/>
            </w:tcMar>
            <w:vAlign w:val="top"/>
          </w:tcPr>
          <w:p>
            <w:r>
              <w:rPr>
                <w:rFonts w:ascii="Noto Sans" w:hAnsi="Noto Sans"/>
                <w:color w:val="2C2C2E"/>
                <w:sz w:val="11"/>
              </w:rPr>
              <w:t>Kein prioritäres WÖk-Modul; gegebenenfalls durch Gebühren-/Ordnungsrecht besser adressiert.</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Schaumweinsteuer</w:t>
            </w:r>
          </w:p>
        </w:tc>
        <w:tc>
          <w:tcPr>
            <w:tcW w:type="dxa" w:w="1757"/>
            <w:tcMar>
              <w:top w:w="45" w:type="dxa"/>
              <w:start w:w="50" w:type="dxa"/>
              <w:bottom w:w="45" w:type="dxa"/>
              <w:end w:w="50" w:type="dxa"/>
            </w:tcMar>
            <w:vAlign w:val="top"/>
            <w:shd w:fill="FAF9F7"/>
          </w:tcPr>
          <w:p>
            <w:r>
              <w:rPr>
                <w:rFonts w:ascii="Noto Sans" w:hAnsi="Noto Sans"/>
                <w:color w:val="2C2C2E"/>
                <w:sz w:val="11"/>
              </w:rPr>
              <w:t>Bund/EU-harmonisiert</w:t>
            </w:r>
          </w:p>
        </w:tc>
        <w:tc>
          <w:tcPr>
            <w:tcW w:type="dxa" w:w="1134"/>
            <w:tcMar>
              <w:top w:w="45" w:type="dxa"/>
              <w:start w:w="50" w:type="dxa"/>
              <w:bottom w:w="45" w:type="dxa"/>
              <w:end w:w="50" w:type="dxa"/>
            </w:tcMar>
            <w:vAlign w:val="top"/>
            <w:shd w:fill="FAF9F7"/>
          </w:tcPr>
          <w:p>
            <w:r>
              <w:rPr>
                <w:rFonts w:ascii="Noto Sans" w:hAnsi="Noto Sans"/>
                <w:color w:val="2C2C2E"/>
                <w:sz w:val="11"/>
              </w:rPr>
              <w:t>hoch</w:t>
            </w:r>
          </w:p>
        </w:tc>
        <w:tc>
          <w:tcPr>
            <w:tcW w:type="dxa" w:w="1814"/>
            <w:tcMar>
              <w:top w:w="45" w:type="dxa"/>
              <w:start w:w="50" w:type="dxa"/>
              <w:bottom w:w="45" w:type="dxa"/>
              <w:end w:w="50" w:type="dxa"/>
            </w:tcMar>
            <w:vAlign w:val="top"/>
            <w:shd w:fill="FAF9F7"/>
          </w:tcPr>
          <w:p>
            <w:r>
              <w:rPr>
                <w:rFonts w:ascii="Noto Sans" w:hAnsi="Noto Sans"/>
                <w:color w:val="2C2C2E"/>
                <w:sz w:val="11"/>
              </w:rPr>
              <w:t>Alkohol-/Gesundheitswirkung</w:t>
            </w:r>
          </w:p>
        </w:tc>
        <w:tc>
          <w:tcPr>
            <w:tcW w:type="dxa" w:w="2948"/>
            <w:tcMar>
              <w:top w:w="45" w:type="dxa"/>
              <w:start w:w="50" w:type="dxa"/>
              <w:bottom w:w="45" w:type="dxa"/>
              <w:end w:w="50" w:type="dxa"/>
            </w:tcMar>
            <w:vAlign w:val="top"/>
            <w:shd w:fill="FAF9F7"/>
          </w:tcPr>
          <w:p>
            <w:r>
              <w:rPr>
                <w:rFonts w:ascii="Noto Sans" w:hAnsi="Noto Sans"/>
                <w:color w:val="2C2C2E"/>
                <w:sz w:val="11"/>
              </w:rPr>
              <w:t>Wie Alkohol-/Biersteuer; kohärente Verbrauchsteuerfamilie statt Einzelpatchwork anstreben.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Solidaritätszuschlag</w:t>
            </w:r>
          </w:p>
        </w:tc>
        <w:tc>
          <w:tcPr>
            <w:tcW w:type="dxa" w:w="1757"/>
            <w:tcMar>
              <w:top w:w="45" w:type="dxa"/>
              <w:start w:w="50" w:type="dxa"/>
              <w:bottom w:w="45" w:type="dxa"/>
              <w:end w:w="50" w:type="dxa"/>
            </w:tcMar>
            <w:vAlign w:val="top"/>
          </w:tcPr>
          <w:p>
            <w:r>
              <w:rPr>
                <w:rFonts w:ascii="Noto Sans" w:hAnsi="Noto Sans"/>
                <w:color w:val="2C2C2E"/>
                <w:sz w:val="11"/>
              </w:rPr>
              <w:t>Bund; Ergänzungsabgabe</w:t>
            </w:r>
          </w:p>
        </w:tc>
        <w:tc>
          <w:tcPr>
            <w:tcW w:type="dxa" w:w="1134"/>
            <w:tcMar>
              <w:top w:w="45" w:type="dxa"/>
              <w:start w:w="50" w:type="dxa"/>
              <w:bottom w:w="45" w:type="dxa"/>
              <w:end w:w="50" w:type="dxa"/>
            </w:tcMar>
            <w:vAlign w:val="top"/>
          </w:tcPr>
          <w:p>
            <w:r>
              <w:rPr>
                <w:rFonts w:ascii="Noto Sans" w:hAnsi="Noto Sans"/>
                <w:color w:val="2C2C2E"/>
                <w:sz w:val="11"/>
              </w:rPr>
              <w:t>niedrig</w:t>
            </w:r>
          </w:p>
        </w:tc>
        <w:tc>
          <w:tcPr>
            <w:tcW w:type="dxa" w:w="1814"/>
            <w:tcMar>
              <w:top w:w="45" w:type="dxa"/>
              <w:start w:w="50" w:type="dxa"/>
              <w:bottom w:w="45" w:type="dxa"/>
              <w:end w:w="50" w:type="dxa"/>
            </w:tcMar>
            <w:vAlign w:val="top"/>
          </w:tcPr>
          <w:p>
            <w:r>
              <w:rPr>
                <w:rFonts w:ascii="Noto Sans" w:hAnsi="Noto Sans"/>
                <w:color w:val="2C2C2E"/>
                <w:sz w:val="11"/>
              </w:rPr>
              <w:t>Finanzierungsfunktion</w:t>
            </w:r>
          </w:p>
        </w:tc>
        <w:tc>
          <w:tcPr>
            <w:tcW w:type="dxa" w:w="2948"/>
            <w:tcMar>
              <w:top w:w="45" w:type="dxa"/>
              <w:start w:w="50" w:type="dxa"/>
              <w:bottom w:w="45" w:type="dxa"/>
              <w:end w:w="50" w:type="dxa"/>
            </w:tcMar>
            <w:vAlign w:val="top"/>
          </w:tcPr>
          <w:p>
            <w:r>
              <w:rPr>
                <w:rFonts w:ascii="Noto Sans" w:hAnsi="Noto Sans"/>
                <w:color w:val="2C2C2E"/>
                <w:sz w:val="11"/>
              </w:rPr>
              <w:t>Kein geeigneter Wirkungshebel. Wirkungslogik nicht künstlich auf Ergänzungsabgabe legen.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Spielbankabgabe</w:t>
            </w:r>
          </w:p>
        </w:tc>
        <w:tc>
          <w:tcPr>
            <w:tcW w:type="dxa" w:w="1757"/>
            <w:tcMar>
              <w:top w:w="45" w:type="dxa"/>
              <w:start w:w="50" w:type="dxa"/>
              <w:bottom w:w="45" w:type="dxa"/>
              <w:end w:w="50" w:type="dxa"/>
            </w:tcMar>
            <w:vAlign w:val="top"/>
            <w:shd w:fill="FAF9F7"/>
          </w:tcPr>
          <w:p>
            <w:r>
              <w:rPr>
                <w:rFonts w:ascii="Noto Sans" w:hAnsi="Noto Sans"/>
                <w:color w:val="2C2C2E"/>
                <w:sz w:val="11"/>
              </w:rPr>
              <w:t>Länder</w:t>
            </w:r>
          </w:p>
        </w:tc>
        <w:tc>
          <w:tcPr>
            <w:tcW w:type="dxa" w:w="1134"/>
            <w:tcMar>
              <w:top w:w="45" w:type="dxa"/>
              <w:start w:w="50" w:type="dxa"/>
              <w:bottom w:w="45" w:type="dxa"/>
              <w:end w:w="50" w:type="dxa"/>
            </w:tcMar>
            <w:vAlign w:val="top"/>
            <w:shd w:fill="FAF9F7"/>
          </w:tcPr>
          <w:p>
            <w:r>
              <w:rPr>
                <w:rFonts w:ascii="Noto Sans" w:hAnsi="Noto Sans"/>
                <w:color w:val="2C2C2E"/>
                <w:sz w:val="11"/>
              </w:rPr>
              <w:t>mittel bis hoch</w:t>
            </w:r>
          </w:p>
        </w:tc>
        <w:tc>
          <w:tcPr>
            <w:tcW w:type="dxa" w:w="1814"/>
            <w:tcMar>
              <w:top w:w="45" w:type="dxa"/>
              <w:start w:w="50" w:type="dxa"/>
              <w:bottom w:w="45" w:type="dxa"/>
              <w:end w:w="50" w:type="dxa"/>
            </w:tcMar>
            <w:vAlign w:val="top"/>
            <w:shd w:fill="FAF9F7"/>
          </w:tcPr>
          <w:p>
            <w:r>
              <w:rPr>
                <w:rFonts w:ascii="Noto Sans" w:hAnsi="Noto Sans"/>
                <w:color w:val="2C2C2E"/>
                <w:sz w:val="11"/>
              </w:rPr>
              <w:t>Glücksspiel, Sucht, lokale Folgewirkung</w:t>
            </w:r>
          </w:p>
        </w:tc>
        <w:tc>
          <w:tcPr>
            <w:tcW w:type="dxa" w:w="2948"/>
            <w:tcMar>
              <w:top w:w="45" w:type="dxa"/>
              <w:start w:w="50" w:type="dxa"/>
              <w:bottom w:w="45" w:type="dxa"/>
              <w:end w:w="50" w:type="dxa"/>
            </w:tcMar>
            <w:vAlign w:val="top"/>
            <w:shd w:fill="FAF9F7"/>
          </w:tcPr>
          <w:p>
            <w:r>
              <w:rPr>
                <w:rFonts w:ascii="Noto Sans" w:hAnsi="Noto Sans"/>
                <w:color w:val="2C2C2E"/>
                <w:sz w:val="11"/>
              </w:rPr>
              <w:t>Präventions- und Sozialfolgen als Evaluations-/Lenkungsparameter möglich; Länderrecht beachten.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Steuerabzug bei Bauleistungen</w:t>
            </w:r>
          </w:p>
        </w:tc>
        <w:tc>
          <w:tcPr>
            <w:tcW w:type="dxa" w:w="1757"/>
            <w:tcMar>
              <w:top w:w="45" w:type="dxa"/>
              <w:start w:w="50" w:type="dxa"/>
              <w:bottom w:w="45" w:type="dxa"/>
              <w:end w:w="50" w:type="dxa"/>
            </w:tcMar>
            <w:vAlign w:val="top"/>
          </w:tcPr>
          <w:p>
            <w:r>
              <w:rPr>
                <w:rFonts w:ascii="Noto Sans" w:hAnsi="Noto Sans"/>
                <w:color w:val="2C2C2E"/>
                <w:sz w:val="11"/>
              </w:rPr>
              <w:t>Erhebungs-/Sicherungsinstrument</w:t>
            </w:r>
          </w:p>
        </w:tc>
        <w:tc>
          <w:tcPr>
            <w:tcW w:type="dxa" w:w="1134"/>
            <w:tcMar>
              <w:top w:w="45" w:type="dxa"/>
              <w:start w:w="50" w:type="dxa"/>
              <w:bottom w:w="45" w:type="dxa"/>
              <w:end w:w="50" w:type="dxa"/>
            </w:tcMar>
            <w:vAlign w:val="top"/>
          </w:tcPr>
          <w:p>
            <w:r>
              <w:rPr>
                <w:rFonts w:ascii="Noto Sans" w:hAnsi="Noto Sans"/>
                <w:color w:val="2C2C2E"/>
                <w:sz w:val="11"/>
              </w:rPr>
              <w:t>niedrig</w:t>
            </w:r>
          </w:p>
        </w:tc>
        <w:tc>
          <w:tcPr>
            <w:tcW w:type="dxa" w:w="1814"/>
            <w:tcMar>
              <w:top w:w="45" w:type="dxa"/>
              <w:start w:w="50" w:type="dxa"/>
              <w:bottom w:w="45" w:type="dxa"/>
              <w:end w:w="50" w:type="dxa"/>
            </w:tcMar>
            <w:vAlign w:val="top"/>
          </w:tcPr>
          <w:p>
            <w:r>
              <w:rPr>
                <w:rFonts w:ascii="Noto Sans" w:hAnsi="Noto Sans"/>
                <w:color w:val="2C2C2E"/>
                <w:sz w:val="11"/>
              </w:rPr>
              <w:t>Steuererhebung</w:t>
            </w:r>
          </w:p>
        </w:tc>
        <w:tc>
          <w:tcPr>
            <w:tcW w:type="dxa" w:w="2948"/>
            <w:tcMar>
              <w:top w:w="45" w:type="dxa"/>
              <w:start w:w="50" w:type="dxa"/>
              <w:bottom w:w="45" w:type="dxa"/>
              <w:end w:w="50" w:type="dxa"/>
            </w:tcMar>
            <w:vAlign w:val="top"/>
          </w:tcPr>
          <w:p>
            <w:r>
              <w:rPr>
                <w:rFonts w:ascii="Noto Sans" w:hAnsi="Noto Sans"/>
                <w:color w:val="2C2C2E"/>
                <w:sz w:val="11"/>
              </w:rPr>
              <w:t>Keine eigene Wirkungssteuer; kann Datenpfad tragen, wenn Bauleistungen in anderen Modulen bewertet werden.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Stromsteuer</w:t>
            </w:r>
          </w:p>
        </w:tc>
        <w:tc>
          <w:tcPr>
            <w:tcW w:type="dxa" w:w="1757"/>
            <w:tcMar>
              <w:top w:w="45" w:type="dxa"/>
              <w:start w:w="50" w:type="dxa"/>
              <w:bottom w:w="45" w:type="dxa"/>
              <w:end w:w="50" w:type="dxa"/>
            </w:tcMar>
            <w:vAlign w:val="top"/>
            <w:shd w:fill="FAF9F7"/>
          </w:tcPr>
          <w:p>
            <w:r>
              <w:rPr>
                <w:rFonts w:ascii="Noto Sans" w:hAnsi="Noto Sans"/>
                <w:color w:val="2C2C2E"/>
                <w:sz w:val="11"/>
              </w:rPr>
              <w:t>Bund/EU-harmonisiert</w:t>
            </w:r>
          </w:p>
        </w:tc>
        <w:tc>
          <w:tcPr>
            <w:tcW w:type="dxa" w:w="1134"/>
            <w:tcMar>
              <w:top w:w="45" w:type="dxa"/>
              <w:start w:w="50" w:type="dxa"/>
              <w:bottom w:w="45" w:type="dxa"/>
              <w:end w:w="50" w:type="dxa"/>
            </w:tcMar>
            <w:vAlign w:val="top"/>
            <w:shd w:fill="FAF9F7"/>
          </w:tcPr>
          <w:p>
            <w:r>
              <w:rPr>
                <w:rFonts w:ascii="Noto Sans" w:hAnsi="Noto Sans"/>
                <w:color w:val="2C2C2E"/>
                <w:sz w:val="11"/>
              </w:rPr>
              <w:t>sehr hoch</w:t>
            </w:r>
          </w:p>
        </w:tc>
        <w:tc>
          <w:tcPr>
            <w:tcW w:type="dxa" w:w="1814"/>
            <w:tcMar>
              <w:top w:w="45" w:type="dxa"/>
              <w:start w:w="50" w:type="dxa"/>
              <w:bottom w:w="45" w:type="dxa"/>
              <w:end w:w="50" w:type="dxa"/>
            </w:tcMar>
            <w:vAlign w:val="top"/>
            <w:shd w:fill="FAF9F7"/>
          </w:tcPr>
          <w:p>
            <w:r>
              <w:rPr>
                <w:rFonts w:ascii="Noto Sans" w:hAnsi="Noto Sans"/>
                <w:color w:val="2C2C2E"/>
                <w:sz w:val="11"/>
              </w:rPr>
              <w:t>Energiesystem, Klima, Flexibilität, Elektrifizierung</w:t>
            </w:r>
          </w:p>
        </w:tc>
        <w:tc>
          <w:tcPr>
            <w:tcW w:type="dxa" w:w="2948"/>
            <w:tcMar>
              <w:top w:w="45" w:type="dxa"/>
              <w:start w:w="50" w:type="dxa"/>
              <w:bottom w:w="45" w:type="dxa"/>
              <w:end w:w="50" w:type="dxa"/>
            </w:tcMar>
            <w:vAlign w:val="top"/>
            <w:shd w:fill="FAF9F7"/>
          </w:tcPr>
          <w:p>
            <w:r>
              <w:rPr>
                <w:rFonts w:ascii="Noto Sans" w:hAnsi="Noto Sans"/>
                <w:color w:val="2C2C2E"/>
                <w:sz w:val="11"/>
              </w:rPr>
              <w:t>Kernmodul. Strommix, Netz-/Systemdienlichkeit, Elektrifizierungsziele und EU-Energiesteuerrecht kohärent behandeln.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Tabaksteuer</w:t>
            </w:r>
          </w:p>
        </w:tc>
        <w:tc>
          <w:tcPr>
            <w:tcW w:type="dxa" w:w="1757"/>
            <w:tcMar>
              <w:top w:w="45" w:type="dxa"/>
              <w:start w:w="50" w:type="dxa"/>
              <w:bottom w:w="45" w:type="dxa"/>
              <w:end w:w="50" w:type="dxa"/>
            </w:tcMar>
            <w:vAlign w:val="top"/>
          </w:tcPr>
          <w:p>
            <w:r>
              <w:rPr>
                <w:rFonts w:ascii="Noto Sans" w:hAnsi="Noto Sans"/>
                <w:color w:val="2C2C2E"/>
                <w:sz w:val="11"/>
              </w:rPr>
              <w:t>Bund/EU-harmonisiert</w:t>
            </w:r>
          </w:p>
        </w:tc>
        <w:tc>
          <w:tcPr>
            <w:tcW w:type="dxa" w:w="1134"/>
            <w:tcMar>
              <w:top w:w="45" w:type="dxa"/>
              <w:start w:w="50" w:type="dxa"/>
              <w:bottom w:w="45" w:type="dxa"/>
              <w:end w:w="50" w:type="dxa"/>
            </w:tcMar>
            <w:vAlign w:val="top"/>
          </w:tcPr>
          <w:p>
            <w:r>
              <w:rPr>
                <w:rFonts w:ascii="Noto Sans" w:hAnsi="Noto Sans"/>
                <w:color w:val="2C2C2E"/>
                <w:sz w:val="11"/>
              </w:rPr>
              <w:t>sehr hoch</w:t>
            </w:r>
          </w:p>
        </w:tc>
        <w:tc>
          <w:tcPr>
            <w:tcW w:type="dxa" w:w="1814"/>
            <w:tcMar>
              <w:top w:w="45" w:type="dxa"/>
              <w:start w:w="50" w:type="dxa"/>
              <w:bottom w:w="45" w:type="dxa"/>
              <w:end w:w="50" w:type="dxa"/>
            </w:tcMar>
            <w:vAlign w:val="top"/>
          </w:tcPr>
          <w:p>
            <w:r>
              <w:rPr>
                <w:rFonts w:ascii="Noto Sans" w:hAnsi="Noto Sans"/>
                <w:color w:val="2C2C2E"/>
                <w:sz w:val="11"/>
              </w:rPr>
              <w:t>Gesundheit, Sucht, Folgekosten</w:t>
            </w:r>
          </w:p>
        </w:tc>
        <w:tc>
          <w:tcPr>
            <w:tcW w:type="dxa" w:w="2948"/>
            <w:tcMar>
              <w:top w:w="45" w:type="dxa"/>
              <w:start w:w="50" w:type="dxa"/>
              <w:bottom w:w="45" w:type="dxa"/>
              <w:end w:w="50" w:type="dxa"/>
            </w:tcMar>
            <w:vAlign w:val="top"/>
          </w:tcPr>
          <w:p>
            <w:r>
              <w:rPr>
                <w:rFonts w:ascii="Noto Sans" w:hAnsi="Noto Sans"/>
                <w:color w:val="2C2C2E"/>
                <w:sz w:val="11"/>
              </w:rPr>
              <w:t>Klassischer Lenkungstatbestand; WÖk ergänzt Evidenz-, Präventions- und Produktdifferenzierungsprüfung.</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Umsatzsteuer</w:t>
            </w:r>
          </w:p>
        </w:tc>
        <w:tc>
          <w:tcPr>
            <w:tcW w:type="dxa" w:w="1757"/>
            <w:tcMar>
              <w:top w:w="45" w:type="dxa"/>
              <w:start w:w="50" w:type="dxa"/>
              <w:bottom w:w="45" w:type="dxa"/>
              <w:end w:w="50" w:type="dxa"/>
            </w:tcMar>
            <w:vAlign w:val="top"/>
            <w:shd w:fill="FAF9F7"/>
          </w:tcPr>
          <w:p>
            <w:r>
              <w:rPr>
                <w:rFonts w:ascii="Noto Sans" w:hAnsi="Noto Sans"/>
                <w:color w:val="2C2C2E"/>
                <w:sz w:val="11"/>
              </w:rPr>
              <w:t>Gemeinschaftsteuer/EU-harmonisiert</w:t>
            </w:r>
          </w:p>
        </w:tc>
        <w:tc>
          <w:tcPr>
            <w:tcW w:type="dxa" w:w="1134"/>
            <w:tcMar>
              <w:top w:w="45" w:type="dxa"/>
              <w:start w:w="50" w:type="dxa"/>
              <w:bottom w:w="45" w:type="dxa"/>
              <w:end w:w="50" w:type="dxa"/>
            </w:tcMar>
            <w:vAlign w:val="top"/>
            <w:shd w:fill="FAF9F7"/>
          </w:tcPr>
          <w:p>
            <w:r>
              <w:rPr>
                <w:rFonts w:ascii="Noto Sans" w:hAnsi="Noto Sans"/>
                <w:color w:val="2C2C2E"/>
                <w:sz w:val="11"/>
              </w:rPr>
              <w:t>sehr hoch, rechtlich stark begrenzt</w:t>
            </w:r>
          </w:p>
        </w:tc>
        <w:tc>
          <w:tcPr>
            <w:tcW w:type="dxa" w:w="1814"/>
            <w:tcMar>
              <w:top w:w="45" w:type="dxa"/>
              <w:start w:w="50" w:type="dxa"/>
              <w:bottom w:w="45" w:type="dxa"/>
              <w:end w:w="50" w:type="dxa"/>
            </w:tcMar>
            <w:vAlign w:val="top"/>
            <w:shd w:fill="FAF9F7"/>
          </w:tcPr>
          <w:p>
            <w:r>
              <w:rPr>
                <w:rFonts w:ascii="Noto Sans" w:hAnsi="Noto Sans"/>
                <w:color w:val="2C2C2E"/>
                <w:sz w:val="11"/>
              </w:rPr>
              <w:t>Konsum-/Produktwirkung</w:t>
            </w:r>
          </w:p>
        </w:tc>
        <w:tc>
          <w:tcPr>
            <w:tcW w:type="dxa" w:w="2948"/>
            <w:tcMar>
              <w:top w:w="45" w:type="dxa"/>
              <w:start w:w="50" w:type="dxa"/>
              <w:bottom w:w="45" w:type="dxa"/>
              <w:end w:w="50" w:type="dxa"/>
            </w:tcMar>
            <w:vAlign w:val="top"/>
            <w:shd w:fill="FAF9F7"/>
          </w:tcPr>
          <w:p>
            <w:r>
              <w:rPr>
                <w:rFonts w:ascii="Noto Sans" w:hAnsi="Noto Sans"/>
                <w:color w:val="2C2C2E"/>
                <w:sz w:val="11"/>
              </w:rPr>
              <w:t>Langfristig zentral, kurzfristig nur innerhalb EU-Kategorien. Kein freier nationaler Universaltarif; europäischer Reformpfad nötig.</w:t>
            </w:r>
          </w:p>
        </w:tc>
      </w:tr>
      <w:tr>
        <w:trPr>
          <w:cantSplit/>
        </w:trPr>
        <w:tc>
          <w:tcPr>
            <w:tcW w:type="dxa" w:w="1757"/>
            <w:tcMar>
              <w:top w:w="45" w:type="dxa"/>
              <w:start w:w="50" w:type="dxa"/>
              <w:bottom w:w="45" w:type="dxa"/>
              <w:end w:w="50" w:type="dxa"/>
            </w:tcMar>
            <w:vAlign w:val="top"/>
          </w:tcPr>
          <w:p>
            <w:r>
              <w:rPr>
                <w:rFonts w:ascii="Noto Sans" w:hAnsi="Noto Sans"/>
                <w:color w:val="2C2C2E"/>
                <w:sz w:val="11"/>
              </w:rPr>
              <w:t>Besondere Verbrauchsteuern</w:t>
            </w:r>
          </w:p>
        </w:tc>
        <w:tc>
          <w:tcPr>
            <w:tcW w:type="dxa" w:w="1757"/>
            <w:tcMar>
              <w:top w:w="45" w:type="dxa"/>
              <w:start w:w="50" w:type="dxa"/>
              <w:bottom w:w="45" w:type="dxa"/>
              <w:end w:w="50" w:type="dxa"/>
            </w:tcMar>
            <w:vAlign w:val="top"/>
          </w:tcPr>
          <w:p>
            <w:r>
              <w:rPr>
                <w:rFonts w:ascii="Noto Sans" w:hAnsi="Noto Sans"/>
                <w:color w:val="2C2C2E"/>
                <w:sz w:val="11"/>
              </w:rPr>
              <w:t>Bund/Länder/EU je Art</w:t>
            </w:r>
          </w:p>
        </w:tc>
        <w:tc>
          <w:tcPr>
            <w:tcW w:type="dxa" w:w="1134"/>
            <w:tcMar>
              <w:top w:w="45" w:type="dxa"/>
              <w:start w:w="50" w:type="dxa"/>
              <w:bottom w:w="45" w:type="dxa"/>
              <w:end w:w="50" w:type="dxa"/>
            </w:tcMar>
            <w:vAlign w:val="top"/>
          </w:tcPr>
          <w:p>
            <w:r>
              <w:rPr>
                <w:rFonts w:ascii="Noto Sans" w:hAnsi="Noto Sans"/>
                <w:color w:val="2C2C2E"/>
                <w:sz w:val="11"/>
              </w:rPr>
              <w:t>hoch</w:t>
            </w:r>
          </w:p>
        </w:tc>
        <w:tc>
          <w:tcPr>
            <w:tcW w:type="dxa" w:w="1814"/>
            <w:tcMar>
              <w:top w:w="45" w:type="dxa"/>
              <w:start w:w="50" w:type="dxa"/>
              <w:bottom w:w="45" w:type="dxa"/>
              <w:end w:w="50" w:type="dxa"/>
            </w:tcMar>
            <w:vAlign w:val="top"/>
          </w:tcPr>
          <w:p>
            <w:r>
              <w:rPr>
                <w:rFonts w:ascii="Noto Sans" w:hAnsi="Noto Sans"/>
                <w:color w:val="2C2C2E"/>
                <w:sz w:val="11"/>
              </w:rPr>
              <w:t>spezifische Verbrauchsfolgen</w:t>
            </w:r>
          </w:p>
        </w:tc>
        <w:tc>
          <w:tcPr>
            <w:tcW w:type="dxa" w:w="2948"/>
            <w:tcMar>
              <w:top w:w="45" w:type="dxa"/>
              <w:start w:w="50" w:type="dxa"/>
              <w:bottom w:w="45" w:type="dxa"/>
              <w:end w:w="50" w:type="dxa"/>
            </w:tcMar>
            <w:vAlign w:val="top"/>
          </w:tcPr>
          <w:p>
            <w:r>
              <w:rPr>
                <w:rFonts w:ascii="Noto Sans" w:hAnsi="Noto Sans"/>
                <w:color w:val="2C2C2E"/>
                <w:sz w:val="11"/>
              </w:rPr>
              <w:t>Familienlogik: Wirkung dort rückkoppeln, wo Verbrauch selbst der belastbare Anknüpfungspunkt ist.</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Vergnügungsteuer</w:t>
            </w:r>
          </w:p>
        </w:tc>
        <w:tc>
          <w:tcPr>
            <w:tcW w:type="dxa" w:w="1757"/>
            <w:tcMar>
              <w:top w:w="45" w:type="dxa"/>
              <w:start w:w="50" w:type="dxa"/>
              <w:bottom w:w="45" w:type="dxa"/>
              <w:end w:w="50" w:type="dxa"/>
            </w:tcMar>
            <w:vAlign w:val="top"/>
            <w:shd w:fill="FAF9F7"/>
          </w:tcPr>
          <w:p>
            <w:r>
              <w:rPr>
                <w:rFonts w:ascii="Noto Sans" w:hAnsi="Noto Sans"/>
                <w:color w:val="2C2C2E"/>
                <w:sz w:val="11"/>
              </w:rPr>
              <w:t>Gemeinden</w:t>
            </w:r>
          </w:p>
        </w:tc>
        <w:tc>
          <w:tcPr>
            <w:tcW w:type="dxa" w:w="1134"/>
            <w:tcMar>
              <w:top w:w="45" w:type="dxa"/>
              <w:start w:w="50" w:type="dxa"/>
              <w:bottom w:w="45" w:type="dxa"/>
              <w:end w:w="50" w:type="dxa"/>
            </w:tcMar>
            <w:vAlign w:val="top"/>
            <w:shd w:fill="FAF9F7"/>
          </w:tcPr>
          <w:p>
            <w:r>
              <w:rPr>
                <w:rFonts w:ascii="Noto Sans" w:hAnsi="Noto Sans"/>
                <w:color w:val="2C2C2E"/>
                <w:sz w:val="11"/>
              </w:rPr>
              <w:t>mittel</w:t>
            </w:r>
          </w:p>
        </w:tc>
        <w:tc>
          <w:tcPr>
            <w:tcW w:type="dxa" w:w="1814"/>
            <w:tcMar>
              <w:top w:w="45" w:type="dxa"/>
              <w:start w:w="50" w:type="dxa"/>
              <w:bottom w:w="45" w:type="dxa"/>
              <w:end w:w="50" w:type="dxa"/>
            </w:tcMar>
            <w:vAlign w:val="top"/>
            <w:shd w:fill="FAF9F7"/>
          </w:tcPr>
          <w:p>
            <w:r>
              <w:rPr>
                <w:rFonts w:ascii="Noto Sans" w:hAnsi="Noto Sans"/>
                <w:color w:val="2C2C2E"/>
                <w:sz w:val="11"/>
              </w:rPr>
              <w:t>lokale Glücksspiel-/Unterhaltungsfolgen</w:t>
            </w:r>
          </w:p>
        </w:tc>
        <w:tc>
          <w:tcPr>
            <w:tcW w:type="dxa" w:w="2948"/>
            <w:tcMar>
              <w:top w:w="45" w:type="dxa"/>
              <w:start w:w="50" w:type="dxa"/>
              <w:bottom w:w="45" w:type="dxa"/>
              <w:end w:w="50" w:type="dxa"/>
            </w:tcMar>
            <w:vAlign w:val="top"/>
            <w:shd w:fill="FAF9F7"/>
          </w:tcPr>
          <w:p>
            <w:r>
              <w:rPr>
                <w:rFonts w:ascii="Noto Sans" w:hAnsi="Noto Sans"/>
                <w:color w:val="2C2C2E"/>
                <w:sz w:val="11"/>
              </w:rPr>
              <w:t>Kommunales Wirkungspotenzial, insbesondere Prävention; administrativen Nutzen gegen Komplexität prüfen.</w:t>
            </w:r>
          </w:p>
        </w:tc>
      </w:tr>
      <w:tr>
        <w:trPr>
          <w:cantSplit/>
        </w:trPr>
        <w:tc>
          <w:tcPr>
            <w:tcW w:type="dxa" w:w="1757"/>
            <w:tcMar>
              <w:top w:w="45" w:type="dxa"/>
              <w:start w:w="50" w:type="dxa"/>
              <w:bottom w:w="45" w:type="dxa"/>
              <w:end w:w="50" w:type="dxa"/>
            </w:tcMar>
            <w:vAlign w:val="top"/>
          </w:tcPr>
          <w:p>
            <w:r>
              <w:rPr>
                <w:rFonts w:ascii="Noto Sans" w:hAnsi="Noto Sans"/>
                <w:color w:val="2C2C2E"/>
                <w:sz w:val="11"/>
              </w:rPr>
              <w:t>Versicherungsteuer</w:t>
            </w:r>
          </w:p>
        </w:tc>
        <w:tc>
          <w:tcPr>
            <w:tcW w:type="dxa" w:w="1757"/>
            <w:tcMar>
              <w:top w:w="45" w:type="dxa"/>
              <w:start w:w="50" w:type="dxa"/>
              <w:bottom w:w="45" w:type="dxa"/>
              <w:end w:w="50" w:type="dxa"/>
            </w:tcMar>
            <w:vAlign w:val="top"/>
          </w:tcPr>
          <w:p>
            <w:r>
              <w:rPr>
                <w:rFonts w:ascii="Noto Sans" w:hAnsi="Noto Sans"/>
                <w:color w:val="2C2C2E"/>
                <w:sz w:val="11"/>
              </w:rPr>
              <w:t>Bund</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Risikoprävention, Versicherbarkeit, Resilienz</w:t>
            </w:r>
          </w:p>
        </w:tc>
        <w:tc>
          <w:tcPr>
            <w:tcW w:type="dxa" w:w="2948"/>
            <w:tcMar>
              <w:top w:w="45" w:type="dxa"/>
              <w:start w:w="50" w:type="dxa"/>
              <w:bottom w:w="45" w:type="dxa"/>
              <w:end w:w="50" w:type="dxa"/>
            </w:tcMar>
            <w:vAlign w:val="top"/>
          </w:tcPr>
          <w:p>
            <w:r>
              <w:rPr>
                <w:rFonts w:ascii="Noto Sans" w:hAnsi="Noto Sans"/>
                <w:color w:val="2C2C2E"/>
                <w:sz w:val="11"/>
              </w:rPr>
              <w:t>Interessant für risikobasierte Anreize, aber Versicherungszugang nicht verteuern; Prävention besser oft über Produkt-/Prämienregeln.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Zölle</w:t>
            </w:r>
          </w:p>
        </w:tc>
        <w:tc>
          <w:tcPr>
            <w:tcW w:type="dxa" w:w="1757"/>
            <w:tcMar>
              <w:top w:w="45" w:type="dxa"/>
              <w:start w:w="50" w:type="dxa"/>
              <w:bottom w:w="45" w:type="dxa"/>
              <w:end w:w="50" w:type="dxa"/>
            </w:tcMar>
            <w:vAlign w:val="top"/>
            <w:shd w:fill="FAF9F7"/>
          </w:tcPr>
          <w:p>
            <w:r>
              <w:rPr>
                <w:rFonts w:ascii="Noto Sans" w:hAnsi="Noto Sans"/>
                <w:color w:val="2C2C2E"/>
                <w:sz w:val="11"/>
              </w:rPr>
              <w:t>EU-Kompetenz</w:t>
            </w:r>
          </w:p>
        </w:tc>
        <w:tc>
          <w:tcPr>
            <w:tcW w:type="dxa" w:w="1134"/>
            <w:tcMar>
              <w:top w:w="45" w:type="dxa"/>
              <w:start w:w="50" w:type="dxa"/>
              <w:bottom w:w="45" w:type="dxa"/>
              <w:end w:w="50" w:type="dxa"/>
            </w:tcMar>
            <w:vAlign w:val="top"/>
            <w:shd w:fill="FAF9F7"/>
          </w:tcPr>
          <w:p>
            <w:r>
              <w:rPr>
                <w:rFonts w:ascii="Noto Sans" w:hAnsi="Noto Sans"/>
                <w:color w:val="2C2C2E"/>
                <w:sz w:val="11"/>
              </w:rPr>
              <w:t>hoch strategisch, national nicht frei</w:t>
            </w:r>
          </w:p>
        </w:tc>
        <w:tc>
          <w:tcPr>
            <w:tcW w:type="dxa" w:w="1814"/>
            <w:tcMar>
              <w:top w:w="45" w:type="dxa"/>
              <w:start w:w="50" w:type="dxa"/>
              <w:bottom w:w="45" w:type="dxa"/>
              <w:end w:w="50" w:type="dxa"/>
            </w:tcMar>
            <w:vAlign w:val="top"/>
            <w:shd w:fill="FAF9F7"/>
          </w:tcPr>
          <w:p>
            <w:r>
              <w:rPr>
                <w:rFonts w:ascii="Noto Sans" w:hAnsi="Noto Sans"/>
                <w:color w:val="2C2C2E"/>
                <w:sz w:val="11"/>
              </w:rPr>
              <w:t>Importwirkung, Handel, Level Playing Field</w:t>
            </w:r>
          </w:p>
        </w:tc>
        <w:tc>
          <w:tcPr>
            <w:tcW w:type="dxa" w:w="2948"/>
            <w:tcMar>
              <w:top w:w="45" w:type="dxa"/>
              <w:start w:w="50" w:type="dxa"/>
              <w:bottom w:w="45" w:type="dxa"/>
              <w:end w:w="50" w:type="dxa"/>
            </w:tcMar>
            <w:vAlign w:val="top"/>
            <w:shd w:fill="FAF9F7"/>
          </w:tcPr>
          <w:p>
            <w:r>
              <w:rPr>
                <w:rFonts w:ascii="Noto Sans" w:hAnsi="Noto Sans"/>
                <w:color w:val="2C2C2E"/>
                <w:sz w:val="11"/>
              </w:rPr>
              <w:t>Nur EU-/WTO-kompatibel. Nationale WÖk-Zölle nicht zulässig; CBAM als begrenztes Daten-/Grenzausgleichsvorbild, nicht Universalschablone.</w:t>
            </w:r>
          </w:p>
        </w:tc>
      </w:tr>
      <w:tr>
        <w:trPr>
          <w:cantSplit/>
        </w:trPr>
        <w:tc>
          <w:tcPr>
            <w:tcW w:type="dxa" w:w="1757"/>
            <w:tcMar>
              <w:top w:w="45" w:type="dxa"/>
              <w:start w:w="50" w:type="dxa"/>
              <w:bottom w:w="45" w:type="dxa"/>
              <w:end w:w="50" w:type="dxa"/>
            </w:tcMar>
            <w:vAlign w:val="top"/>
          </w:tcPr>
          <w:p>
            <w:r>
              <w:rPr>
                <w:rFonts w:ascii="Noto Sans" w:hAnsi="Noto Sans"/>
                <w:color w:val="2C2C2E"/>
                <w:sz w:val="11"/>
              </w:rPr>
              <w:t>Zweitwohnungsteuer</w:t>
            </w:r>
          </w:p>
        </w:tc>
        <w:tc>
          <w:tcPr>
            <w:tcW w:type="dxa" w:w="1757"/>
            <w:tcMar>
              <w:top w:w="45" w:type="dxa"/>
              <w:start w:w="50" w:type="dxa"/>
              <w:bottom w:w="45" w:type="dxa"/>
              <w:end w:w="50" w:type="dxa"/>
            </w:tcMar>
            <w:vAlign w:val="top"/>
          </w:tcPr>
          <w:p>
            <w:r>
              <w:rPr>
                <w:rFonts w:ascii="Noto Sans" w:hAnsi="Noto Sans"/>
                <w:color w:val="2C2C2E"/>
                <w:sz w:val="11"/>
              </w:rPr>
              <w:t>Gemeinden</w:t>
            </w:r>
          </w:p>
        </w:tc>
        <w:tc>
          <w:tcPr>
            <w:tcW w:type="dxa" w:w="1134"/>
            <w:tcMar>
              <w:top w:w="45" w:type="dxa"/>
              <w:start w:w="50" w:type="dxa"/>
              <w:bottom w:w="45" w:type="dxa"/>
              <w:end w:w="50" w:type="dxa"/>
            </w:tcMar>
            <w:vAlign w:val="top"/>
          </w:tcPr>
          <w:p>
            <w:r>
              <w:rPr>
                <w:rFonts w:ascii="Noto Sans" w:hAnsi="Noto Sans"/>
                <w:color w:val="2C2C2E"/>
                <w:sz w:val="11"/>
              </w:rPr>
              <w:t>mittel</w:t>
            </w:r>
          </w:p>
        </w:tc>
        <w:tc>
          <w:tcPr>
            <w:tcW w:type="dxa" w:w="1814"/>
            <w:tcMar>
              <w:top w:w="45" w:type="dxa"/>
              <w:start w:w="50" w:type="dxa"/>
              <w:bottom w:w="45" w:type="dxa"/>
              <w:end w:w="50" w:type="dxa"/>
            </w:tcMar>
            <w:vAlign w:val="top"/>
          </w:tcPr>
          <w:p>
            <w:r>
              <w:rPr>
                <w:rFonts w:ascii="Noto Sans" w:hAnsi="Noto Sans"/>
                <w:color w:val="2C2C2E"/>
                <w:sz w:val="11"/>
              </w:rPr>
              <w:t>Wohnraumnutzung, lokale Knappheit</w:t>
            </w:r>
          </w:p>
        </w:tc>
        <w:tc>
          <w:tcPr>
            <w:tcW w:type="dxa" w:w="2948"/>
            <w:tcMar>
              <w:top w:w="45" w:type="dxa"/>
              <w:start w:w="50" w:type="dxa"/>
              <w:bottom w:w="45" w:type="dxa"/>
              <w:end w:w="50" w:type="dxa"/>
            </w:tcMar>
            <w:vAlign w:val="top"/>
          </w:tcPr>
          <w:p>
            <w:r>
              <w:rPr>
                <w:rFonts w:ascii="Noto Sans" w:hAnsi="Noto Sans"/>
                <w:color w:val="2C2C2E"/>
                <w:sz w:val="11"/>
              </w:rPr>
              <w:t>Lokale Lenkung möglich; Wohnungsmarkt-, Tourismus- und Härtefallwirkung beachten.</w:t>
            </w:r>
          </w:p>
        </w:tc>
      </w:tr>
      <w:tr>
        <w:trPr>
          <w:cantSplit/>
        </w:trPr>
        <w:tc>
          <w:tcPr>
            <w:tcW w:type="dxa" w:w="1757"/>
            <w:tcMar>
              <w:top w:w="45" w:type="dxa"/>
              <w:start w:w="50" w:type="dxa"/>
              <w:bottom w:w="45" w:type="dxa"/>
              <w:end w:w="50" w:type="dxa"/>
            </w:tcMar>
            <w:vAlign w:val="top"/>
            <w:shd w:fill="FAF9F7"/>
          </w:tcPr>
          <w:p>
            <w:r>
              <w:rPr>
                <w:rFonts w:ascii="Noto Sans" w:hAnsi="Noto Sans"/>
                <w:color w:val="2C2C2E"/>
                <w:sz w:val="11"/>
              </w:rPr>
              <w:t>Zwischenerzeugnissteuer</w:t>
            </w:r>
          </w:p>
        </w:tc>
        <w:tc>
          <w:tcPr>
            <w:tcW w:type="dxa" w:w="1757"/>
            <w:tcMar>
              <w:top w:w="45" w:type="dxa"/>
              <w:start w:w="50" w:type="dxa"/>
              <w:bottom w:w="45" w:type="dxa"/>
              <w:end w:w="50" w:type="dxa"/>
            </w:tcMar>
            <w:vAlign w:val="top"/>
            <w:shd w:fill="FAF9F7"/>
          </w:tcPr>
          <w:p>
            <w:r>
              <w:rPr>
                <w:rFonts w:ascii="Noto Sans" w:hAnsi="Noto Sans"/>
                <w:color w:val="2C2C2E"/>
                <w:sz w:val="11"/>
              </w:rPr>
              <w:t>Bund/EU-harmonisiert</w:t>
            </w:r>
          </w:p>
        </w:tc>
        <w:tc>
          <w:tcPr>
            <w:tcW w:type="dxa" w:w="1134"/>
            <w:tcMar>
              <w:top w:w="45" w:type="dxa"/>
              <w:start w:w="50" w:type="dxa"/>
              <w:bottom w:w="45" w:type="dxa"/>
              <w:end w:w="50" w:type="dxa"/>
            </w:tcMar>
            <w:vAlign w:val="top"/>
            <w:shd w:fill="FAF9F7"/>
          </w:tcPr>
          <w:p>
            <w:r>
              <w:rPr>
                <w:rFonts w:ascii="Noto Sans" w:hAnsi="Noto Sans"/>
                <w:color w:val="2C2C2E"/>
                <w:sz w:val="11"/>
              </w:rPr>
              <w:t>hoch</w:t>
            </w:r>
          </w:p>
        </w:tc>
        <w:tc>
          <w:tcPr>
            <w:tcW w:type="dxa" w:w="1814"/>
            <w:tcMar>
              <w:top w:w="45" w:type="dxa"/>
              <w:start w:w="50" w:type="dxa"/>
              <w:bottom w:w="45" w:type="dxa"/>
              <w:end w:w="50" w:type="dxa"/>
            </w:tcMar>
            <w:vAlign w:val="top"/>
            <w:shd w:fill="FAF9F7"/>
          </w:tcPr>
          <w:p>
            <w:r>
              <w:rPr>
                <w:rFonts w:ascii="Noto Sans" w:hAnsi="Noto Sans"/>
                <w:color w:val="2C2C2E"/>
                <w:sz w:val="11"/>
              </w:rPr>
              <w:t>Alkohol-/Gesundheitswirkung</w:t>
            </w:r>
          </w:p>
        </w:tc>
        <w:tc>
          <w:tcPr>
            <w:tcW w:type="dxa" w:w="2948"/>
            <w:tcMar>
              <w:top w:w="45" w:type="dxa"/>
              <w:start w:w="50" w:type="dxa"/>
              <w:bottom w:w="45" w:type="dxa"/>
              <w:end w:w="50" w:type="dxa"/>
            </w:tcMar>
            <w:vAlign w:val="top"/>
            <w:shd w:fill="FAF9F7"/>
          </w:tcPr>
          <w:p>
            <w:r>
              <w:rPr>
                <w:rFonts w:ascii="Noto Sans" w:hAnsi="Noto Sans"/>
                <w:color w:val="2C2C2E"/>
                <w:sz w:val="11"/>
              </w:rPr>
              <w:t>In konsistente Alkoholsteuerfamilie integrieren; keine isolierte WÖk-Sonderlogik.</w:t>
            </w:r>
          </w:p>
        </w:tc>
      </w:tr>
      <w:tr>
        <w:trPr>
          <w:cantSplit/>
        </w:trPr>
        <w:tc>
          <w:tcPr>
            <w:tcW w:type="dxa" w:w="1757"/>
            <w:tcMar>
              <w:top w:w="45" w:type="dxa"/>
              <w:start w:w="50" w:type="dxa"/>
              <w:bottom w:w="45" w:type="dxa"/>
              <w:end w:w="50" w:type="dxa"/>
            </w:tcMar>
            <w:vAlign w:val="top"/>
          </w:tcPr>
          <w:p>
            <w:r>
              <w:rPr>
                <w:rFonts w:ascii="Noto Sans" w:hAnsi="Noto Sans"/>
                <w:color w:val="2C2C2E"/>
                <w:sz w:val="11"/>
              </w:rPr>
              <w:t>Vermögensteuer</w:t>
            </w:r>
          </w:p>
        </w:tc>
        <w:tc>
          <w:tcPr>
            <w:tcW w:type="dxa" w:w="1757"/>
            <w:tcMar>
              <w:top w:w="45" w:type="dxa"/>
              <w:start w:w="50" w:type="dxa"/>
              <w:bottom w:w="45" w:type="dxa"/>
              <w:end w:w="50" w:type="dxa"/>
            </w:tcMar>
            <w:vAlign w:val="top"/>
          </w:tcPr>
          <w:p>
            <w:r>
              <w:rPr>
                <w:rFonts w:ascii="Noto Sans" w:hAnsi="Noto Sans"/>
                <w:color w:val="2C2C2E"/>
                <w:sz w:val="11"/>
              </w:rPr>
              <w:t>derzeit nicht erhoben</w:t>
            </w:r>
          </w:p>
        </w:tc>
        <w:tc>
          <w:tcPr>
            <w:tcW w:type="dxa" w:w="1134"/>
            <w:tcMar>
              <w:top w:w="45" w:type="dxa"/>
              <w:start w:w="50" w:type="dxa"/>
              <w:bottom w:w="45" w:type="dxa"/>
              <w:end w:w="50" w:type="dxa"/>
            </w:tcMar>
            <w:vAlign w:val="top"/>
          </w:tcPr>
          <w:p>
            <w:r>
              <w:rPr>
                <w:rFonts w:ascii="Noto Sans" w:hAnsi="Noto Sans"/>
                <w:color w:val="2C2C2E"/>
                <w:sz w:val="11"/>
              </w:rPr>
              <w:t>Zukunftsoption</w:t>
            </w:r>
          </w:p>
        </w:tc>
        <w:tc>
          <w:tcPr>
            <w:tcW w:type="dxa" w:w="1814"/>
            <w:tcMar>
              <w:top w:w="45" w:type="dxa"/>
              <w:start w:w="50" w:type="dxa"/>
              <w:bottom w:w="45" w:type="dxa"/>
              <w:end w:w="50" w:type="dxa"/>
            </w:tcMar>
            <w:vAlign w:val="top"/>
          </w:tcPr>
          <w:p>
            <w:r>
              <w:rPr>
                <w:rFonts w:ascii="Noto Sans" w:hAnsi="Noto Sans"/>
                <w:color w:val="2C2C2E"/>
                <w:sz w:val="11"/>
              </w:rPr>
              <w:t>Kapitalbestand, Konzentration, Wirkungskapital</w:t>
            </w:r>
          </w:p>
        </w:tc>
        <w:tc>
          <w:tcPr>
            <w:tcW w:type="dxa" w:w="2948"/>
            <w:tcMar>
              <w:top w:w="45" w:type="dxa"/>
              <w:start w:w="50" w:type="dxa"/>
              <w:bottom w:w="45" w:type="dxa"/>
              <w:end w:w="50" w:type="dxa"/>
            </w:tcMar>
            <w:vAlign w:val="top"/>
          </w:tcPr>
          <w:p>
            <w:r>
              <w:rPr>
                <w:rFonts w:ascii="Noto Sans" w:hAnsi="Noto Sans"/>
                <w:color w:val="2C2C2E"/>
                <w:sz w:val="11"/>
              </w:rPr>
              <w:t>WStG 3.0 führt sie nicht ein. Falls politisch reaktiviert: eigenständige Verfassungs-, Bewertungs- und Vollzugsarchitektur; Wirkung erst danach.</w:t>
            </w:r>
          </w:p>
        </w:tc>
      </w:tr>
    </w:tbl>
    <w:p>
      <w:pPr>
        <w:pStyle w:val="Heading2"/>
      </w:pPr>
      <w:r>
        <w:t>Priorisierung für eine reale Einführung</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1814"/>
            <w:shd w:fill="0B1020"/>
            <w:tcMar>
              <w:top w:w="55" w:type="dxa"/>
              <w:start w:w="55" w:type="dxa"/>
              <w:bottom w:w="55" w:type="dxa"/>
              <w:end w:w="55" w:type="dxa"/>
            </w:tcMar>
          </w:tcPr>
          <w:p>
            <w:r>
              <w:rPr>
                <w:rFonts w:ascii="Noto Sans" w:hAnsi="Noto Sans"/>
                <w:b/>
                <w:color w:val="FFFFFF"/>
                <w:sz w:val="14"/>
              </w:rPr>
              <w:t>Priorität</w:t>
            </w:r>
          </w:p>
        </w:tc>
        <w:tc>
          <w:tcPr>
            <w:tcW w:type="dxa" w:w="4025"/>
            <w:shd w:fill="0B1020"/>
            <w:tcMar>
              <w:top w:w="55" w:type="dxa"/>
              <w:start w:w="55" w:type="dxa"/>
              <w:bottom w:w="55" w:type="dxa"/>
              <w:end w:w="55" w:type="dxa"/>
            </w:tcMar>
          </w:tcPr>
          <w:p>
            <w:r>
              <w:rPr>
                <w:rFonts w:ascii="Noto Sans" w:hAnsi="Noto Sans"/>
                <w:b/>
                <w:color w:val="FFFFFF"/>
                <w:sz w:val="14"/>
              </w:rPr>
              <w:t>Steuern/Instrumente</w:t>
            </w:r>
          </w:p>
        </w:tc>
        <w:tc>
          <w:tcPr>
            <w:tcW w:type="dxa" w:w="3572"/>
            <w:shd w:fill="0B1020"/>
            <w:tcMar>
              <w:top w:w="55" w:type="dxa"/>
              <w:start w:w="55" w:type="dxa"/>
              <w:bottom w:w="55" w:type="dxa"/>
              <w:end w:w="55" w:type="dxa"/>
            </w:tcMar>
          </w:tcPr>
          <w:p>
            <w:r>
              <w:rPr>
                <w:rFonts w:ascii="Noto Sans" w:hAnsi="Noto Sans"/>
                <w:b/>
                <w:color w:val="FFFFFF"/>
                <w:sz w:val="14"/>
              </w:rPr>
              <w:t>Warum</w:t>
            </w:r>
          </w:p>
        </w:tc>
      </w:tr>
      <w:tr>
        <w:trPr>
          <w:cantSplit/>
        </w:trPr>
        <w:tc>
          <w:tcPr>
            <w:tcW w:type="dxa" w:w="1814"/>
            <w:tcMar>
              <w:top w:w="45" w:type="dxa"/>
              <w:start w:w="50" w:type="dxa"/>
              <w:bottom w:w="45" w:type="dxa"/>
              <w:end w:w="50" w:type="dxa"/>
            </w:tcMar>
            <w:vAlign w:val="top"/>
          </w:tcPr>
          <w:p>
            <w:r>
              <w:rPr>
                <w:rFonts w:ascii="Noto Sans" w:hAnsi="Noto Sans"/>
                <w:color w:val="2C2C2E"/>
                <w:sz w:val="14"/>
              </w:rPr>
              <w:t>A – sofortige Pilotkandidaten</w:t>
            </w:r>
          </w:p>
        </w:tc>
        <w:tc>
          <w:tcPr>
            <w:tcW w:type="dxa" w:w="4025"/>
            <w:tcMar>
              <w:top w:w="45" w:type="dxa"/>
              <w:start w:w="50" w:type="dxa"/>
              <w:bottom w:w="45" w:type="dxa"/>
              <w:end w:w="50" w:type="dxa"/>
            </w:tcMar>
            <w:vAlign w:val="top"/>
          </w:tcPr>
          <w:p>
            <w:r>
              <w:rPr>
                <w:rFonts w:ascii="Noto Sans" w:hAnsi="Noto Sans"/>
                <w:color w:val="2C2C2E"/>
                <w:sz w:val="14"/>
              </w:rPr>
              <w:t>Energiesteuer, Stromsteuer, Kfz-Steuer, Luftverkehrsteuer, Tabak-/Alkoholsteuerfamilie, kommunale Verbrauch-/Verpackungsabgaben</w:t>
            </w:r>
          </w:p>
        </w:tc>
        <w:tc>
          <w:tcPr>
            <w:tcW w:type="dxa" w:w="3572"/>
            <w:tcMar>
              <w:top w:w="45" w:type="dxa"/>
              <w:start w:w="50" w:type="dxa"/>
              <w:bottom w:w="45" w:type="dxa"/>
              <w:end w:w="50" w:type="dxa"/>
            </w:tcMar>
            <w:vAlign w:val="top"/>
          </w:tcPr>
          <w:p>
            <w:r>
              <w:rPr>
                <w:rFonts w:ascii="Noto Sans" w:hAnsi="Noto Sans"/>
                <w:color w:val="2C2C2E"/>
                <w:sz w:val="14"/>
              </w:rPr>
              <w:t>Hoher Wirkungsbezug, bereits lenkende Steuergegenstände, relativ objektive Daten.</w:t>
            </w:r>
          </w:p>
        </w:tc>
      </w:tr>
      <w:tr>
        <w:trPr>
          <w:cantSplit/>
        </w:trPr>
        <w:tc>
          <w:tcPr>
            <w:tcW w:type="dxa" w:w="1814"/>
            <w:tcMar>
              <w:top w:w="45" w:type="dxa"/>
              <w:start w:w="50" w:type="dxa"/>
              <w:bottom w:w="45" w:type="dxa"/>
              <w:end w:w="50" w:type="dxa"/>
            </w:tcMar>
            <w:vAlign w:val="top"/>
            <w:shd w:fill="FAF9F7"/>
          </w:tcPr>
          <w:p>
            <w:r>
              <w:rPr>
                <w:rFonts w:ascii="Noto Sans" w:hAnsi="Noto Sans"/>
                <w:color w:val="2C2C2E"/>
                <w:sz w:val="14"/>
              </w:rPr>
              <w:t>B – zweite Welle</w:t>
            </w:r>
          </w:p>
        </w:tc>
        <w:tc>
          <w:tcPr>
            <w:tcW w:type="dxa" w:w="4025"/>
            <w:tcMar>
              <w:top w:w="45" w:type="dxa"/>
              <w:start w:w="50" w:type="dxa"/>
              <w:bottom w:w="45" w:type="dxa"/>
              <w:end w:w="50" w:type="dxa"/>
            </w:tcMar>
            <w:vAlign w:val="top"/>
            <w:shd w:fill="FAF9F7"/>
          </w:tcPr>
          <w:p>
            <w:r>
              <w:rPr>
                <w:rFonts w:ascii="Noto Sans" w:hAnsi="Noto Sans"/>
                <w:color w:val="2C2C2E"/>
                <w:sz w:val="14"/>
              </w:rPr>
              <w:t>Körperschaftsteuer, Gewerbesteuer, Grund-/Grunderwerbsteuer, Kapitalmodule, Versicherungsteuer</w:t>
            </w:r>
          </w:p>
        </w:tc>
        <w:tc>
          <w:tcPr>
            <w:tcW w:type="dxa" w:w="3572"/>
            <w:tcMar>
              <w:top w:w="45" w:type="dxa"/>
              <w:start w:w="50" w:type="dxa"/>
              <w:bottom w:w="45" w:type="dxa"/>
              <w:end w:w="50" w:type="dxa"/>
            </w:tcMar>
            <w:vAlign w:val="top"/>
            <w:shd w:fill="FAF9F7"/>
          </w:tcPr>
          <w:p>
            <w:r>
              <w:rPr>
                <w:rFonts w:ascii="Noto Sans" w:hAnsi="Noto Sans"/>
                <w:color w:val="2C2C2E"/>
                <w:sz w:val="14"/>
              </w:rPr>
              <w:t>Starke Systemwirkung, aber höhere Verteilungs-, Standort-, Rechts- und Datenkomplexität.</w:t>
            </w:r>
          </w:p>
        </w:tc>
      </w:tr>
      <w:tr>
        <w:trPr>
          <w:cantSplit/>
        </w:trPr>
        <w:tc>
          <w:tcPr>
            <w:tcW w:type="dxa" w:w="1814"/>
            <w:tcMar>
              <w:top w:w="45" w:type="dxa"/>
              <w:start w:w="50" w:type="dxa"/>
              <w:bottom w:w="45" w:type="dxa"/>
              <w:end w:w="50" w:type="dxa"/>
            </w:tcMar>
            <w:vAlign w:val="top"/>
          </w:tcPr>
          <w:p>
            <w:r>
              <w:rPr>
                <w:rFonts w:ascii="Noto Sans" w:hAnsi="Noto Sans"/>
                <w:color w:val="2C2C2E"/>
                <w:sz w:val="14"/>
              </w:rPr>
              <w:t>C – EU-Pfad</w:t>
            </w:r>
          </w:p>
        </w:tc>
        <w:tc>
          <w:tcPr>
            <w:tcW w:type="dxa" w:w="4025"/>
            <w:tcMar>
              <w:top w:w="45" w:type="dxa"/>
              <w:start w:w="50" w:type="dxa"/>
              <w:bottom w:w="45" w:type="dxa"/>
              <w:end w:w="50" w:type="dxa"/>
            </w:tcMar>
            <w:vAlign w:val="top"/>
          </w:tcPr>
          <w:p>
            <w:r>
              <w:rPr>
                <w:rFonts w:ascii="Noto Sans" w:hAnsi="Noto Sans"/>
                <w:color w:val="2C2C2E"/>
                <w:sz w:val="14"/>
              </w:rPr>
              <w:t>Umsatzsteuer, Einfuhrumsatzsteuer, Zölle, Teile der Energie-/Verbrauchsteuerharmonisierung</w:t>
            </w:r>
          </w:p>
        </w:tc>
        <w:tc>
          <w:tcPr>
            <w:tcW w:type="dxa" w:w="3572"/>
            <w:tcMar>
              <w:top w:w="45" w:type="dxa"/>
              <w:start w:w="50" w:type="dxa"/>
              <w:bottom w:w="45" w:type="dxa"/>
              <w:end w:w="50" w:type="dxa"/>
            </w:tcMar>
            <w:vAlign w:val="top"/>
          </w:tcPr>
          <w:p>
            <w:r>
              <w:rPr>
                <w:rFonts w:ascii="Noto Sans" w:hAnsi="Noto Sans"/>
                <w:color w:val="2C2C2E"/>
                <w:sz w:val="14"/>
              </w:rPr>
              <w:t>Hoher Hebel, aber europäische Kompetenz/Harmonisierung entscheidend.</w:t>
            </w:r>
          </w:p>
        </w:tc>
      </w:tr>
      <w:tr>
        <w:trPr>
          <w:cantSplit/>
        </w:trPr>
        <w:tc>
          <w:tcPr>
            <w:tcW w:type="dxa" w:w="1814"/>
            <w:tcMar>
              <w:top w:w="45" w:type="dxa"/>
              <w:start w:w="50" w:type="dxa"/>
              <w:bottom w:w="45" w:type="dxa"/>
              <w:end w:w="50" w:type="dxa"/>
            </w:tcMar>
            <w:vAlign w:val="top"/>
            <w:shd w:fill="FAF9F7"/>
          </w:tcPr>
          <w:p>
            <w:r>
              <w:rPr>
                <w:rFonts w:ascii="Noto Sans" w:hAnsi="Noto Sans"/>
                <w:color w:val="2C2C2E"/>
                <w:sz w:val="14"/>
              </w:rPr>
              <w:t>D – bewusst schlank</w:t>
            </w:r>
          </w:p>
        </w:tc>
        <w:tc>
          <w:tcPr>
            <w:tcW w:type="dxa" w:w="4025"/>
            <w:tcMar>
              <w:top w:w="45" w:type="dxa"/>
              <w:start w:w="50" w:type="dxa"/>
              <w:bottom w:w="45" w:type="dxa"/>
              <w:end w:w="50" w:type="dxa"/>
            </w:tcMar>
            <w:vAlign w:val="top"/>
            <w:shd w:fill="FAF9F7"/>
          </w:tcPr>
          <w:p>
            <w:r>
              <w:rPr>
                <w:rFonts w:ascii="Noto Sans" w:hAnsi="Noto Sans"/>
                <w:color w:val="2C2C2E"/>
                <w:sz w:val="14"/>
              </w:rPr>
              <w:t>Lohnsteuer als Erhebungsform, Mindeststeuer, Soli, Bauabzug, Feuerschutzsteuer, Kirchensteuer</w:t>
            </w:r>
          </w:p>
        </w:tc>
        <w:tc>
          <w:tcPr>
            <w:tcW w:type="dxa" w:w="3572"/>
            <w:tcMar>
              <w:top w:w="45" w:type="dxa"/>
              <w:start w:w="50" w:type="dxa"/>
              <w:bottom w:w="45" w:type="dxa"/>
              <w:end w:w="50" w:type="dxa"/>
            </w:tcMar>
            <w:vAlign w:val="top"/>
            <w:shd w:fill="FAF9F7"/>
          </w:tcPr>
          <w:p>
            <w:r>
              <w:rPr>
                <w:rFonts w:ascii="Noto Sans" w:hAnsi="Noto Sans"/>
                <w:color w:val="2C2C2E"/>
                <w:sz w:val="14"/>
              </w:rPr>
              <w:t>Wirkungsmodul bietet wenig Zusatznutzen oder kollidiert mit Primärfunktion.</w:t>
            </w:r>
          </w:p>
        </w:tc>
      </w:tr>
    </w:tbl>
    <w:p>
      <w:pPr>
        <w:pStyle w:val="Heading2"/>
      </w:pPr>
      <w:r>
        <w:t>Steuern, Beiträge, Gebühren und Transfers nicht vermischen</w:t>
      </w:r>
    </w:p>
    <w:p>
      <w:r>
        <w:rPr>
          <w:rFonts w:ascii="Noto Sans" w:hAnsi="Noto Sans"/>
        </w:rPr>
        <w:t>Sozialversicherungsbeiträge, Gebühren und Beiträge sind rechtlich keine Steuern im Sinne der Abgabenordnung. Wirkungsökonomisch sind sie dennoch Teil der Finanzierungsarchitektur. Besonders bei zunehmender Automatisierung stellt sich die Frage, ob soziale Sicherung dauerhaft nahezu ausschließlich an menschliche Erwerbsarbeit gekoppelt bleiben soll. Diese Debatte gehört in einen eigenen Folgeentwurf und darf nicht still in das WStG hineingeschoben werden.</w:t>
      </w:r>
    </w:p>
    <w:p>
      <w:r>
        <w:rPr>
          <w:rFonts w:ascii="Noto Sans" w:hAnsi="Noto Sans"/>
        </w:rPr>
        <w:t>Ebenso sind Förderungen und Transfers nicht einfach das Gegenstück einer Steuer. Eine gute Wirkungsarchitektur prüft, ob ein Steuermalus wirklich nötig ist oder ob Beschaffung, Haftung, Produktstandard, Sozialtransfer oder Investitionsförderung die präzisere Rückkopplung liefert.</w:t>
      </w:r>
    </w:p>
    <w:p>
      <w:r>
        <w:br w:type="page"/>
      </w:r>
    </w:p>
    <w:p>
      <w:pPr>
        <w:pStyle w:val="Heading1"/>
      </w:pPr>
      <w:r>
        <w:t>TEIL D – Daten, Scorecards, Technik und Governance</w:t>
      </w:r>
    </w:p>
    <w:p>
      <w:pPr>
        <w:pStyle w:val="Heading2"/>
      </w:pPr>
      <w:r>
        <w:t>1. Technischer Arbeitsstand des WÖk-Masterregisters</w:t>
      </w:r>
    </w:p>
    <w:p>
      <w:r>
        <w:rPr>
          <w:rFonts w:ascii="Noto Sans" w:hAnsi="Noto Sans"/>
        </w:rPr>
        <w:t>Das aktuelle Masterregister v1.4 ist die führende technische Arbeitsbasis der WÖk-Indikator- und Scoringlogik. „FINAL“ bedeutet dabei führender Arbeitsstand, nicht, dass jede Schwelle extern validiert wäre. Die Trennung zwischen Messstandard, Datensatz, Benchmarkquelle, Schwellenquelle und WÖk-Kalibrierung bleibt zwingend. [I6]</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2835"/>
            <w:shd w:fill="0B1020"/>
            <w:tcMar>
              <w:top w:w="55" w:type="dxa"/>
              <w:start w:w="55" w:type="dxa"/>
              <w:bottom w:w="55" w:type="dxa"/>
              <w:end w:w="55" w:type="dxa"/>
            </w:tcMar>
          </w:tcPr>
          <w:p>
            <w:r>
              <w:rPr>
                <w:rFonts w:ascii="Noto Sans" w:hAnsi="Noto Sans"/>
                <w:b/>
                <w:color w:val="FFFFFF"/>
                <w:sz w:val="14"/>
              </w:rPr>
              <w:t>Kennzahl</w:t>
            </w:r>
          </w:p>
        </w:tc>
        <w:tc>
          <w:tcPr>
            <w:tcW w:type="dxa" w:w="1247"/>
            <w:shd w:fill="0B1020"/>
            <w:tcMar>
              <w:top w:w="55" w:type="dxa"/>
              <w:start w:w="55" w:type="dxa"/>
              <w:bottom w:w="55" w:type="dxa"/>
              <w:end w:w="55" w:type="dxa"/>
            </w:tcMar>
          </w:tcPr>
          <w:p>
            <w:r>
              <w:rPr>
                <w:rFonts w:ascii="Noto Sans" w:hAnsi="Noto Sans"/>
                <w:b/>
                <w:color w:val="FFFFFF"/>
                <w:sz w:val="14"/>
              </w:rPr>
              <w:t>Stand v1.4</w:t>
            </w:r>
          </w:p>
        </w:tc>
        <w:tc>
          <w:tcPr>
            <w:tcW w:type="dxa" w:w="5329"/>
            <w:shd w:fill="0B1020"/>
            <w:tcMar>
              <w:top w:w="55" w:type="dxa"/>
              <w:start w:w="55" w:type="dxa"/>
              <w:bottom w:w="55" w:type="dxa"/>
              <w:end w:w="55" w:type="dxa"/>
            </w:tcMar>
          </w:tcPr>
          <w:p>
            <w:r>
              <w:rPr>
                <w:rFonts w:ascii="Noto Sans" w:hAnsi="Noto Sans"/>
                <w:b/>
                <w:color w:val="FFFFFF"/>
                <w:sz w:val="14"/>
              </w:rPr>
              <w:t>Bedeutung</w:t>
            </w:r>
          </w:p>
        </w:tc>
      </w:tr>
      <w:tr>
        <w:trPr>
          <w:cantSplit/>
        </w:trPr>
        <w:tc>
          <w:tcPr>
            <w:tcW w:type="dxa" w:w="2835"/>
            <w:tcMar>
              <w:top w:w="45" w:type="dxa"/>
              <w:start w:w="50" w:type="dxa"/>
              <w:bottom w:w="45" w:type="dxa"/>
              <w:end w:w="50" w:type="dxa"/>
            </w:tcMar>
            <w:vAlign w:val="top"/>
          </w:tcPr>
          <w:p>
            <w:r>
              <w:rPr>
                <w:rFonts w:ascii="Noto Sans" w:hAnsi="Noto Sans"/>
                <w:color w:val="2C2C2E"/>
                <w:sz w:val="14"/>
              </w:rPr>
              <w:t>WÖk-IDs</w:t>
            </w:r>
          </w:p>
        </w:tc>
        <w:tc>
          <w:tcPr>
            <w:tcW w:type="dxa" w:w="1247"/>
            <w:tcMar>
              <w:top w:w="45" w:type="dxa"/>
              <w:start w:w="50" w:type="dxa"/>
              <w:bottom w:w="45" w:type="dxa"/>
              <w:end w:w="50" w:type="dxa"/>
            </w:tcMar>
            <w:vAlign w:val="top"/>
          </w:tcPr>
          <w:p>
            <w:r>
              <w:rPr>
                <w:rFonts w:ascii="Noto Sans" w:hAnsi="Noto Sans"/>
                <w:color w:val="2C2C2E"/>
                <w:sz w:val="14"/>
              </w:rPr>
              <w:t>621</w:t>
            </w:r>
          </w:p>
        </w:tc>
        <w:tc>
          <w:tcPr>
            <w:tcW w:type="dxa" w:w="5329"/>
            <w:tcMar>
              <w:top w:w="45" w:type="dxa"/>
              <w:start w:w="50" w:type="dxa"/>
              <w:bottom w:w="45" w:type="dxa"/>
              <w:end w:w="50" w:type="dxa"/>
            </w:tcMar>
            <w:vAlign w:val="top"/>
          </w:tcPr>
          <w:p>
            <w:r>
              <w:rPr>
                <w:rFonts w:ascii="Noto Sans" w:hAnsi="Noto Sans"/>
                <w:color w:val="2C2C2E"/>
                <w:sz w:val="14"/>
              </w:rPr>
              <w:t>Standardisierte Indikator-IDs; keine Produkt- oder Personen-IDs</w:t>
            </w:r>
          </w:p>
        </w:tc>
      </w:tr>
      <w:tr>
        <w:trPr>
          <w:cantSplit/>
        </w:trPr>
        <w:tc>
          <w:tcPr>
            <w:tcW w:type="dxa" w:w="2835"/>
            <w:tcMar>
              <w:top w:w="45" w:type="dxa"/>
              <w:start w:w="50" w:type="dxa"/>
              <w:bottom w:w="45" w:type="dxa"/>
              <w:end w:w="50" w:type="dxa"/>
            </w:tcMar>
            <w:vAlign w:val="top"/>
            <w:shd w:fill="FAF9F7"/>
          </w:tcPr>
          <w:p>
            <w:r>
              <w:rPr>
                <w:rFonts w:ascii="Noto Sans" w:hAnsi="Noto Sans"/>
                <w:color w:val="2C2C2E"/>
                <w:sz w:val="14"/>
              </w:rPr>
              <w:t>Indikatorfamilien</w:t>
            </w:r>
          </w:p>
        </w:tc>
        <w:tc>
          <w:tcPr>
            <w:tcW w:type="dxa" w:w="1247"/>
            <w:tcMar>
              <w:top w:w="45" w:type="dxa"/>
              <w:start w:w="50" w:type="dxa"/>
              <w:bottom w:w="45" w:type="dxa"/>
              <w:end w:w="50" w:type="dxa"/>
            </w:tcMar>
            <w:vAlign w:val="top"/>
            <w:shd w:fill="FAF9F7"/>
          </w:tcPr>
          <w:p>
            <w:r>
              <w:rPr>
                <w:rFonts w:ascii="Noto Sans" w:hAnsi="Noto Sans"/>
                <w:color w:val="2C2C2E"/>
                <w:sz w:val="14"/>
              </w:rPr>
              <w:t>204</w:t>
            </w:r>
          </w:p>
        </w:tc>
        <w:tc>
          <w:tcPr>
            <w:tcW w:type="dxa" w:w="5329"/>
            <w:tcMar>
              <w:top w:w="45" w:type="dxa"/>
              <w:start w:w="50" w:type="dxa"/>
              <w:bottom w:w="45" w:type="dxa"/>
              <w:end w:w="50" w:type="dxa"/>
            </w:tcMar>
            <w:vAlign w:val="top"/>
            <w:shd w:fill="FAF9F7"/>
          </w:tcPr>
          <w:p>
            <w:r>
              <w:rPr>
                <w:rFonts w:ascii="Noto Sans" w:hAnsi="Noto Sans"/>
                <w:color w:val="2C2C2E"/>
                <w:sz w:val="14"/>
              </w:rPr>
              <w:t>Bündeln inhaltlich zusammengehörige Messobjekte</w:t>
            </w:r>
          </w:p>
        </w:tc>
      </w:tr>
      <w:tr>
        <w:trPr>
          <w:cantSplit/>
        </w:trPr>
        <w:tc>
          <w:tcPr>
            <w:tcW w:type="dxa" w:w="2835"/>
            <w:tcMar>
              <w:top w:w="45" w:type="dxa"/>
              <w:start w:w="50" w:type="dxa"/>
              <w:bottom w:w="45" w:type="dxa"/>
              <w:end w:w="50" w:type="dxa"/>
            </w:tcMar>
            <w:vAlign w:val="top"/>
          </w:tcPr>
          <w:p>
            <w:r>
              <w:rPr>
                <w:rFonts w:ascii="Noto Sans" w:hAnsi="Noto Sans"/>
                <w:color w:val="2C2C2E"/>
                <w:sz w:val="14"/>
              </w:rPr>
              <w:t>Normalisierte Scoring-Regeln</w:t>
            </w:r>
          </w:p>
        </w:tc>
        <w:tc>
          <w:tcPr>
            <w:tcW w:type="dxa" w:w="1247"/>
            <w:tcMar>
              <w:top w:w="45" w:type="dxa"/>
              <w:start w:w="50" w:type="dxa"/>
              <w:bottom w:w="45" w:type="dxa"/>
              <w:end w:w="50" w:type="dxa"/>
            </w:tcMar>
            <w:vAlign w:val="top"/>
          </w:tcPr>
          <w:p>
            <w:r>
              <w:rPr>
                <w:rFonts w:ascii="Noto Sans" w:hAnsi="Noto Sans"/>
                <w:color w:val="2C2C2E"/>
                <w:sz w:val="14"/>
              </w:rPr>
              <w:t>28</w:t>
            </w:r>
          </w:p>
        </w:tc>
        <w:tc>
          <w:tcPr>
            <w:tcW w:type="dxa" w:w="5329"/>
            <w:tcMar>
              <w:top w:w="45" w:type="dxa"/>
              <w:start w:w="50" w:type="dxa"/>
              <w:bottom w:w="45" w:type="dxa"/>
              <w:end w:w="50" w:type="dxa"/>
            </w:tcMar>
            <w:vAlign w:val="top"/>
          </w:tcPr>
          <w:p>
            <w:r>
              <w:rPr>
                <w:rFonts w:ascii="Noto Sans" w:hAnsi="Noto Sans"/>
                <w:color w:val="2C2C2E"/>
                <w:sz w:val="14"/>
              </w:rPr>
              <w:t>Versionierte technische Bewertungsmuster</w:t>
            </w:r>
          </w:p>
        </w:tc>
      </w:tr>
      <w:tr>
        <w:trPr>
          <w:cantSplit/>
        </w:trPr>
        <w:tc>
          <w:tcPr>
            <w:tcW w:type="dxa" w:w="2835"/>
            <w:tcMar>
              <w:top w:w="45" w:type="dxa"/>
              <w:start w:w="50" w:type="dxa"/>
              <w:bottom w:w="45" w:type="dxa"/>
              <w:end w:w="50" w:type="dxa"/>
            </w:tcMar>
            <w:vAlign w:val="top"/>
            <w:shd w:fill="FAF9F7"/>
          </w:tcPr>
          <w:p>
            <w:r>
              <w:rPr>
                <w:rFonts w:ascii="Noto Sans" w:hAnsi="Noto Sans"/>
                <w:color w:val="2C2C2E"/>
                <w:sz w:val="14"/>
              </w:rPr>
              <w:t>Benchmark-abhängige Items</w:t>
            </w:r>
          </w:p>
        </w:tc>
        <w:tc>
          <w:tcPr>
            <w:tcW w:type="dxa" w:w="1247"/>
            <w:tcMar>
              <w:top w:w="45" w:type="dxa"/>
              <w:start w:w="50" w:type="dxa"/>
              <w:bottom w:w="45" w:type="dxa"/>
              <w:end w:w="50" w:type="dxa"/>
            </w:tcMar>
            <w:vAlign w:val="top"/>
            <w:shd w:fill="FAF9F7"/>
          </w:tcPr>
          <w:p>
            <w:r>
              <w:rPr>
                <w:rFonts w:ascii="Noto Sans" w:hAnsi="Noto Sans"/>
                <w:color w:val="2C2C2E"/>
                <w:sz w:val="14"/>
              </w:rPr>
              <w:t>72</w:t>
            </w:r>
          </w:p>
        </w:tc>
        <w:tc>
          <w:tcPr>
            <w:tcW w:type="dxa" w:w="5329"/>
            <w:tcMar>
              <w:top w:w="45" w:type="dxa"/>
              <w:start w:w="50" w:type="dxa"/>
              <w:bottom w:w="45" w:type="dxa"/>
              <w:end w:w="50" w:type="dxa"/>
            </w:tcMar>
            <w:vAlign w:val="top"/>
            <w:shd w:fill="FAF9F7"/>
          </w:tcPr>
          <w:p>
            <w:r>
              <w:rPr>
                <w:rFonts w:ascii="Noto Sans" w:hAnsi="Noto Sans"/>
                <w:color w:val="2C2C2E"/>
                <w:sz w:val="14"/>
              </w:rPr>
              <w:t>Wirken nur mit vollständigem, validiertem und aktivem Benchmark</w:t>
            </w:r>
          </w:p>
        </w:tc>
      </w:tr>
      <w:tr>
        <w:trPr>
          <w:cantSplit/>
        </w:trPr>
        <w:tc>
          <w:tcPr>
            <w:tcW w:type="dxa" w:w="2835"/>
            <w:tcMar>
              <w:top w:w="45" w:type="dxa"/>
              <w:start w:w="50" w:type="dxa"/>
              <w:bottom w:w="45" w:type="dxa"/>
              <w:end w:w="50" w:type="dxa"/>
            </w:tcMar>
            <w:vAlign w:val="top"/>
          </w:tcPr>
          <w:p>
            <w:r>
              <w:rPr>
                <w:rFonts w:ascii="Noto Sans" w:hAnsi="Noto Sans"/>
                <w:color w:val="2C2C2E"/>
                <w:sz w:val="14"/>
              </w:rPr>
              <w:t>Qualitative Regeln</w:t>
            </w:r>
          </w:p>
        </w:tc>
        <w:tc>
          <w:tcPr>
            <w:tcW w:type="dxa" w:w="1247"/>
            <w:tcMar>
              <w:top w:w="45" w:type="dxa"/>
              <w:start w:w="50" w:type="dxa"/>
              <w:bottom w:w="45" w:type="dxa"/>
              <w:end w:w="50" w:type="dxa"/>
            </w:tcMar>
            <w:vAlign w:val="top"/>
          </w:tcPr>
          <w:p>
            <w:r>
              <w:rPr>
                <w:rFonts w:ascii="Noto Sans" w:hAnsi="Noto Sans"/>
                <w:color w:val="2C2C2E"/>
                <w:sz w:val="14"/>
              </w:rPr>
              <w:t>54</w:t>
            </w:r>
          </w:p>
        </w:tc>
        <w:tc>
          <w:tcPr>
            <w:tcW w:type="dxa" w:w="5329"/>
            <w:tcMar>
              <w:top w:w="45" w:type="dxa"/>
              <w:start w:w="50" w:type="dxa"/>
              <w:bottom w:w="45" w:type="dxa"/>
              <w:end w:w="50" w:type="dxa"/>
            </w:tcMar>
            <w:vAlign w:val="top"/>
          </w:tcPr>
          <w:p>
            <w:r>
              <w:rPr>
                <w:rFonts w:ascii="Noto Sans" w:hAnsi="Noto Sans"/>
                <w:color w:val="2C2C2E"/>
                <w:sz w:val="14"/>
              </w:rPr>
              <w:t>Benötigen definierte Nachweis-/Assurancepfade</w:t>
            </w:r>
          </w:p>
        </w:tc>
      </w:tr>
      <w:tr>
        <w:trPr>
          <w:cantSplit/>
        </w:trPr>
        <w:tc>
          <w:tcPr>
            <w:tcW w:type="dxa" w:w="2835"/>
            <w:tcMar>
              <w:top w:w="45" w:type="dxa"/>
              <w:start w:w="50" w:type="dxa"/>
              <w:bottom w:w="45" w:type="dxa"/>
              <w:end w:w="50" w:type="dxa"/>
            </w:tcMar>
            <w:vAlign w:val="top"/>
            <w:shd w:fill="FAF9F7"/>
          </w:tcPr>
          <w:p>
            <w:r>
              <w:rPr>
                <w:rFonts w:ascii="Noto Sans" w:hAnsi="Noto Sans"/>
                <w:color w:val="2C2C2E"/>
                <w:sz w:val="14"/>
              </w:rPr>
              <w:t>Rechtliche Grenzitems</w:t>
            </w:r>
          </w:p>
        </w:tc>
        <w:tc>
          <w:tcPr>
            <w:tcW w:type="dxa" w:w="1247"/>
            <w:tcMar>
              <w:top w:w="45" w:type="dxa"/>
              <w:start w:w="50" w:type="dxa"/>
              <w:bottom w:w="45" w:type="dxa"/>
              <w:end w:w="50" w:type="dxa"/>
            </w:tcMar>
            <w:vAlign w:val="top"/>
            <w:shd w:fill="FAF9F7"/>
          </w:tcPr>
          <w:p>
            <w:r>
              <w:rPr>
                <w:rFonts w:ascii="Noto Sans" w:hAnsi="Noto Sans"/>
                <w:color w:val="2C2C2E"/>
                <w:sz w:val="14"/>
              </w:rPr>
              <w:t>10</w:t>
            </w:r>
          </w:p>
        </w:tc>
        <w:tc>
          <w:tcPr>
            <w:tcW w:type="dxa" w:w="5329"/>
            <w:tcMar>
              <w:top w:w="45" w:type="dxa"/>
              <w:start w:w="50" w:type="dxa"/>
              <w:bottom w:w="45" w:type="dxa"/>
              <w:end w:w="50" w:type="dxa"/>
            </w:tcMar>
            <w:vAlign w:val="top"/>
            <w:shd w:fill="FAF9F7"/>
          </w:tcPr>
          <w:p>
            <w:r>
              <w:rPr>
                <w:rFonts w:ascii="Noto Sans" w:hAnsi="Noto Sans"/>
                <w:color w:val="2C2C2E"/>
                <w:sz w:val="14"/>
              </w:rPr>
              <w:t>Besondere Schutz- und Rechtsprüfung</w:t>
            </w:r>
          </w:p>
        </w:tc>
      </w:tr>
      <w:tr>
        <w:trPr>
          <w:cantSplit/>
        </w:trPr>
        <w:tc>
          <w:tcPr>
            <w:tcW w:type="dxa" w:w="2835"/>
            <w:tcMar>
              <w:top w:w="45" w:type="dxa"/>
              <w:start w:w="50" w:type="dxa"/>
              <w:bottom w:w="45" w:type="dxa"/>
              <w:end w:w="50" w:type="dxa"/>
            </w:tcMar>
            <w:vAlign w:val="top"/>
          </w:tcPr>
          <w:p>
            <w:r>
              <w:rPr>
                <w:rFonts w:ascii="Noto Sans" w:hAnsi="Noto Sans"/>
                <w:color w:val="2C2C2E"/>
                <w:sz w:val="14"/>
              </w:rPr>
              <w:t>Offene -2/-3-Grenzen</w:t>
            </w:r>
          </w:p>
        </w:tc>
        <w:tc>
          <w:tcPr>
            <w:tcW w:type="dxa" w:w="1247"/>
            <w:tcMar>
              <w:top w:w="45" w:type="dxa"/>
              <w:start w:w="50" w:type="dxa"/>
              <w:bottom w:w="45" w:type="dxa"/>
              <w:end w:w="50" w:type="dxa"/>
            </w:tcMar>
            <w:vAlign w:val="top"/>
          </w:tcPr>
          <w:p>
            <w:r>
              <w:rPr>
                <w:rFonts w:ascii="Noto Sans" w:hAnsi="Noto Sans"/>
                <w:color w:val="2C2C2E"/>
                <w:sz w:val="14"/>
              </w:rPr>
              <w:t>10</w:t>
            </w:r>
          </w:p>
        </w:tc>
        <w:tc>
          <w:tcPr>
            <w:tcW w:type="dxa" w:w="5329"/>
            <w:tcMar>
              <w:top w:w="45" w:type="dxa"/>
              <w:start w:w="50" w:type="dxa"/>
              <w:bottom w:w="45" w:type="dxa"/>
              <w:end w:w="50" w:type="dxa"/>
            </w:tcMar>
            <w:vAlign w:val="top"/>
          </w:tcPr>
          <w:p>
            <w:r>
              <w:rPr>
                <w:rFonts w:ascii="Noto Sans" w:hAnsi="Noto Sans"/>
                <w:color w:val="2C2C2E"/>
                <w:sz w:val="14"/>
              </w:rPr>
              <w:t>Noch nicht als endgültige Schwellen behandeln</w:t>
            </w:r>
          </w:p>
        </w:tc>
      </w:tr>
      <w:tr>
        <w:trPr>
          <w:cantSplit/>
        </w:trPr>
        <w:tc>
          <w:tcPr>
            <w:tcW w:type="dxa" w:w="2835"/>
            <w:tcMar>
              <w:top w:w="45" w:type="dxa"/>
              <w:start w:w="50" w:type="dxa"/>
              <w:bottom w:w="45" w:type="dxa"/>
              <w:end w:w="50" w:type="dxa"/>
            </w:tcMar>
            <w:vAlign w:val="top"/>
            <w:shd w:fill="FAF9F7"/>
          </w:tcPr>
          <w:p>
            <w:r>
              <w:rPr>
                <w:rFonts w:ascii="Noto Sans" w:hAnsi="Noto Sans"/>
                <w:color w:val="2C2C2E"/>
                <w:sz w:val="14"/>
              </w:rPr>
              <w:t>Kritische Audit-Priorität</w:t>
            </w:r>
          </w:p>
        </w:tc>
        <w:tc>
          <w:tcPr>
            <w:tcW w:type="dxa" w:w="1247"/>
            <w:tcMar>
              <w:top w:w="45" w:type="dxa"/>
              <w:start w:w="50" w:type="dxa"/>
              <w:bottom w:w="45" w:type="dxa"/>
              <w:end w:w="50" w:type="dxa"/>
            </w:tcMar>
            <w:vAlign w:val="top"/>
            <w:shd w:fill="FAF9F7"/>
          </w:tcPr>
          <w:p>
            <w:r>
              <w:rPr>
                <w:rFonts w:ascii="Noto Sans" w:hAnsi="Noto Sans"/>
                <w:color w:val="2C2C2E"/>
                <w:sz w:val="14"/>
              </w:rPr>
              <w:t>126</w:t>
            </w:r>
          </w:p>
        </w:tc>
        <w:tc>
          <w:tcPr>
            <w:tcW w:type="dxa" w:w="5329"/>
            <w:tcMar>
              <w:top w:w="45" w:type="dxa"/>
              <w:start w:w="50" w:type="dxa"/>
              <w:bottom w:w="45" w:type="dxa"/>
              <w:end w:w="50" w:type="dxa"/>
            </w:tcMar>
            <w:vAlign w:val="top"/>
            <w:shd w:fill="FAF9F7"/>
          </w:tcPr>
          <w:p>
            <w:r>
              <w:rPr>
                <w:rFonts w:ascii="Noto Sans" w:hAnsi="Noto Sans"/>
                <w:color w:val="2C2C2E"/>
                <w:sz w:val="14"/>
              </w:rPr>
              <w:t>Erhöhter Prüfbedarf</w:t>
            </w:r>
          </w:p>
        </w:tc>
      </w:tr>
    </w:tbl>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5A3C"/>
              <w:top w:val="nil"/>
              <w:right w:val="nil"/>
              <w:bottom w:val="nil"/>
            </w:tcBorders>
          </w:tcPr>
          <w:p>
            <w:r>
              <w:rPr>
                <w:rFonts w:ascii="Noto Sans" w:hAnsi="Noto Sans"/>
                <w:b/>
                <w:color w:val="C85A3C"/>
                <w:sz w:val="17"/>
              </w:rPr>
              <w:t>Zentrale Datenregel</w:t>
            </w:r>
          </w:p>
          <w:p>
            <w:pPr>
              <w:pStyle w:val="Callout"/>
            </w:pPr>
            <w:r>
              <w:rPr>
                <w:rFonts w:ascii="Noto Sans" w:hAnsi="Noto Sans"/>
                <w:color w:val="2C2C2E"/>
                <w:sz w:val="18"/>
              </w:rPr>
              <w:t>Leere Eingaben bleiben unbewertet. Offen ist kein Nullwert und keine neutrale Wirkung. Ein Benchmark wirkt nur, wenn Referenzgruppe, Quelle, Gültigkeit, Validierung und Status „Aktiv“ dokumentiert sind.</w:t>
            </w:r>
          </w:p>
        </w:tc>
      </w:tr>
    </w:tbl>
    <w:p>
      <w:pPr>
        <w:spacing w:after="0"/>
      </w:pPr>
    </w:p>
    <w:p>
      <w:pPr>
        <w:pStyle w:val="Heading2"/>
      </w:pPr>
      <w:r>
        <w:t>2. Identitätslogik: WÖk-ID, Produkt-ID, Steuerobjekt</w:t>
      </w:r>
    </w:p>
    <w:p>
      <w:r>
        <w:rPr>
          <w:rFonts w:ascii="Noto Sans" w:hAnsi="Noto Sans"/>
        </w:rPr>
        <w:t>Eine der wichtigsten Korrekturen der Neufassung ist die Trennung von Identität und Indikator. Die WÖk-ID identifiziert einen Wirkungsindikator beziehungsweise eine bewertbare Wirkungseinheit. Ein Produkt erhält nicht einfach „eine WÖk-ID“. Produkte, Chargen oder Modelle brauchen ihre eigene Produktidentität – perspektivisch etwa über den Digitalen Produktpass – und verweisen von dort auf die relevanten WÖk-Indikatoren.</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2041"/>
            <w:shd w:fill="0B1020"/>
            <w:tcMar>
              <w:top w:w="55" w:type="dxa"/>
              <w:start w:w="55" w:type="dxa"/>
              <w:bottom w:w="55" w:type="dxa"/>
              <w:end w:w="55" w:type="dxa"/>
            </w:tcMar>
          </w:tcPr>
          <w:p>
            <w:r>
              <w:rPr>
                <w:rFonts w:ascii="Noto Sans" w:hAnsi="Noto Sans"/>
                <w:b/>
                <w:color w:val="FFFFFF"/>
                <w:sz w:val="14"/>
              </w:rPr>
              <w:t>Ebene</w:t>
            </w:r>
          </w:p>
        </w:tc>
        <w:tc>
          <w:tcPr>
            <w:tcW w:type="dxa" w:w="3685"/>
            <w:shd w:fill="0B1020"/>
            <w:tcMar>
              <w:top w:w="55" w:type="dxa"/>
              <w:start w:w="55" w:type="dxa"/>
              <w:bottom w:w="55" w:type="dxa"/>
              <w:end w:w="55" w:type="dxa"/>
            </w:tcMar>
          </w:tcPr>
          <w:p>
            <w:r>
              <w:rPr>
                <w:rFonts w:ascii="Noto Sans" w:hAnsi="Noto Sans"/>
                <w:b/>
                <w:color w:val="FFFFFF"/>
                <w:sz w:val="14"/>
              </w:rPr>
              <w:t>Leitfrage</w:t>
            </w:r>
          </w:p>
        </w:tc>
        <w:tc>
          <w:tcPr>
            <w:tcW w:type="dxa" w:w="3685"/>
            <w:shd w:fill="0B1020"/>
            <w:tcMar>
              <w:top w:w="55" w:type="dxa"/>
              <w:start w:w="55" w:type="dxa"/>
              <w:bottom w:w="55" w:type="dxa"/>
              <w:end w:w="55" w:type="dxa"/>
            </w:tcMar>
          </w:tcPr>
          <w:p>
            <w:r>
              <w:rPr>
                <w:rFonts w:ascii="Noto Sans" w:hAnsi="Noto Sans"/>
                <w:b/>
                <w:color w:val="FFFFFF"/>
                <w:sz w:val="14"/>
              </w:rPr>
              <w:t>Beispiel</w:t>
            </w:r>
          </w:p>
        </w:tc>
      </w:tr>
      <w:tr>
        <w:trPr>
          <w:cantSplit/>
        </w:trPr>
        <w:tc>
          <w:tcPr>
            <w:tcW w:type="dxa" w:w="2041"/>
            <w:tcMar>
              <w:top w:w="45" w:type="dxa"/>
              <w:start w:w="50" w:type="dxa"/>
              <w:bottom w:w="45" w:type="dxa"/>
              <w:end w:w="50" w:type="dxa"/>
            </w:tcMar>
            <w:vAlign w:val="top"/>
          </w:tcPr>
          <w:p>
            <w:r>
              <w:rPr>
                <w:rFonts w:ascii="Noto Sans" w:hAnsi="Noto Sans"/>
                <w:color w:val="2C2C2E"/>
                <w:sz w:val="14"/>
              </w:rPr>
              <w:t>Produkt-/Objekt-ID</w:t>
            </w:r>
          </w:p>
        </w:tc>
        <w:tc>
          <w:tcPr>
            <w:tcW w:type="dxa" w:w="3685"/>
            <w:tcMar>
              <w:top w:w="45" w:type="dxa"/>
              <w:start w:w="50" w:type="dxa"/>
              <w:bottom w:w="45" w:type="dxa"/>
              <w:end w:w="50" w:type="dxa"/>
            </w:tcMar>
            <w:vAlign w:val="top"/>
          </w:tcPr>
          <w:p>
            <w:r>
              <w:rPr>
                <w:rFonts w:ascii="Noto Sans" w:hAnsi="Noto Sans"/>
                <w:color w:val="2C2C2E"/>
                <w:sz w:val="14"/>
              </w:rPr>
              <w:t>Welches konkrete Produkt, Modell, Gebäude, Fahrzeug oder Investment ist gemeint?</w:t>
            </w:r>
          </w:p>
        </w:tc>
        <w:tc>
          <w:tcPr>
            <w:tcW w:type="dxa" w:w="3685"/>
            <w:tcMar>
              <w:top w:w="45" w:type="dxa"/>
              <w:start w:w="50" w:type="dxa"/>
              <w:bottom w:w="45" w:type="dxa"/>
              <w:end w:w="50" w:type="dxa"/>
            </w:tcMar>
            <w:vAlign w:val="top"/>
          </w:tcPr>
          <w:p>
            <w:r>
              <w:rPr>
                <w:rFonts w:ascii="Noto Sans" w:hAnsi="Noto Sans"/>
                <w:color w:val="2C2C2E"/>
                <w:sz w:val="14"/>
              </w:rPr>
              <w:t>DPP-/Register-/Steuer-ID, EAN/GTIN, Objektkennung etc.</w:t>
            </w:r>
          </w:p>
        </w:tc>
      </w:tr>
      <w:tr>
        <w:trPr>
          <w:cantSplit/>
        </w:trPr>
        <w:tc>
          <w:tcPr>
            <w:tcW w:type="dxa" w:w="2041"/>
            <w:tcMar>
              <w:top w:w="45" w:type="dxa"/>
              <w:start w:w="50" w:type="dxa"/>
              <w:bottom w:w="45" w:type="dxa"/>
              <w:end w:w="50" w:type="dxa"/>
            </w:tcMar>
            <w:vAlign w:val="top"/>
            <w:shd w:fill="FAF9F7"/>
          </w:tcPr>
          <w:p>
            <w:r>
              <w:rPr>
                <w:rFonts w:ascii="Noto Sans" w:hAnsi="Noto Sans"/>
                <w:color w:val="2C2C2E"/>
                <w:sz w:val="14"/>
              </w:rPr>
              <w:t>WÖk-ID</w:t>
            </w:r>
          </w:p>
        </w:tc>
        <w:tc>
          <w:tcPr>
            <w:tcW w:type="dxa" w:w="3685"/>
            <w:tcMar>
              <w:top w:w="45" w:type="dxa"/>
              <w:start w:w="50" w:type="dxa"/>
              <w:bottom w:w="45" w:type="dxa"/>
              <w:end w:w="50" w:type="dxa"/>
            </w:tcMar>
            <w:vAlign w:val="top"/>
            <w:shd w:fill="FAF9F7"/>
          </w:tcPr>
          <w:p>
            <w:r>
              <w:rPr>
                <w:rFonts w:ascii="Noto Sans" w:hAnsi="Noto Sans"/>
                <w:color w:val="2C2C2E"/>
                <w:sz w:val="14"/>
              </w:rPr>
              <w:t>Welche Wirkung wird gemessen?</w:t>
            </w:r>
          </w:p>
        </w:tc>
        <w:tc>
          <w:tcPr>
            <w:tcW w:type="dxa" w:w="3685"/>
            <w:tcMar>
              <w:top w:w="45" w:type="dxa"/>
              <w:start w:w="50" w:type="dxa"/>
              <w:bottom w:w="45" w:type="dxa"/>
              <w:end w:w="50" w:type="dxa"/>
            </w:tcMar>
            <w:vAlign w:val="top"/>
            <w:shd w:fill="FAF9F7"/>
          </w:tcPr>
          <w:p>
            <w:r>
              <w:rPr>
                <w:rFonts w:ascii="Noto Sans" w:hAnsi="Noto Sans"/>
                <w:color w:val="2C2C2E"/>
                <w:sz w:val="14"/>
              </w:rPr>
              <w:t>Indikator-/Wirkungsfeldkennung</w:t>
            </w:r>
          </w:p>
        </w:tc>
      </w:tr>
      <w:tr>
        <w:trPr>
          <w:cantSplit/>
        </w:trPr>
        <w:tc>
          <w:tcPr>
            <w:tcW w:type="dxa" w:w="2041"/>
            <w:tcMar>
              <w:top w:w="45" w:type="dxa"/>
              <w:start w:w="50" w:type="dxa"/>
              <w:bottom w:w="45" w:type="dxa"/>
              <w:end w:w="50" w:type="dxa"/>
            </w:tcMar>
            <w:vAlign w:val="top"/>
          </w:tcPr>
          <w:p>
            <w:r>
              <w:rPr>
                <w:rFonts w:ascii="Noto Sans" w:hAnsi="Noto Sans"/>
                <w:color w:val="2C2C2E"/>
                <w:sz w:val="14"/>
              </w:rPr>
              <w:t>Datenpunkt</w:t>
            </w:r>
          </w:p>
        </w:tc>
        <w:tc>
          <w:tcPr>
            <w:tcW w:type="dxa" w:w="3685"/>
            <w:tcMar>
              <w:top w:w="45" w:type="dxa"/>
              <w:start w:w="50" w:type="dxa"/>
              <w:bottom w:w="45" w:type="dxa"/>
              <w:end w:w="50" w:type="dxa"/>
            </w:tcMar>
            <w:vAlign w:val="top"/>
          </w:tcPr>
          <w:p>
            <w:r>
              <w:rPr>
                <w:rFonts w:ascii="Noto Sans" w:hAnsi="Noto Sans"/>
                <w:color w:val="2C2C2E"/>
                <w:sz w:val="14"/>
              </w:rPr>
              <w:t>Welcher Wert wurde wann und wo gemessen?</w:t>
            </w:r>
          </w:p>
        </w:tc>
        <w:tc>
          <w:tcPr>
            <w:tcW w:type="dxa" w:w="3685"/>
            <w:tcMar>
              <w:top w:w="45" w:type="dxa"/>
              <w:start w:w="50" w:type="dxa"/>
              <w:bottom w:w="45" w:type="dxa"/>
              <w:end w:w="50" w:type="dxa"/>
            </w:tcMar>
            <w:vAlign w:val="top"/>
          </w:tcPr>
          <w:p>
            <w:r>
              <w:rPr>
                <w:rFonts w:ascii="Noto Sans" w:hAnsi="Noto Sans"/>
                <w:color w:val="2C2C2E"/>
                <w:sz w:val="14"/>
              </w:rPr>
              <w:t>Wert, Einheit, Zeitraum, Systemgrenze, Quelle</w:t>
            </w:r>
          </w:p>
        </w:tc>
      </w:tr>
      <w:tr>
        <w:trPr>
          <w:cantSplit/>
        </w:trPr>
        <w:tc>
          <w:tcPr>
            <w:tcW w:type="dxa" w:w="2041"/>
            <w:tcMar>
              <w:top w:w="45" w:type="dxa"/>
              <w:start w:w="50" w:type="dxa"/>
              <w:bottom w:w="45" w:type="dxa"/>
              <w:end w:w="50" w:type="dxa"/>
            </w:tcMar>
            <w:vAlign w:val="top"/>
            <w:shd w:fill="FAF9F7"/>
          </w:tcPr>
          <w:p>
            <w:r>
              <w:rPr>
                <w:rFonts w:ascii="Noto Sans" w:hAnsi="Noto Sans"/>
                <w:color w:val="2C2C2E"/>
                <w:sz w:val="14"/>
              </w:rPr>
              <w:t>Bewertung</w:t>
            </w:r>
          </w:p>
        </w:tc>
        <w:tc>
          <w:tcPr>
            <w:tcW w:type="dxa" w:w="3685"/>
            <w:tcMar>
              <w:top w:w="45" w:type="dxa"/>
              <w:start w:w="50" w:type="dxa"/>
              <w:bottom w:w="45" w:type="dxa"/>
              <w:end w:w="50" w:type="dxa"/>
            </w:tcMar>
            <w:vAlign w:val="top"/>
            <w:shd w:fill="FAF9F7"/>
          </w:tcPr>
          <w:p>
            <w:r>
              <w:rPr>
                <w:rFonts w:ascii="Noto Sans" w:hAnsi="Noto Sans"/>
                <w:color w:val="2C2C2E"/>
                <w:sz w:val="14"/>
              </w:rPr>
              <w:t>Wie wird der Wert eingeordnet?</w:t>
            </w:r>
          </w:p>
        </w:tc>
        <w:tc>
          <w:tcPr>
            <w:tcW w:type="dxa" w:w="3685"/>
            <w:tcMar>
              <w:top w:w="45" w:type="dxa"/>
              <w:start w:w="50" w:type="dxa"/>
              <w:bottom w:w="45" w:type="dxa"/>
              <w:end w:w="50" w:type="dxa"/>
            </w:tcMar>
            <w:vAlign w:val="top"/>
            <w:shd w:fill="FAF9F7"/>
          </w:tcPr>
          <w:p>
            <w:r>
              <w:rPr>
                <w:rFonts w:ascii="Noto Sans" w:hAnsi="Noto Sans"/>
                <w:color w:val="2C2C2E"/>
                <w:sz w:val="14"/>
              </w:rPr>
              <w:t>Benchmark/Schwelle, Datenqualität, RMO, Version</w:t>
            </w:r>
          </w:p>
        </w:tc>
      </w:tr>
      <w:tr>
        <w:trPr>
          <w:cantSplit/>
        </w:trPr>
        <w:tc>
          <w:tcPr>
            <w:tcW w:type="dxa" w:w="2041"/>
            <w:tcMar>
              <w:top w:w="45" w:type="dxa"/>
              <w:start w:w="50" w:type="dxa"/>
              <w:bottom w:w="45" w:type="dxa"/>
              <w:end w:w="50" w:type="dxa"/>
            </w:tcMar>
            <w:vAlign w:val="top"/>
          </w:tcPr>
          <w:p>
            <w:r>
              <w:rPr>
                <w:rFonts w:ascii="Noto Sans" w:hAnsi="Noto Sans"/>
                <w:color w:val="2C2C2E"/>
                <w:sz w:val="14"/>
              </w:rPr>
              <w:t>Steuerlicher Tatbestand</w:t>
            </w:r>
          </w:p>
        </w:tc>
        <w:tc>
          <w:tcPr>
            <w:tcW w:type="dxa" w:w="3685"/>
            <w:tcMar>
              <w:top w:w="45" w:type="dxa"/>
              <w:start w:w="50" w:type="dxa"/>
              <w:bottom w:w="45" w:type="dxa"/>
              <w:end w:w="50" w:type="dxa"/>
            </w:tcMar>
            <w:vAlign w:val="top"/>
          </w:tcPr>
          <w:p>
            <w:r>
              <w:rPr>
                <w:rFonts w:ascii="Noto Sans" w:hAnsi="Noto Sans"/>
                <w:color w:val="2C2C2E"/>
                <w:sz w:val="14"/>
              </w:rPr>
              <w:t>Welche Rechtsfolge gilt?</w:t>
            </w:r>
          </w:p>
        </w:tc>
        <w:tc>
          <w:tcPr>
            <w:tcW w:type="dxa" w:w="3685"/>
            <w:tcMar>
              <w:top w:w="45" w:type="dxa"/>
              <w:start w:w="50" w:type="dxa"/>
              <w:bottom w:w="45" w:type="dxa"/>
              <w:end w:w="50" w:type="dxa"/>
            </w:tcMar>
            <w:vAlign w:val="top"/>
          </w:tcPr>
          <w:p>
            <w:r>
              <w:rPr>
                <w:rFonts w:ascii="Noto Sans" w:hAnsi="Noto Sans"/>
                <w:color w:val="2C2C2E"/>
                <w:sz w:val="14"/>
              </w:rPr>
              <w:t>Einzelgesetz/Modul, Tarif, Abzug, Zuschlag, Ausschluss</w:t>
            </w:r>
          </w:p>
        </w:tc>
      </w:tr>
    </w:tbl>
    <w:p>
      <w:pPr>
        <w:pStyle w:val="Heading2"/>
      </w:pPr>
      <w:r>
        <w:t>3. Wirkungsnachweiskonto statt moralischem Gesamtkonto</w:t>
      </w:r>
    </w:p>
    <w:p>
      <w:r>
        <w:rPr>
          <w:rFonts w:ascii="Noto Sans" w:hAnsi="Noto Sans"/>
        </w:rPr>
        <w:t>Das historische Wirkungssteuerkonto sollte nicht als steuerartenübergreifender Saldo „guter“ und „schlechter“ Wirkung fortgeführt werden. Das würde Nichtkompensation, Steuerzwecke und Rechtsklarheit unterlaufen. WStG 3.0 ersetzt diese Idee durch ein Wirkungsnachweiskonto: eine digitale, revisionssichere Nachweis- und Versionsschicht, die pro steuerlichem Tatbestand speichert, welche Daten, Benchmarks, Prüfungen und Rechtsfolgen verwendet wurden.</w:t>
      </w:r>
    </w:p>
    <w:p>
      <w:r>
        <w:rPr>
          <w:rFonts w:ascii="Noto Sans" w:hAnsi="Noto Sans"/>
        </w:rPr>
        <w:t>Eine positive Produktwirkung kann daher nicht automatisch einen negativen Einkommensteuer-, Gewerbesteuer- oder anderen Tatbestand „wegverrechnen“. Verrechnung findet nur statt, wenn das jeweilige Einzelgesetz sie ausdrücklich vorsieht.</w:t>
      </w:r>
    </w:p>
    <w:p>
      <w:pPr>
        <w:pStyle w:val="Heading2"/>
      </w:pPr>
      <w:r>
        <w:t>4. Assurance nach Materialität</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1247"/>
            <w:shd w:fill="0B1020"/>
            <w:tcMar>
              <w:top w:w="55" w:type="dxa"/>
              <w:start w:w="55" w:type="dxa"/>
              <w:bottom w:w="55" w:type="dxa"/>
              <w:end w:w="55" w:type="dxa"/>
            </w:tcMar>
          </w:tcPr>
          <w:p>
            <w:r>
              <w:rPr>
                <w:rFonts w:ascii="Noto Sans" w:hAnsi="Noto Sans"/>
                <w:b/>
                <w:color w:val="FFFFFF"/>
                <w:sz w:val="14"/>
              </w:rPr>
              <w:t>Stufe</w:t>
            </w:r>
          </w:p>
        </w:tc>
        <w:tc>
          <w:tcPr>
            <w:tcW w:type="dxa" w:w="2835"/>
            <w:shd w:fill="0B1020"/>
            <w:tcMar>
              <w:top w:w="55" w:type="dxa"/>
              <w:start w:w="55" w:type="dxa"/>
              <w:bottom w:w="55" w:type="dxa"/>
              <w:end w:w="55" w:type="dxa"/>
            </w:tcMar>
          </w:tcPr>
          <w:p>
            <w:r>
              <w:rPr>
                <w:rFonts w:ascii="Noto Sans" w:hAnsi="Noto Sans"/>
                <w:b/>
                <w:color w:val="FFFFFF"/>
                <w:sz w:val="14"/>
              </w:rPr>
              <w:t>Prüfform</w:t>
            </w:r>
          </w:p>
        </w:tc>
        <w:tc>
          <w:tcPr>
            <w:tcW w:type="dxa" w:w="5329"/>
            <w:shd w:fill="0B1020"/>
            <w:tcMar>
              <w:top w:w="55" w:type="dxa"/>
              <w:start w:w="55" w:type="dxa"/>
              <w:bottom w:w="55" w:type="dxa"/>
              <w:end w:w="55" w:type="dxa"/>
            </w:tcMar>
          </w:tcPr>
          <w:p>
            <w:r>
              <w:rPr>
                <w:rFonts w:ascii="Noto Sans" w:hAnsi="Noto Sans"/>
                <w:b/>
                <w:color w:val="FFFFFF"/>
                <w:sz w:val="14"/>
              </w:rPr>
              <w:t>Typischer Einsatz</w:t>
            </w:r>
          </w:p>
        </w:tc>
      </w:tr>
      <w:tr>
        <w:trPr>
          <w:cantSplit/>
        </w:trPr>
        <w:tc>
          <w:tcPr>
            <w:tcW w:type="dxa" w:w="1247"/>
            <w:tcMar>
              <w:top w:w="45" w:type="dxa"/>
              <w:start w:w="50" w:type="dxa"/>
              <w:bottom w:w="45" w:type="dxa"/>
              <w:end w:w="50" w:type="dxa"/>
            </w:tcMar>
            <w:vAlign w:val="top"/>
          </w:tcPr>
          <w:p>
            <w:r>
              <w:rPr>
                <w:rFonts w:ascii="Noto Sans" w:hAnsi="Noto Sans"/>
                <w:color w:val="2C2C2E"/>
                <w:sz w:val="14"/>
              </w:rPr>
              <w:t>Stufe 0</w:t>
            </w:r>
          </w:p>
        </w:tc>
        <w:tc>
          <w:tcPr>
            <w:tcW w:type="dxa" w:w="2835"/>
            <w:tcMar>
              <w:top w:w="45" w:type="dxa"/>
              <w:start w:w="50" w:type="dxa"/>
              <w:bottom w:w="45" w:type="dxa"/>
              <w:end w:w="50" w:type="dxa"/>
            </w:tcMar>
            <w:vAlign w:val="top"/>
          </w:tcPr>
          <w:p>
            <w:r>
              <w:rPr>
                <w:rFonts w:ascii="Noto Sans" w:hAnsi="Noto Sans"/>
                <w:color w:val="2C2C2E"/>
                <w:sz w:val="14"/>
              </w:rPr>
              <w:t>Standard-/Registerwert</w:t>
            </w:r>
          </w:p>
        </w:tc>
        <w:tc>
          <w:tcPr>
            <w:tcW w:type="dxa" w:w="5329"/>
            <w:tcMar>
              <w:top w:w="45" w:type="dxa"/>
              <w:start w:w="50" w:type="dxa"/>
              <w:bottom w:w="45" w:type="dxa"/>
              <w:end w:w="50" w:type="dxa"/>
            </w:tcMar>
            <w:vAlign w:val="top"/>
          </w:tcPr>
          <w:p>
            <w:r>
              <w:rPr>
                <w:rFonts w:ascii="Noto Sans" w:hAnsi="Noto Sans"/>
                <w:color w:val="2C2C2E"/>
                <w:sz w:val="14"/>
              </w:rPr>
              <w:t>niedrige Materialität, klar definierter Standardfall</w:t>
            </w:r>
          </w:p>
        </w:tc>
      </w:tr>
      <w:tr>
        <w:trPr>
          <w:cantSplit/>
        </w:trPr>
        <w:tc>
          <w:tcPr>
            <w:tcW w:type="dxa" w:w="1247"/>
            <w:tcMar>
              <w:top w:w="45" w:type="dxa"/>
              <w:start w:w="50" w:type="dxa"/>
              <w:bottom w:w="45" w:type="dxa"/>
              <w:end w:w="50" w:type="dxa"/>
            </w:tcMar>
            <w:vAlign w:val="top"/>
            <w:shd w:fill="FAF9F7"/>
          </w:tcPr>
          <w:p>
            <w:r>
              <w:rPr>
                <w:rFonts w:ascii="Noto Sans" w:hAnsi="Noto Sans"/>
                <w:color w:val="2C2C2E"/>
                <w:sz w:val="14"/>
              </w:rPr>
              <w:t>Stufe 1</w:t>
            </w:r>
          </w:p>
        </w:tc>
        <w:tc>
          <w:tcPr>
            <w:tcW w:type="dxa" w:w="2835"/>
            <w:tcMar>
              <w:top w:w="45" w:type="dxa"/>
              <w:start w:w="50" w:type="dxa"/>
              <w:bottom w:w="45" w:type="dxa"/>
              <w:end w:w="50" w:type="dxa"/>
            </w:tcMar>
            <w:vAlign w:val="top"/>
            <w:shd w:fill="FAF9F7"/>
          </w:tcPr>
          <w:p>
            <w:r>
              <w:rPr>
                <w:rFonts w:ascii="Noto Sans" w:hAnsi="Noto Sans"/>
                <w:color w:val="2C2C2E"/>
                <w:sz w:val="14"/>
              </w:rPr>
              <w:t>Selbstauskunft mit Beleg</w:t>
            </w:r>
          </w:p>
        </w:tc>
        <w:tc>
          <w:tcPr>
            <w:tcW w:type="dxa" w:w="5329"/>
            <w:tcMar>
              <w:top w:w="45" w:type="dxa"/>
              <w:start w:w="50" w:type="dxa"/>
              <w:bottom w:w="45" w:type="dxa"/>
              <w:end w:w="50" w:type="dxa"/>
            </w:tcMar>
            <w:vAlign w:val="top"/>
            <w:shd w:fill="FAF9F7"/>
          </w:tcPr>
          <w:p>
            <w:r>
              <w:rPr>
                <w:rFonts w:ascii="Noto Sans" w:hAnsi="Noto Sans"/>
                <w:color w:val="2C2C2E"/>
                <w:sz w:val="14"/>
              </w:rPr>
              <w:t>kleine Betriebe, einfache objektive Merkmale</w:t>
            </w:r>
          </w:p>
        </w:tc>
      </w:tr>
      <w:tr>
        <w:trPr>
          <w:cantSplit/>
        </w:trPr>
        <w:tc>
          <w:tcPr>
            <w:tcW w:type="dxa" w:w="1247"/>
            <w:tcMar>
              <w:top w:w="45" w:type="dxa"/>
              <w:start w:w="50" w:type="dxa"/>
              <w:bottom w:w="45" w:type="dxa"/>
              <w:end w:w="50" w:type="dxa"/>
            </w:tcMar>
            <w:vAlign w:val="top"/>
          </w:tcPr>
          <w:p>
            <w:r>
              <w:rPr>
                <w:rFonts w:ascii="Noto Sans" w:hAnsi="Noto Sans"/>
                <w:color w:val="2C2C2E"/>
                <w:sz w:val="14"/>
              </w:rPr>
              <w:t>Stufe 2</w:t>
            </w:r>
          </w:p>
        </w:tc>
        <w:tc>
          <w:tcPr>
            <w:tcW w:type="dxa" w:w="2835"/>
            <w:tcMar>
              <w:top w:w="45" w:type="dxa"/>
              <w:start w:w="50" w:type="dxa"/>
              <w:bottom w:w="45" w:type="dxa"/>
              <w:end w:w="50" w:type="dxa"/>
            </w:tcMar>
            <w:vAlign w:val="top"/>
          </w:tcPr>
          <w:p>
            <w:r>
              <w:rPr>
                <w:rFonts w:ascii="Noto Sans" w:hAnsi="Noto Sans"/>
                <w:color w:val="2C2C2E"/>
                <w:sz w:val="14"/>
              </w:rPr>
              <w:t>Plausibilitätsprüfung</w:t>
            </w:r>
          </w:p>
        </w:tc>
        <w:tc>
          <w:tcPr>
            <w:tcW w:type="dxa" w:w="5329"/>
            <w:tcMar>
              <w:top w:w="45" w:type="dxa"/>
              <w:start w:w="50" w:type="dxa"/>
              <w:bottom w:w="45" w:type="dxa"/>
              <w:end w:w="50" w:type="dxa"/>
            </w:tcMar>
            <w:vAlign w:val="top"/>
          </w:tcPr>
          <w:p>
            <w:r>
              <w:rPr>
                <w:rFonts w:ascii="Noto Sans" w:hAnsi="Noto Sans"/>
                <w:color w:val="2C2C2E"/>
                <w:sz w:val="14"/>
              </w:rPr>
              <w:t>mittlere Relevanz oder erhöhte Datenunsicherheit</w:t>
            </w:r>
          </w:p>
        </w:tc>
      </w:tr>
      <w:tr>
        <w:trPr>
          <w:cantSplit/>
        </w:trPr>
        <w:tc>
          <w:tcPr>
            <w:tcW w:type="dxa" w:w="1247"/>
            <w:tcMar>
              <w:top w:w="45" w:type="dxa"/>
              <w:start w:w="50" w:type="dxa"/>
              <w:bottom w:w="45" w:type="dxa"/>
              <w:end w:w="50" w:type="dxa"/>
            </w:tcMar>
            <w:vAlign w:val="top"/>
            <w:shd w:fill="FAF9F7"/>
          </w:tcPr>
          <w:p>
            <w:r>
              <w:rPr>
                <w:rFonts w:ascii="Noto Sans" w:hAnsi="Noto Sans"/>
                <w:color w:val="2C2C2E"/>
                <w:sz w:val="14"/>
              </w:rPr>
              <w:t>Stufe 3</w:t>
            </w:r>
          </w:p>
        </w:tc>
        <w:tc>
          <w:tcPr>
            <w:tcW w:type="dxa" w:w="2835"/>
            <w:tcMar>
              <w:top w:w="45" w:type="dxa"/>
              <w:start w:w="50" w:type="dxa"/>
              <w:bottom w:w="45" w:type="dxa"/>
              <w:end w:w="50" w:type="dxa"/>
            </w:tcMar>
            <w:vAlign w:val="top"/>
            <w:shd w:fill="FAF9F7"/>
          </w:tcPr>
          <w:p>
            <w:r>
              <w:rPr>
                <w:rFonts w:ascii="Noto Sans" w:hAnsi="Noto Sans"/>
                <w:color w:val="2C2C2E"/>
                <w:sz w:val="14"/>
              </w:rPr>
              <w:t>Limited Assurance</w:t>
            </w:r>
          </w:p>
        </w:tc>
        <w:tc>
          <w:tcPr>
            <w:tcW w:type="dxa" w:w="5329"/>
            <w:tcMar>
              <w:top w:w="45" w:type="dxa"/>
              <w:start w:w="50" w:type="dxa"/>
              <w:bottom w:w="45" w:type="dxa"/>
              <w:end w:w="50" w:type="dxa"/>
            </w:tcMar>
            <w:vAlign w:val="top"/>
            <w:shd w:fill="FAF9F7"/>
          </w:tcPr>
          <w:p>
            <w:r>
              <w:rPr>
                <w:rFonts w:ascii="Noto Sans" w:hAnsi="Noto Sans"/>
                <w:color w:val="2C2C2E"/>
                <w:sz w:val="14"/>
              </w:rPr>
              <w:t>wesentliche Steuervergünstigung/-belastung</w:t>
            </w:r>
          </w:p>
        </w:tc>
      </w:tr>
      <w:tr>
        <w:trPr>
          <w:cantSplit/>
        </w:trPr>
        <w:tc>
          <w:tcPr>
            <w:tcW w:type="dxa" w:w="1247"/>
            <w:tcMar>
              <w:top w:w="45" w:type="dxa"/>
              <w:start w:w="50" w:type="dxa"/>
              <w:bottom w:w="45" w:type="dxa"/>
              <w:end w:w="50" w:type="dxa"/>
            </w:tcMar>
            <w:vAlign w:val="top"/>
          </w:tcPr>
          <w:p>
            <w:r>
              <w:rPr>
                <w:rFonts w:ascii="Noto Sans" w:hAnsi="Noto Sans"/>
                <w:color w:val="2C2C2E"/>
                <w:sz w:val="14"/>
              </w:rPr>
              <w:t>Stufe 4</w:t>
            </w:r>
          </w:p>
        </w:tc>
        <w:tc>
          <w:tcPr>
            <w:tcW w:type="dxa" w:w="2835"/>
            <w:tcMar>
              <w:top w:w="45" w:type="dxa"/>
              <w:start w:w="50" w:type="dxa"/>
              <w:bottom w:w="45" w:type="dxa"/>
              <w:end w:w="50" w:type="dxa"/>
            </w:tcMar>
            <w:vAlign w:val="top"/>
          </w:tcPr>
          <w:p>
            <w:r>
              <w:rPr>
                <w:rFonts w:ascii="Noto Sans" w:hAnsi="Noto Sans"/>
                <w:color w:val="2C2C2E"/>
                <w:sz w:val="14"/>
              </w:rPr>
              <w:t>Reasonable/erhöhte Assurance</w:t>
            </w:r>
          </w:p>
        </w:tc>
        <w:tc>
          <w:tcPr>
            <w:tcW w:type="dxa" w:w="5329"/>
            <w:tcMar>
              <w:top w:w="45" w:type="dxa"/>
              <w:start w:w="50" w:type="dxa"/>
              <w:bottom w:w="45" w:type="dxa"/>
              <w:end w:w="50" w:type="dxa"/>
            </w:tcMar>
            <w:vAlign w:val="top"/>
          </w:tcPr>
          <w:p>
            <w:r>
              <w:rPr>
                <w:rFonts w:ascii="Noto Sans" w:hAnsi="Noto Sans"/>
                <w:color w:val="2C2C2E"/>
                <w:sz w:val="14"/>
              </w:rPr>
              <w:t>hohe Beträge, kritische Wirkungsgrenzen</w:t>
            </w:r>
          </w:p>
        </w:tc>
      </w:tr>
      <w:tr>
        <w:trPr>
          <w:cantSplit/>
        </w:trPr>
        <w:tc>
          <w:tcPr>
            <w:tcW w:type="dxa" w:w="1247"/>
            <w:tcMar>
              <w:top w:w="45" w:type="dxa"/>
              <w:start w:w="50" w:type="dxa"/>
              <w:bottom w:w="45" w:type="dxa"/>
              <w:end w:w="50" w:type="dxa"/>
            </w:tcMar>
            <w:vAlign w:val="top"/>
            <w:shd w:fill="FAF9F7"/>
          </w:tcPr>
          <w:p>
            <w:r>
              <w:rPr>
                <w:rFonts w:ascii="Noto Sans" w:hAnsi="Noto Sans"/>
                <w:color w:val="2C2C2E"/>
                <w:sz w:val="14"/>
              </w:rPr>
              <w:t>Stufe 5</w:t>
            </w:r>
          </w:p>
        </w:tc>
        <w:tc>
          <w:tcPr>
            <w:tcW w:type="dxa" w:w="2835"/>
            <w:tcMar>
              <w:top w:w="45" w:type="dxa"/>
              <w:start w:w="50" w:type="dxa"/>
              <w:bottom w:w="45" w:type="dxa"/>
              <w:end w:w="50" w:type="dxa"/>
            </w:tcMar>
            <w:vAlign w:val="top"/>
            <w:shd w:fill="FAF9F7"/>
          </w:tcPr>
          <w:p>
            <w:r>
              <w:rPr>
                <w:rFonts w:ascii="Noto Sans" w:hAnsi="Noto Sans"/>
                <w:color w:val="2C2C2E"/>
                <w:sz w:val="14"/>
              </w:rPr>
              <w:t>unabhängiger/amtlicher Fachnachweis</w:t>
            </w:r>
          </w:p>
        </w:tc>
        <w:tc>
          <w:tcPr>
            <w:tcW w:type="dxa" w:w="5329"/>
            <w:tcMar>
              <w:top w:w="45" w:type="dxa"/>
              <w:start w:w="50" w:type="dxa"/>
              <w:bottom w:w="45" w:type="dxa"/>
              <w:end w:w="50" w:type="dxa"/>
            </w:tcMar>
            <w:vAlign w:val="top"/>
            <w:shd w:fill="FAF9F7"/>
          </w:tcPr>
          <w:p>
            <w:r>
              <w:rPr>
                <w:rFonts w:ascii="Noto Sans" w:hAnsi="Noto Sans"/>
                <w:color w:val="2C2C2E"/>
                <w:sz w:val="14"/>
              </w:rPr>
              <w:t>Rechtsgrenzen, besonders sensible oder streitige Tatbestände</w:t>
            </w:r>
          </w:p>
        </w:tc>
      </w:tr>
    </w:tbl>
    <w:p>
      <w:pPr>
        <w:pStyle w:val="Heading2"/>
      </w:pPr>
      <w:r>
        <w:t>5. Governance des Wirkungsrats</w:t>
      </w:r>
    </w:p>
    <w:p>
      <w:r>
        <w:rPr>
          <w:rFonts w:ascii="Noto Sans" w:hAnsi="Noto Sans"/>
        </w:rPr>
        <w:t>Der Wirkungsrat ist in der Neufassung keine Wahrheitsbehörde und kein Steuerparlament. Seine Aufgabe ist methodische Integrität: Indikatoren versionieren, Datenqualität definieren, Benchmarks prüfen, Interessenkonflikte offenlegen, Konsultationen organisieren, Prüfstellen akkreditieren beziehungsweise Anerkennungsvoraussetzungen definieren und Evaluationsberichte veröffentlichen. [I4][I5]</w:t>
      </w:r>
    </w:p>
    <w:p>
      <w:r>
        <w:rPr>
          <w:rFonts w:ascii="Noto Sans" w:hAnsi="Noto Sans"/>
        </w:rPr>
        <w:t>Steuersätze, Freibeträge, Zuschläge und gesetzliche Belastungsgrenzen bleiben parlamentarische Entscheidung. Das verhindert, dass ein methodisches Gremium faktisch materielles Steuerrecht setzt.</w:t>
      </w:r>
    </w:p>
    <w:p>
      <w:pPr>
        <w:pStyle w:val="Heading2"/>
      </w:pPr>
      <w:r>
        <w:t>6. KI und Automatisierung</w:t>
      </w:r>
    </w:p>
    <w:p>
      <w:r>
        <w:rPr>
          <w:rFonts w:ascii="Noto Sans" w:hAnsi="Noto Sans"/>
        </w:rPr>
        <w:t>Automatisierte Wirkungsbewertung kann Daten zuordnen, Plausibilitäten prüfen, fehlende Nachweise markieren, Benchmarks anwenden und Prüfprioritäten bilden. Sie darf die rechtliche Entscheidung nicht in eine nicht überprüfbare Black Box verlagern. Jede automatisierte steuerrelevante Bewertung braucht Version, Datenquellen, Regelpfad, Begründung, Korrekturmöglichkeit und menschlichen/behördlichen Rechtsschutz.</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5A3C"/>
              <w:top w:val="nil"/>
              <w:right w:val="nil"/>
              <w:bottom w:val="nil"/>
            </w:tcBorders>
          </w:tcPr>
          <w:p>
            <w:r>
              <w:rPr>
                <w:rFonts w:ascii="Noto Sans" w:hAnsi="Noto Sans"/>
                <w:b/>
                <w:color w:val="C85A3C"/>
                <w:sz w:val="17"/>
              </w:rPr>
              <w:t>Keine Black Box</w:t>
            </w:r>
          </w:p>
          <w:p>
            <w:pPr>
              <w:pStyle w:val="Callout"/>
            </w:pPr>
            <w:r>
              <w:rPr>
                <w:rFonts w:ascii="Noto Sans" w:hAnsi="Noto Sans"/>
                <w:color w:val="2C2C2E"/>
                <w:sz w:val="18"/>
              </w:rPr>
              <w:t>Nicht: „Die KI hat entschieden, dass das Produkt 25 % Steuern zahlt.“ Sondern: „Das Gesetz knüpft an Tatbestand X an; die automatisierte Prüfung hat auf Grundlage der Daten Y und Regelversion Z Tatbestand X erkannt. Die Feststellung ist begründbar und anfechtbar.“</w:t>
            </w:r>
          </w:p>
        </w:tc>
      </w:tr>
    </w:tbl>
    <w:p>
      <w:pPr>
        <w:spacing w:after="0"/>
      </w:pPr>
    </w:p>
    <w:p>
      <w:r>
        <w:br w:type="page"/>
      </w:r>
    </w:p>
    <w:p>
      <w:pPr>
        <w:pStyle w:val="Heading1"/>
      </w:pPr>
      <w:r>
        <w:t>TEIL E – Umsetzungspfad 2026–2040</w:t>
      </w:r>
    </w:p>
    <w:p>
      <w:pPr>
        <w:pStyle w:val="Heading2"/>
      </w:pPr>
      <w:r>
        <w:t>Phase 0 – Rechts- und Dateninventur</w:t>
      </w:r>
    </w:p>
    <w:p>
      <w:r>
        <w:rPr>
          <w:rFonts w:ascii="Noto Sans" w:hAnsi="Noto Sans"/>
        </w:rPr>
        <w:t>Vor jeder materiellen Steueränderung wird für jede Steuerart ein Wirkungs-Fit-Check erstellt: Steuerzweck, Kompetenz, EU-Bindung, vorhandene Lenkung, Datenverfügbarkeit, soziale Verteilung, Administrierbarkeit, Missbrauchsrisiko, Doppelbepreisung und erwartete Wirkungshebel. Das Ergebnis kann ausdrücklich lauten: kein WÖk-Modul.</w:t>
      </w:r>
    </w:p>
    <w:p>
      <w:pPr>
        <w:pStyle w:val="Heading2"/>
      </w:pPr>
      <w:r>
        <w:t>Phase 1 – Schattenrechnung und freiwillige Datenpfade</w:t>
      </w:r>
    </w:p>
    <w:p>
      <w:r>
        <w:rPr>
          <w:rFonts w:ascii="Noto Sans" w:hAnsi="Noto Sans"/>
        </w:rPr>
        <w:t>Bestehende Steuerberechnung bleibt unverändert. Parallel wird ermittelt, wie die geplanten Wirkungsmerkmale mit realen Daten aussehen würden. Unternehmen und Verwaltung können technische Schnittstellen, DPP-Verknüpfung, Register, Benchmarks, Prüfung und Fehlerkorrektur testen. Keine fiskalische Belastung aus unreifer Datenlage.</w:t>
      </w:r>
    </w:p>
    <w:p>
      <w:pPr>
        <w:pStyle w:val="Heading2"/>
      </w:pPr>
      <w:r>
        <w:t>Phase 2 – Reallabore mit begrenzten Korridoren</w:t>
      </w:r>
    </w:p>
    <w:p>
      <w:r>
        <w:rPr>
          <w:rFonts w:ascii="Noto Sans" w:hAnsi="Noto Sans"/>
        </w:rPr>
        <w:t>Geeignete Steuerarten erhalten kleine, gesetzlich begrenzte Wirkungsmodifikationen. Priorität haben hohe WÖk-Fit-Felder. Sunset-Klauseln, Kontrollgruppen oder geeignete Vergleichsdesigns, soziale Ausgleichsmechanismen und offene Evaluation sind verpflichtend.</w:t>
      </w:r>
    </w:p>
    <w:p>
      <w:pPr>
        <w:pStyle w:val="Heading2"/>
      </w:pPr>
      <w:r>
        <w:t>Phase 3 – nationale Skalierung</w:t>
      </w:r>
    </w:p>
    <w:p>
      <w:r>
        <w:rPr>
          <w:rFonts w:ascii="Noto Sans" w:hAnsi="Noto Sans"/>
        </w:rPr>
        <w:t>Nur Module mit nachgewiesener Vollzugsfähigkeit und plausibler Lenkungswirkung werden skaliert. Fehlanreize, Steuervermeidung, Rebound, Preisüberwälzung und administrative Blindleistung werden in die Entscheidung einbezogen.</w:t>
      </w:r>
    </w:p>
    <w:p>
      <w:pPr>
        <w:pStyle w:val="Heading2"/>
      </w:pPr>
      <w:r>
        <w:t>Phase 4 – europäische Harmonisierung</w:t>
      </w:r>
    </w:p>
    <w:p>
      <w:r>
        <w:rPr>
          <w:rFonts w:ascii="Noto Sans" w:hAnsi="Noto Sans"/>
        </w:rPr>
        <w:t>Für Umsatzsteuer, Einfuhrumsatzsteuer, Zölle und harmonisierte Verbrauchsteuern wird ein europäischer Pfad verfolgt. Ziel ist kein deutscher Sonderweg, sondern eine unionsweit interoperable Produkt- und Wirkungsdatenarchitektur mit diskriminierungsfreien Regeln. Artikel 113 AEUV bildet für indirekte Steuern einen zentralen Harmonisierungskontext. [E17]</w:t>
      </w:r>
    </w:p>
    <w:p>
      <w:pPr>
        <w:pStyle w:val="Heading2"/>
      </w:pPr>
      <w:r>
        <w:t>Phase 5 – lernende Regelarchitektur</w:t>
      </w:r>
    </w:p>
    <w:p>
      <w:r>
        <w:rPr>
          <w:rFonts w:ascii="Noto Sans" w:hAnsi="Noto Sans"/>
        </w:rPr>
        <w:t>Wirkungssteuer ist nie „fertig“. Indikatoren, Benchmarks und Risiken verändern sich. Jede relevante Regel erhält Version, Gültigkeitszeitraum, Evaluationsdatum und Revisionsweg. Wirkungsgrenzen werden strenger geschützt als bloße Durchschnittswerte. Was sich als falsch erweist, wird sichtbar korrigiert.</w:t>
      </w:r>
    </w:p>
    <w:p>
      <w:pPr>
        <w:pStyle w:val="Heading2"/>
      </w:pPr>
      <w:r>
        <w:t>Pilotportfolio</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907"/>
            <w:shd w:fill="0B1020"/>
            <w:tcMar>
              <w:top w:w="55" w:type="dxa"/>
              <w:start w:w="55" w:type="dxa"/>
              <w:bottom w:w="55" w:type="dxa"/>
              <w:end w:w="55" w:type="dxa"/>
            </w:tcMar>
          </w:tcPr>
          <w:p>
            <w:r>
              <w:rPr>
                <w:rFonts w:ascii="Noto Sans" w:hAnsi="Noto Sans"/>
                <w:b/>
                <w:color w:val="FFFFFF"/>
                <w:sz w:val="14"/>
              </w:rPr>
              <w:t>Pilot</w:t>
            </w:r>
          </w:p>
        </w:tc>
        <w:tc>
          <w:tcPr>
            <w:tcW w:type="dxa" w:w="2608"/>
            <w:shd w:fill="0B1020"/>
            <w:tcMar>
              <w:top w:w="55" w:type="dxa"/>
              <w:start w:w="55" w:type="dxa"/>
              <w:bottom w:w="55" w:type="dxa"/>
              <w:end w:w="55" w:type="dxa"/>
            </w:tcMar>
          </w:tcPr>
          <w:p>
            <w:r>
              <w:rPr>
                <w:rFonts w:ascii="Noto Sans" w:hAnsi="Noto Sans"/>
                <w:b/>
                <w:color w:val="FFFFFF"/>
                <w:sz w:val="14"/>
              </w:rPr>
              <w:t>Gegenstand</w:t>
            </w:r>
          </w:p>
        </w:tc>
        <w:tc>
          <w:tcPr>
            <w:tcW w:type="dxa" w:w="5896"/>
            <w:shd w:fill="0B1020"/>
            <w:tcMar>
              <w:top w:w="55" w:type="dxa"/>
              <w:start w:w="55" w:type="dxa"/>
              <w:bottom w:w="55" w:type="dxa"/>
              <w:end w:w="55" w:type="dxa"/>
            </w:tcMar>
          </w:tcPr>
          <w:p>
            <w:r>
              <w:rPr>
                <w:rFonts w:ascii="Noto Sans" w:hAnsi="Noto Sans"/>
                <w:b/>
                <w:color w:val="FFFFFF"/>
                <w:sz w:val="14"/>
              </w:rPr>
              <w:t>Lernziel</w:t>
            </w:r>
          </w:p>
        </w:tc>
      </w:tr>
      <w:tr>
        <w:trPr>
          <w:cantSplit/>
        </w:trPr>
        <w:tc>
          <w:tcPr>
            <w:tcW w:type="dxa" w:w="907"/>
            <w:tcMar>
              <w:top w:w="45" w:type="dxa"/>
              <w:start w:w="50" w:type="dxa"/>
              <w:bottom w:w="45" w:type="dxa"/>
              <w:end w:w="50" w:type="dxa"/>
            </w:tcMar>
            <w:vAlign w:val="top"/>
          </w:tcPr>
          <w:p>
            <w:r>
              <w:rPr>
                <w:rFonts w:ascii="Noto Sans" w:hAnsi="Noto Sans"/>
                <w:color w:val="2C2C2E"/>
                <w:sz w:val="14"/>
              </w:rPr>
              <w:t>P1</w:t>
            </w:r>
          </w:p>
        </w:tc>
        <w:tc>
          <w:tcPr>
            <w:tcW w:type="dxa" w:w="2608"/>
            <w:tcMar>
              <w:top w:w="45" w:type="dxa"/>
              <w:start w:w="50" w:type="dxa"/>
              <w:bottom w:w="45" w:type="dxa"/>
              <w:end w:w="50" w:type="dxa"/>
            </w:tcMar>
            <w:vAlign w:val="top"/>
          </w:tcPr>
          <w:p>
            <w:r>
              <w:rPr>
                <w:rFonts w:ascii="Noto Sans" w:hAnsi="Noto Sans"/>
                <w:color w:val="2C2C2E"/>
                <w:sz w:val="14"/>
              </w:rPr>
              <w:t>Kfz-/Mobilitätsmodul</w:t>
            </w:r>
          </w:p>
        </w:tc>
        <w:tc>
          <w:tcPr>
            <w:tcW w:type="dxa" w:w="5896"/>
            <w:tcMar>
              <w:top w:w="45" w:type="dxa"/>
              <w:start w:w="50" w:type="dxa"/>
              <w:bottom w:w="45" w:type="dxa"/>
              <w:end w:w="50" w:type="dxa"/>
            </w:tcMar>
            <w:vAlign w:val="top"/>
          </w:tcPr>
          <w:p>
            <w:r>
              <w:rPr>
                <w:rFonts w:ascii="Noto Sans" w:hAnsi="Noto Sans"/>
                <w:color w:val="2C2C2E"/>
                <w:sz w:val="14"/>
              </w:rPr>
              <w:t>Objektive Fahrzeugdaten + Lebenszyklus-/Materialdaten; soziale Mobilitätsbedarfe separat betrachten</w:t>
            </w:r>
          </w:p>
        </w:tc>
      </w:tr>
      <w:tr>
        <w:trPr>
          <w:cantSplit/>
        </w:trPr>
        <w:tc>
          <w:tcPr>
            <w:tcW w:type="dxa" w:w="907"/>
            <w:tcMar>
              <w:top w:w="45" w:type="dxa"/>
              <w:start w:w="50" w:type="dxa"/>
              <w:bottom w:w="45" w:type="dxa"/>
              <w:end w:w="50" w:type="dxa"/>
            </w:tcMar>
            <w:vAlign w:val="top"/>
            <w:shd w:fill="FAF9F7"/>
          </w:tcPr>
          <w:p>
            <w:r>
              <w:rPr>
                <w:rFonts w:ascii="Noto Sans" w:hAnsi="Noto Sans"/>
                <w:color w:val="2C2C2E"/>
                <w:sz w:val="14"/>
              </w:rPr>
              <w:t>P2</w:t>
            </w:r>
          </w:p>
        </w:tc>
        <w:tc>
          <w:tcPr>
            <w:tcW w:type="dxa" w:w="2608"/>
            <w:tcMar>
              <w:top w:w="45" w:type="dxa"/>
              <w:start w:w="50" w:type="dxa"/>
              <w:bottom w:w="45" w:type="dxa"/>
              <w:end w:w="50" w:type="dxa"/>
            </w:tcMar>
            <w:vAlign w:val="top"/>
            <w:shd w:fill="FAF9F7"/>
          </w:tcPr>
          <w:p>
            <w:r>
              <w:rPr>
                <w:rFonts w:ascii="Noto Sans" w:hAnsi="Noto Sans"/>
                <w:color w:val="2C2C2E"/>
                <w:sz w:val="14"/>
              </w:rPr>
              <w:t>Strom-/Energiemodul</w:t>
            </w:r>
          </w:p>
        </w:tc>
        <w:tc>
          <w:tcPr>
            <w:tcW w:type="dxa" w:w="5896"/>
            <w:tcMar>
              <w:top w:w="45" w:type="dxa"/>
              <w:start w:w="50" w:type="dxa"/>
              <w:bottom w:w="45" w:type="dxa"/>
              <w:end w:w="50" w:type="dxa"/>
            </w:tcMar>
            <w:vAlign w:val="top"/>
            <w:shd w:fill="FAF9F7"/>
          </w:tcPr>
          <w:p>
            <w:r>
              <w:rPr>
                <w:rFonts w:ascii="Noto Sans" w:hAnsi="Noto Sans"/>
                <w:color w:val="2C2C2E"/>
                <w:sz w:val="14"/>
              </w:rPr>
              <w:t>Kohärenz von Stromsteuer, Energiesteuer, ETS/ETS2, Netzdienlichkeit und Elektrifizierung</w:t>
            </w:r>
          </w:p>
        </w:tc>
      </w:tr>
      <w:tr>
        <w:trPr>
          <w:cantSplit/>
        </w:trPr>
        <w:tc>
          <w:tcPr>
            <w:tcW w:type="dxa" w:w="907"/>
            <w:tcMar>
              <w:top w:w="45" w:type="dxa"/>
              <w:start w:w="50" w:type="dxa"/>
              <w:bottom w:w="45" w:type="dxa"/>
              <w:end w:w="50" w:type="dxa"/>
            </w:tcMar>
            <w:vAlign w:val="top"/>
          </w:tcPr>
          <w:p>
            <w:r>
              <w:rPr>
                <w:rFonts w:ascii="Noto Sans" w:hAnsi="Noto Sans"/>
                <w:color w:val="2C2C2E"/>
                <w:sz w:val="14"/>
              </w:rPr>
              <w:t>P3</w:t>
            </w:r>
          </w:p>
        </w:tc>
        <w:tc>
          <w:tcPr>
            <w:tcW w:type="dxa" w:w="2608"/>
            <w:tcMar>
              <w:top w:w="45" w:type="dxa"/>
              <w:start w:w="50" w:type="dxa"/>
              <w:bottom w:w="45" w:type="dxa"/>
              <w:end w:w="50" w:type="dxa"/>
            </w:tcMar>
            <w:vAlign w:val="top"/>
          </w:tcPr>
          <w:p>
            <w:r>
              <w:rPr>
                <w:rFonts w:ascii="Noto Sans" w:hAnsi="Noto Sans"/>
                <w:color w:val="2C2C2E"/>
                <w:sz w:val="14"/>
              </w:rPr>
              <w:t>Verpackungs-/Mehrweg-Reallabore</w:t>
            </w:r>
          </w:p>
        </w:tc>
        <w:tc>
          <w:tcPr>
            <w:tcW w:type="dxa" w:w="5896"/>
            <w:tcMar>
              <w:top w:w="45" w:type="dxa"/>
              <w:start w:w="50" w:type="dxa"/>
              <w:bottom w:w="45" w:type="dxa"/>
              <w:end w:w="50" w:type="dxa"/>
            </w:tcMar>
            <w:vAlign w:val="top"/>
          </w:tcPr>
          <w:p>
            <w:r>
              <w:rPr>
                <w:rFonts w:ascii="Noto Sans" w:hAnsi="Noto Sans"/>
                <w:color w:val="2C2C2E"/>
                <w:sz w:val="14"/>
              </w:rPr>
              <w:t>Kommunale oder gesetzliche Verbrauchslenkung, Abfallvermeidung, Wiederverwendung, Vollzugsdaten</w:t>
            </w:r>
          </w:p>
        </w:tc>
      </w:tr>
      <w:tr>
        <w:trPr>
          <w:cantSplit/>
        </w:trPr>
        <w:tc>
          <w:tcPr>
            <w:tcW w:type="dxa" w:w="907"/>
            <w:tcMar>
              <w:top w:w="45" w:type="dxa"/>
              <w:start w:w="50" w:type="dxa"/>
              <w:bottom w:w="45" w:type="dxa"/>
              <w:end w:w="50" w:type="dxa"/>
            </w:tcMar>
            <w:vAlign w:val="top"/>
            <w:shd w:fill="FAF9F7"/>
          </w:tcPr>
          <w:p>
            <w:r>
              <w:rPr>
                <w:rFonts w:ascii="Noto Sans" w:hAnsi="Noto Sans"/>
                <w:color w:val="2C2C2E"/>
                <w:sz w:val="14"/>
              </w:rPr>
              <w:t>P4</w:t>
            </w:r>
          </w:p>
        </w:tc>
        <w:tc>
          <w:tcPr>
            <w:tcW w:type="dxa" w:w="2608"/>
            <w:tcMar>
              <w:top w:w="45" w:type="dxa"/>
              <w:start w:w="50" w:type="dxa"/>
              <w:bottom w:w="45" w:type="dxa"/>
              <w:end w:w="50" w:type="dxa"/>
            </w:tcMar>
            <w:vAlign w:val="top"/>
            <w:shd w:fill="FAF9F7"/>
          </w:tcPr>
          <w:p>
            <w:r>
              <w:rPr>
                <w:rFonts w:ascii="Noto Sans" w:hAnsi="Noto Sans"/>
                <w:color w:val="2C2C2E"/>
                <w:sz w:val="14"/>
              </w:rPr>
              <w:t>Tabak-/Alkoholprävention</w:t>
            </w:r>
          </w:p>
        </w:tc>
        <w:tc>
          <w:tcPr>
            <w:tcW w:type="dxa" w:w="5896"/>
            <w:tcMar>
              <w:top w:w="45" w:type="dxa"/>
              <w:start w:w="50" w:type="dxa"/>
              <w:bottom w:w="45" w:type="dxa"/>
              <w:end w:w="50" w:type="dxa"/>
            </w:tcMar>
            <w:vAlign w:val="top"/>
            <w:shd w:fill="FAF9F7"/>
          </w:tcPr>
          <w:p>
            <w:r>
              <w:rPr>
                <w:rFonts w:ascii="Noto Sans" w:hAnsi="Noto Sans"/>
                <w:color w:val="2C2C2E"/>
                <w:sz w:val="14"/>
              </w:rPr>
              <w:t>Gesundheitswirkung, Produktdifferenzierung, Präventionsrückkopplung, Evaluationsdesign</w:t>
            </w:r>
          </w:p>
        </w:tc>
      </w:tr>
      <w:tr>
        <w:trPr>
          <w:cantSplit/>
        </w:trPr>
        <w:tc>
          <w:tcPr>
            <w:tcW w:type="dxa" w:w="907"/>
            <w:tcMar>
              <w:top w:w="45" w:type="dxa"/>
              <w:start w:w="50" w:type="dxa"/>
              <w:bottom w:w="45" w:type="dxa"/>
              <w:end w:w="50" w:type="dxa"/>
            </w:tcMar>
            <w:vAlign w:val="top"/>
          </w:tcPr>
          <w:p>
            <w:r>
              <w:rPr>
                <w:rFonts w:ascii="Noto Sans" w:hAnsi="Noto Sans"/>
                <w:color w:val="2C2C2E"/>
                <w:sz w:val="14"/>
              </w:rPr>
              <w:t>P5</w:t>
            </w:r>
          </w:p>
        </w:tc>
        <w:tc>
          <w:tcPr>
            <w:tcW w:type="dxa" w:w="2608"/>
            <w:tcMar>
              <w:top w:w="45" w:type="dxa"/>
              <w:start w:w="50" w:type="dxa"/>
              <w:bottom w:w="45" w:type="dxa"/>
              <w:end w:w="50" w:type="dxa"/>
            </w:tcMar>
            <w:vAlign w:val="top"/>
          </w:tcPr>
          <w:p>
            <w:r>
              <w:rPr>
                <w:rFonts w:ascii="Noto Sans" w:hAnsi="Noto Sans"/>
                <w:color w:val="2C2C2E"/>
                <w:sz w:val="14"/>
              </w:rPr>
              <w:t>Unternehmens-Transformationsmodul</w:t>
            </w:r>
          </w:p>
        </w:tc>
        <w:tc>
          <w:tcPr>
            <w:tcW w:type="dxa" w:w="5896"/>
            <w:tcMar>
              <w:top w:w="45" w:type="dxa"/>
              <w:start w:w="50" w:type="dxa"/>
              <w:bottom w:w="45" w:type="dxa"/>
              <w:end w:w="50" w:type="dxa"/>
            </w:tcMar>
            <w:vAlign w:val="top"/>
          </w:tcPr>
          <w:p>
            <w:r>
              <w:rPr>
                <w:rFonts w:ascii="Noto Sans" w:hAnsi="Noto Sans"/>
                <w:color w:val="2C2C2E"/>
                <w:sz w:val="14"/>
              </w:rPr>
              <w:t>Begrenzte KSt-/GewSt-Anreize für nachgewiesene Transformationsinvestitionen; keine Gesamtunternehmensnote</w:t>
            </w:r>
          </w:p>
        </w:tc>
      </w:tr>
      <w:tr>
        <w:trPr>
          <w:cantSplit/>
        </w:trPr>
        <w:tc>
          <w:tcPr>
            <w:tcW w:type="dxa" w:w="907"/>
            <w:tcMar>
              <w:top w:w="45" w:type="dxa"/>
              <w:start w:w="50" w:type="dxa"/>
              <w:bottom w:w="45" w:type="dxa"/>
              <w:end w:w="50" w:type="dxa"/>
            </w:tcMar>
            <w:vAlign w:val="top"/>
            <w:shd w:fill="FAF9F7"/>
          </w:tcPr>
          <w:p>
            <w:r>
              <w:rPr>
                <w:rFonts w:ascii="Noto Sans" w:hAnsi="Noto Sans"/>
                <w:color w:val="2C2C2E"/>
                <w:sz w:val="14"/>
              </w:rPr>
              <w:t>P6</w:t>
            </w:r>
          </w:p>
        </w:tc>
        <w:tc>
          <w:tcPr>
            <w:tcW w:type="dxa" w:w="2608"/>
            <w:tcMar>
              <w:top w:w="45" w:type="dxa"/>
              <w:start w:w="50" w:type="dxa"/>
              <w:bottom w:w="45" w:type="dxa"/>
              <w:end w:w="50" w:type="dxa"/>
            </w:tcMar>
            <w:vAlign w:val="top"/>
            <w:shd w:fill="FAF9F7"/>
          </w:tcPr>
          <w:p>
            <w:r>
              <w:rPr>
                <w:rFonts w:ascii="Noto Sans" w:hAnsi="Noto Sans"/>
                <w:color w:val="2C2C2E"/>
                <w:sz w:val="14"/>
              </w:rPr>
              <w:t>Öffentliche Beschaffung</w:t>
            </w:r>
          </w:p>
        </w:tc>
        <w:tc>
          <w:tcPr>
            <w:tcW w:type="dxa" w:w="5896"/>
            <w:tcMar>
              <w:top w:w="45" w:type="dxa"/>
              <w:start w:w="50" w:type="dxa"/>
              <w:bottom w:w="45" w:type="dxa"/>
              <w:end w:w="50" w:type="dxa"/>
            </w:tcMar>
            <w:vAlign w:val="top"/>
            <w:shd w:fill="FAF9F7"/>
          </w:tcPr>
          <w:p>
            <w:r>
              <w:rPr>
                <w:rFonts w:ascii="Noto Sans" w:hAnsi="Noto Sans"/>
                <w:color w:val="2C2C2E"/>
                <w:sz w:val="14"/>
              </w:rPr>
              <w:t>Wirkungsdaten sofort als Vergabe-/Lebenszyklusinformation nutzen, bevor flächige Steuerwirkung folgt</w:t>
            </w:r>
          </w:p>
        </w:tc>
      </w:tr>
      <w:tr>
        <w:trPr>
          <w:cantSplit/>
        </w:trPr>
        <w:tc>
          <w:tcPr>
            <w:tcW w:type="dxa" w:w="907"/>
            <w:tcMar>
              <w:top w:w="45" w:type="dxa"/>
              <w:start w:w="50" w:type="dxa"/>
              <w:bottom w:w="45" w:type="dxa"/>
              <w:end w:w="50" w:type="dxa"/>
            </w:tcMar>
            <w:vAlign w:val="top"/>
          </w:tcPr>
          <w:p>
            <w:r>
              <w:rPr>
                <w:rFonts w:ascii="Noto Sans" w:hAnsi="Noto Sans"/>
                <w:color w:val="2C2C2E"/>
                <w:sz w:val="14"/>
              </w:rPr>
              <w:t>P7</w:t>
            </w:r>
          </w:p>
        </w:tc>
        <w:tc>
          <w:tcPr>
            <w:tcW w:type="dxa" w:w="2608"/>
            <w:tcMar>
              <w:top w:w="45" w:type="dxa"/>
              <w:start w:w="50" w:type="dxa"/>
              <w:bottom w:w="45" w:type="dxa"/>
              <w:end w:w="50" w:type="dxa"/>
            </w:tcMar>
            <w:vAlign w:val="top"/>
          </w:tcPr>
          <w:p>
            <w:r>
              <w:rPr>
                <w:rFonts w:ascii="Noto Sans" w:hAnsi="Noto Sans"/>
                <w:color w:val="2C2C2E"/>
                <w:sz w:val="14"/>
              </w:rPr>
              <w:t>DPP-Wirkungsdatenraum</w:t>
            </w:r>
          </w:p>
        </w:tc>
        <w:tc>
          <w:tcPr>
            <w:tcW w:type="dxa" w:w="5896"/>
            <w:tcMar>
              <w:top w:w="45" w:type="dxa"/>
              <w:start w:w="50" w:type="dxa"/>
              <w:bottom w:w="45" w:type="dxa"/>
              <w:end w:w="50" w:type="dxa"/>
            </w:tcMar>
            <w:vAlign w:val="top"/>
          </w:tcPr>
          <w:p>
            <w:r>
              <w:rPr>
                <w:rFonts w:ascii="Noto Sans" w:hAnsi="Noto Sans"/>
                <w:color w:val="2C2C2E"/>
                <w:sz w:val="14"/>
              </w:rPr>
              <w:t>Produkt-ID ↔ WÖk-Indikatoren ↔ Nachweis ↔ Benchmark ↔ steuerlicher/vergaberechtlicher Tatbestand</w:t>
            </w:r>
          </w:p>
        </w:tc>
      </w:tr>
    </w:tbl>
    <w:p>
      <w:pPr>
        <w:pStyle w:val="Heading2"/>
      </w:pPr>
      <w:r>
        <w:t>Erfolgskriterien der Einführung</w:t>
      </w:r>
    </w:p>
    <w:p>
      <w:pPr>
        <w:ind w:left="340" w:hanging="198"/>
      </w:pPr>
      <w:r>
        <w:rPr>
          <w:b/>
        </w:rPr>
        <w:t xml:space="preserve">• </w:t>
      </w:r>
      <w:r>
        <w:t>Reale Zustandsverbesserung oder belastbar sinkendes Wirkungsrisiko – nicht nur mehr Daten.</w:t>
      </w:r>
    </w:p>
    <w:p>
      <w:pPr>
        <w:ind w:left="340" w:hanging="198"/>
      </w:pPr>
      <w:r>
        <w:rPr>
          <w:b/>
        </w:rPr>
        <w:t xml:space="preserve">• </w:t>
      </w:r>
      <w:r>
        <w:t>Sinkende Blindleistung in Nachweis-, Förder- und Berichtssystemen.</w:t>
      </w:r>
    </w:p>
    <w:p>
      <w:pPr>
        <w:ind w:left="340" w:hanging="198"/>
      </w:pPr>
      <w:r>
        <w:rPr>
          <w:b/>
        </w:rPr>
        <w:t xml:space="preserve">• </w:t>
      </w:r>
      <w:r>
        <w:t>Keine systematische Verschlechterung sozialer Zugänglichkeit zu Grundbedürfnissen.</w:t>
      </w:r>
    </w:p>
    <w:p>
      <w:pPr>
        <w:ind w:left="340" w:hanging="198"/>
      </w:pPr>
      <w:r>
        <w:rPr>
          <w:b/>
        </w:rPr>
        <w:t xml:space="preserve">• </w:t>
      </w:r>
      <w:r>
        <w:t>Kein Ausweichen in andere Wirkungsräume durch Leakage, Importverschiebung oder Bilanztricks.</w:t>
      </w:r>
    </w:p>
    <w:p>
      <w:pPr>
        <w:ind w:left="340" w:hanging="198"/>
      </w:pPr>
      <w:r>
        <w:rPr>
          <w:b/>
        </w:rPr>
        <w:t xml:space="preserve">• </w:t>
      </w:r>
      <w:r>
        <w:t>Rechtssichere, verständliche und anfechtbare Tatbestände.</w:t>
      </w:r>
    </w:p>
    <w:p>
      <w:pPr>
        <w:ind w:left="340" w:hanging="198"/>
      </w:pPr>
      <w:r>
        <w:rPr>
          <w:b/>
        </w:rPr>
        <w:t xml:space="preserve">• </w:t>
      </w:r>
      <w:r>
        <w:t>Planbare öffentliche Einnahmen innerhalb demokratisch gesetzter Korridore.</w:t>
      </w:r>
    </w:p>
    <w:p>
      <w:pPr>
        <w:ind w:left="340" w:hanging="198"/>
      </w:pPr>
      <w:r>
        <w:rPr>
          <w:b/>
        </w:rPr>
        <w:t xml:space="preserve">• </w:t>
      </w:r>
      <w:r>
        <w:t>Messbarer Innovations- und Transformationsanreiz bei Unternehmen.</w:t>
      </w:r>
    </w:p>
    <w:p>
      <w:pPr>
        <w:ind w:left="340" w:hanging="198"/>
      </w:pPr>
      <w:r>
        <w:rPr>
          <w:b/>
        </w:rPr>
        <w:t xml:space="preserve">• </w:t>
      </w:r>
      <w:r>
        <w:t>Hohe Wiederverwendbarkeit von Daten für Steuer, Beschaffung, Finanzierung, Versicherung und Management.</w:t>
      </w:r>
    </w:p>
    <w:p>
      <w:r>
        <w:br w:type="page"/>
      </w:r>
    </w:p>
    <w:p>
      <w:pPr>
        <w:pStyle w:val="Heading1"/>
      </w:pPr>
      <w:r>
        <w:t>ANHANG A – WÖk-Simulationsparameter des aktuellen technischen Modells</w:t>
      </w:r>
    </w:p>
    <w:p>
      <w:r>
        <w:rPr>
          <w:rFonts w:ascii="Noto Sans" w:hAnsi="Noto Sans"/>
        </w:rPr>
        <w:t>Die folgende Tabelle dokumentiert den derzeit im technischen WÖk-Arbeitsmodell verwendeten Tarif-Mapping-Stand. Er ist eine Simulation beziehungsweise WÖk-Kalibrierung und ausdrücklich kein Vorschlag, der automatisch für die deutsche Umsatzsteuer oder jede andere Steuerart gelten soll. [I6]</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1701"/>
            <w:shd w:fill="0B1020"/>
            <w:tcMar>
              <w:top w:w="55" w:type="dxa"/>
              <w:start w:w="55" w:type="dxa"/>
              <w:bottom w:w="55" w:type="dxa"/>
              <w:end w:w="55" w:type="dxa"/>
            </w:tcMar>
          </w:tcPr>
          <w:p>
            <w:r>
              <w:rPr>
                <w:rFonts w:ascii="Noto Sans" w:hAnsi="Noto Sans"/>
                <w:b/>
                <w:color w:val="FFFFFF"/>
                <w:sz w:val="16"/>
              </w:rPr>
              <w:t>FinalScore</w:t>
            </w:r>
          </w:p>
        </w:tc>
        <w:tc>
          <w:tcPr>
            <w:tcW w:type="dxa" w:w="3969"/>
            <w:shd w:fill="0B1020"/>
            <w:tcMar>
              <w:top w:w="55" w:type="dxa"/>
              <w:start w:w="55" w:type="dxa"/>
              <w:bottom w:w="55" w:type="dxa"/>
              <w:end w:w="55" w:type="dxa"/>
            </w:tcMar>
          </w:tcPr>
          <w:p>
            <w:r>
              <w:rPr>
                <w:rFonts w:ascii="Noto Sans" w:hAnsi="Noto Sans"/>
                <w:b/>
                <w:color w:val="FFFFFF"/>
                <w:sz w:val="16"/>
              </w:rPr>
              <w:t>Arbeitsinterpretation</w:t>
            </w:r>
          </w:p>
        </w:tc>
        <w:tc>
          <w:tcPr>
            <w:tcW w:type="dxa" w:w="3742"/>
            <w:shd w:fill="0B1020"/>
            <w:tcMar>
              <w:top w:w="55" w:type="dxa"/>
              <w:start w:w="55" w:type="dxa"/>
              <w:bottom w:w="55" w:type="dxa"/>
              <w:end w:w="55" w:type="dxa"/>
            </w:tcMar>
          </w:tcPr>
          <w:p>
            <w:r>
              <w:rPr>
                <w:rFonts w:ascii="Noto Sans" w:hAnsi="Noto Sans"/>
                <w:b/>
                <w:color w:val="FFFFFF"/>
                <w:sz w:val="16"/>
              </w:rPr>
              <w:t>Simulierter Produkttarif</w:t>
            </w:r>
          </w:p>
        </w:tc>
      </w:tr>
      <w:tr>
        <w:trPr>
          <w:cantSplit/>
        </w:trPr>
        <w:tc>
          <w:tcPr>
            <w:tcW w:type="dxa" w:w="1701"/>
            <w:tcMar>
              <w:top w:w="45" w:type="dxa"/>
              <w:start w:w="50" w:type="dxa"/>
              <w:bottom w:w="45" w:type="dxa"/>
              <w:end w:w="50" w:type="dxa"/>
            </w:tcMar>
            <w:vAlign w:val="top"/>
          </w:tcPr>
          <w:p>
            <w:r>
              <w:rPr>
                <w:rFonts w:ascii="Noto Sans" w:hAnsi="Noto Sans"/>
                <w:color w:val="2C2C2E"/>
                <w:sz w:val="16"/>
              </w:rPr>
              <w:t>+3</w:t>
            </w:r>
          </w:p>
        </w:tc>
        <w:tc>
          <w:tcPr>
            <w:tcW w:type="dxa" w:w="3969"/>
            <w:tcMar>
              <w:top w:w="45" w:type="dxa"/>
              <w:start w:w="50" w:type="dxa"/>
              <w:bottom w:w="45" w:type="dxa"/>
              <w:end w:w="50" w:type="dxa"/>
            </w:tcMar>
            <w:vAlign w:val="top"/>
          </w:tcPr>
          <w:p>
            <w:r>
              <w:rPr>
                <w:rFonts w:ascii="Noto Sans" w:hAnsi="Noto Sans"/>
                <w:color w:val="2C2C2E"/>
                <w:sz w:val="16"/>
              </w:rPr>
              <w:t>sehr positive Einordnung</w:t>
            </w:r>
          </w:p>
        </w:tc>
        <w:tc>
          <w:tcPr>
            <w:tcW w:type="dxa" w:w="3742"/>
            <w:tcMar>
              <w:top w:w="45" w:type="dxa"/>
              <w:start w:w="50" w:type="dxa"/>
              <w:bottom w:w="45" w:type="dxa"/>
              <w:end w:w="50" w:type="dxa"/>
            </w:tcMar>
            <w:vAlign w:val="top"/>
          </w:tcPr>
          <w:p>
            <w:r>
              <w:rPr>
                <w:rFonts w:ascii="Noto Sans" w:hAnsi="Noto Sans"/>
                <w:color w:val="2C2C2E"/>
                <w:sz w:val="16"/>
              </w:rPr>
              <w:t>0 %</w:t>
            </w:r>
          </w:p>
        </w:tc>
      </w:tr>
      <w:tr>
        <w:trPr>
          <w:cantSplit/>
        </w:trPr>
        <w:tc>
          <w:tcPr>
            <w:tcW w:type="dxa" w:w="1701"/>
            <w:tcMar>
              <w:top w:w="45" w:type="dxa"/>
              <w:start w:w="50" w:type="dxa"/>
              <w:bottom w:w="45" w:type="dxa"/>
              <w:end w:w="50" w:type="dxa"/>
            </w:tcMar>
            <w:vAlign w:val="top"/>
            <w:shd w:fill="FAF9F7"/>
          </w:tcPr>
          <w:p>
            <w:r>
              <w:rPr>
                <w:rFonts w:ascii="Noto Sans" w:hAnsi="Noto Sans"/>
                <w:color w:val="2C2C2E"/>
                <w:sz w:val="16"/>
              </w:rPr>
              <w:t>+2</w:t>
            </w:r>
          </w:p>
        </w:tc>
        <w:tc>
          <w:tcPr>
            <w:tcW w:type="dxa" w:w="3969"/>
            <w:tcMar>
              <w:top w:w="45" w:type="dxa"/>
              <w:start w:w="50" w:type="dxa"/>
              <w:bottom w:w="45" w:type="dxa"/>
              <w:end w:w="50" w:type="dxa"/>
            </w:tcMar>
            <w:vAlign w:val="top"/>
            <w:shd w:fill="FAF9F7"/>
          </w:tcPr>
          <w:p>
            <w:r>
              <w:rPr>
                <w:rFonts w:ascii="Noto Sans" w:hAnsi="Noto Sans"/>
                <w:color w:val="2C2C2E"/>
                <w:sz w:val="16"/>
              </w:rPr>
              <w:t>positive Einordnung</w:t>
            </w:r>
          </w:p>
        </w:tc>
        <w:tc>
          <w:tcPr>
            <w:tcW w:type="dxa" w:w="3742"/>
            <w:tcMar>
              <w:top w:w="45" w:type="dxa"/>
              <w:start w:w="50" w:type="dxa"/>
              <w:bottom w:w="45" w:type="dxa"/>
              <w:end w:w="50" w:type="dxa"/>
            </w:tcMar>
            <w:vAlign w:val="top"/>
            <w:shd w:fill="FAF9F7"/>
          </w:tcPr>
          <w:p>
            <w:r>
              <w:rPr>
                <w:rFonts w:ascii="Noto Sans" w:hAnsi="Noto Sans"/>
                <w:color w:val="2C2C2E"/>
                <w:sz w:val="16"/>
              </w:rPr>
              <w:t>0 %</w:t>
            </w:r>
          </w:p>
        </w:tc>
      </w:tr>
      <w:tr>
        <w:trPr>
          <w:cantSplit/>
        </w:trPr>
        <w:tc>
          <w:tcPr>
            <w:tcW w:type="dxa" w:w="1701"/>
            <w:tcMar>
              <w:top w:w="45" w:type="dxa"/>
              <w:start w:w="50" w:type="dxa"/>
              <w:bottom w:w="45" w:type="dxa"/>
              <w:end w:w="50" w:type="dxa"/>
            </w:tcMar>
            <w:vAlign w:val="top"/>
          </w:tcPr>
          <w:p>
            <w:r>
              <w:rPr>
                <w:rFonts w:ascii="Noto Sans" w:hAnsi="Noto Sans"/>
                <w:color w:val="2C2C2E"/>
                <w:sz w:val="16"/>
              </w:rPr>
              <w:t>+1</w:t>
            </w:r>
          </w:p>
        </w:tc>
        <w:tc>
          <w:tcPr>
            <w:tcW w:type="dxa" w:w="3969"/>
            <w:tcMar>
              <w:top w:w="45" w:type="dxa"/>
              <w:start w:w="50" w:type="dxa"/>
              <w:bottom w:w="45" w:type="dxa"/>
              <w:end w:w="50" w:type="dxa"/>
            </w:tcMar>
            <w:vAlign w:val="top"/>
          </w:tcPr>
          <w:p>
            <w:r>
              <w:rPr>
                <w:rFonts w:ascii="Noto Sans" w:hAnsi="Noto Sans"/>
                <w:color w:val="2C2C2E"/>
                <w:sz w:val="16"/>
              </w:rPr>
              <w:t>leicht positive Einordnung</w:t>
            </w:r>
          </w:p>
        </w:tc>
        <w:tc>
          <w:tcPr>
            <w:tcW w:type="dxa" w:w="3742"/>
            <w:tcMar>
              <w:top w:w="45" w:type="dxa"/>
              <w:start w:w="50" w:type="dxa"/>
              <w:bottom w:w="45" w:type="dxa"/>
              <w:end w:w="50" w:type="dxa"/>
            </w:tcMar>
            <w:vAlign w:val="top"/>
          </w:tcPr>
          <w:p>
            <w:r>
              <w:rPr>
                <w:rFonts w:ascii="Noto Sans" w:hAnsi="Noto Sans"/>
                <w:color w:val="2C2C2E"/>
                <w:sz w:val="16"/>
              </w:rPr>
              <w:t>5 %</w:t>
            </w:r>
          </w:p>
        </w:tc>
      </w:tr>
      <w:tr>
        <w:trPr>
          <w:cantSplit/>
        </w:trPr>
        <w:tc>
          <w:tcPr>
            <w:tcW w:type="dxa" w:w="1701"/>
            <w:tcMar>
              <w:top w:w="45" w:type="dxa"/>
              <w:start w:w="50" w:type="dxa"/>
              <w:bottom w:w="45" w:type="dxa"/>
              <w:end w:w="50" w:type="dxa"/>
            </w:tcMar>
            <w:vAlign w:val="top"/>
            <w:shd w:fill="FAF9F7"/>
          </w:tcPr>
          <w:p>
            <w:r>
              <w:rPr>
                <w:rFonts w:ascii="Noto Sans" w:hAnsi="Noto Sans"/>
                <w:color w:val="2C2C2E"/>
                <w:sz w:val="16"/>
              </w:rPr>
              <w:t>0</w:t>
            </w:r>
          </w:p>
        </w:tc>
        <w:tc>
          <w:tcPr>
            <w:tcW w:type="dxa" w:w="3969"/>
            <w:tcMar>
              <w:top w:w="45" w:type="dxa"/>
              <w:start w:w="50" w:type="dxa"/>
              <w:bottom w:w="45" w:type="dxa"/>
              <w:end w:w="50" w:type="dxa"/>
            </w:tcMar>
            <w:vAlign w:val="top"/>
            <w:shd w:fill="FAF9F7"/>
          </w:tcPr>
          <w:p>
            <w:r>
              <w:rPr>
                <w:rFonts w:ascii="Noto Sans" w:hAnsi="Noto Sans"/>
                <w:color w:val="2C2C2E"/>
                <w:sz w:val="16"/>
              </w:rPr>
              <w:t>neutraler bewerteter Zustand</w:t>
            </w:r>
          </w:p>
        </w:tc>
        <w:tc>
          <w:tcPr>
            <w:tcW w:type="dxa" w:w="3742"/>
            <w:tcMar>
              <w:top w:w="45" w:type="dxa"/>
              <w:start w:w="50" w:type="dxa"/>
              <w:bottom w:w="45" w:type="dxa"/>
              <w:end w:w="50" w:type="dxa"/>
            </w:tcMar>
            <w:vAlign w:val="top"/>
            <w:shd w:fill="FAF9F7"/>
          </w:tcPr>
          <w:p>
            <w:r>
              <w:rPr>
                <w:rFonts w:ascii="Noto Sans" w:hAnsi="Noto Sans"/>
                <w:color w:val="2C2C2E"/>
                <w:sz w:val="16"/>
              </w:rPr>
              <w:t>10 %</w:t>
            </w:r>
          </w:p>
        </w:tc>
      </w:tr>
      <w:tr>
        <w:trPr>
          <w:cantSplit/>
        </w:trPr>
        <w:tc>
          <w:tcPr>
            <w:tcW w:type="dxa" w:w="1701"/>
            <w:tcMar>
              <w:top w:w="45" w:type="dxa"/>
              <w:start w:w="50" w:type="dxa"/>
              <w:bottom w:w="45" w:type="dxa"/>
              <w:end w:w="50" w:type="dxa"/>
            </w:tcMar>
            <w:vAlign w:val="top"/>
          </w:tcPr>
          <w:p>
            <w:r>
              <w:rPr>
                <w:rFonts w:ascii="Noto Sans" w:hAnsi="Noto Sans"/>
                <w:color w:val="2C2C2E"/>
                <w:sz w:val="16"/>
              </w:rPr>
              <w:t>-1</w:t>
            </w:r>
          </w:p>
        </w:tc>
        <w:tc>
          <w:tcPr>
            <w:tcW w:type="dxa" w:w="3969"/>
            <w:tcMar>
              <w:top w:w="45" w:type="dxa"/>
              <w:start w:w="50" w:type="dxa"/>
              <w:bottom w:w="45" w:type="dxa"/>
              <w:end w:w="50" w:type="dxa"/>
            </w:tcMar>
            <w:vAlign w:val="top"/>
          </w:tcPr>
          <w:p>
            <w:r>
              <w:rPr>
                <w:rFonts w:ascii="Noto Sans" w:hAnsi="Noto Sans"/>
                <w:color w:val="2C2C2E"/>
                <w:sz w:val="16"/>
              </w:rPr>
              <w:t>leicht negative Einordnung</w:t>
            </w:r>
          </w:p>
        </w:tc>
        <w:tc>
          <w:tcPr>
            <w:tcW w:type="dxa" w:w="3742"/>
            <w:tcMar>
              <w:top w:w="45" w:type="dxa"/>
              <w:start w:w="50" w:type="dxa"/>
              <w:bottom w:w="45" w:type="dxa"/>
              <w:end w:w="50" w:type="dxa"/>
            </w:tcMar>
            <w:vAlign w:val="top"/>
          </w:tcPr>
          <w:p>
            <w:r>
              <w:rPr>
                <w:rFonts w:ascii="Noto Sans" w:hAnsi="Noto Sans"/>
                <w:color w:val="2C2C2E"/>
                <w:sz w:val="16"/>
              </w:rPr>
              <w:t>15 %</w:t>
            </w:r>
          </w:p>
        </w:tc>
      </w:tr>
      <w:tr>
        <w:trPr>
          <w:cantSplit/>
        </w:trPr>
        <w:tc>
          <w:tcPr>
            <w:tcW w:type="dxa" w:w="1701"/>
            <w:tcMar>
              <w:top w:w="45" w:type="dxa"/>
              <w:start w:w="50" w:type="dxa"/>
              <w:bottom w:w="45" w:type="dxa"/>
              <w:end w:w="50" w:type="dxa"/>
            </w:tcMar>
            <w:vAlign w:val="top"/>
            <w:shd w:fill="FAF9F7"/>
          </w:tcPr>
          <w:p>
            <w:r>
              <w:rPr>
                <w:rFonts w:ascii="Noto Sans" w:hAnsi="Noto Sans"/>
                <w:color w:val="2C2C2E"/>
                <w:sz w:val="16"/>
              </w:rPr>
              <w:t>-2</w:t>
            </w:r>
          </w:p>
        </w:tc>
        <w:tc>
          <w:tcPr>
            <w:tcW w:type="dxa" w:w="3969"/>
            <w:tcMar>
              <w:top w:w="45" w:type="dxa"/>
              <w:start w:w="50" w:type="dxa"/>
              <w:bottom w:w="45" w:type="dxa"/>
              <w:end w:w="50" w:type="dxa"/>
            </w:tcMar>
            <w:vAlign w:val="top"/>
            <w:shd w:fill="FAF9F7"/>
          </w:tcPr>
          <w:p>
            <w:r>
              <w:rPr>
                <w:rFonts w:ascii="Noto Sans" w:hAnsi="Noto Sans"/>
                <w:color w:val="2C2C2E"/>
                <w:sz w:val="16"/>
              </w:rPr>
              <w:t>negative Einordnung</w:t>
            </w:r>
          </w:p>
        </w:tc>
        <w:tc>
          <w:tcPr>
            <w:tcW w:type="dxa" w:w="3742"/>
            <w:tcMar>
              <w:top w:w="45" w:type="dxa"/>
              <w:start w:w="50" w:type="dxa"/>
              <w:bottom w:w="45" w:type="dxa"/>
              <w:end w:w="50" w:type="dxa"/>
            </w:tcMar>
            <w:vAlign w:val="top"/>
            <w:shd w:fill="FAF9F7"/>
          </w:tcPr>
          <w:p>
            <w:r>
              <w:rPr>
                <w:rFonts w:ascii="Noto Sans" w:hAnsi="Noto Sans"/>
                <w:color w:val="2C2C2E"/>
                <w:sz w:val="16"/>
              </w:rPr>
              <w:t>20 %</w:t>
            </w:r>
          </w:p>
        </w:tc>
      </w:tr>
      <w:tr>
        <w:trPr>
          <w:cantSplit/>
        </w:trPr>
        <w:tc>
          <w:tcPr>
            <w:tcW w:type="dxa" w:w="1701"/>
            <w:tcMar>
              <w:top w:w="45" w:type="dxa"/>
              <w:start w:w="50" w:type="dxa"/>
              <w:bottom w:w="45" w:type="dxa"/>
              <w:end w:w="50" w:type="dxa"/>
            </w:tcMar>
            <w:vAlign w:val="top"/>
          </w:tcPr>
          <w:p>
            <w:r>
              <w:rPr>
                <w:rFonts w:ascii="Noto Sans" w:hAnsi="Noto Sans"/>
                <w:color w:val="2C2C2E"/>
                <w:sz w:val="16"/>
              </w:rPr>
              <w:t>-3</w:t>
            </w:r>
          </w:p>
        </w:tc>
        <w:tc>
          <w:tcPr>
            <w:tcW w:type="dxa" w:w="3969"/>
            <w:tcMar>
              <w:top w:w="45" w:type="dxa"/>
              <w:start w:w="50" w:type="dxa"/>
              <w:bottom w:w="45" w:type="dxa"/>
              <w:end w:w="50" w:type="dxa"/>
            </w:tcMar>
            <w:vAlign w:val="top"/>
          </w:tcPr>
          <w:p>
            <w:r>
              <w:rPr>
                <w:rFonts w:ascii="Noto Sans" w:hAnsi="Noto Sans"/>
                <w:color w:val="2C2C2E"/>
                <w:sz w:val="16"/>
              </w:rPr>
              <w:t>stark negative Einordnung</w:t>
            </w:r>
          </w:p>
        </w:tc>
        <w:tc>
          <w:tcPr>
            <w:tcW w:type="dxa" w:w="3742"/>
            <w:tcMar>
              <w:top w:w="45" w:type="dxa"/>
              <w:start w:w="50" w:type="dxa"/>
              <w:bottom w:w="45" w:type="dxa"/>
              <w:end w:w="50" w:type="dxa"/>
            </w:tcMar>
            <w:vAlign w:val="top"/>
          </w:tcPr>
          <w:p>
            <w:r>
              <w:rPr>
                <w:rFonts w:ascii="Noto Sans" w:hAnsi="Noto Sans"/>
                <w:color w:val="2C2C2E"/>
                <w:sz w:val="16"/>
              </w:rPr>
              <w:t>25 %</w:t>
            </w:r>
          </w:p>
        </w:tc>
      </w:tr>
    </w:tbl>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5A3C"/>
              <w:top w:val="nil"/>
              <w:right w:val="nil"/>
              <w:bottom w:val="nil"/>
            </w:tcBorders>
          </w:tcPr>
          <w:p>
            <w:r>
              <w:rPr>
                <w:rFonts w:ascii="Noto Sans" w:hAnsi="Noto Sans"/>
                <w:b/>
                <w:color w:val="C85A3C"/>
                <w:sz w:val="17"/>
              </w:rPr>
              <w:t>Nicht verwechseln</w:t>
            </w:r>
          </w:p>
          <w:p>
            <w:pPr>
              <w:pStyle w:val="Callout"/>
            </w:pPr>
            <w:r>
              <w:rPr>
                <w:rFonts w:ascii="Noto Sans" w:hAnsi="Noto Sans"/>
                <w:color w:val="2C2C2E"/>
                <w:sz w:val="18"/>
              </w:rPr>
              <w:t>Diese Simulationsmatrix ist keine universelle Steuertabelle. Sie ist ein technischer Testparameter. Für geltendes Steuerrecht müssen Tarif, Bemessungsgrundlage und Schwellen je Steuerart demokratisch beschlossen und unions-/verfassungsrechtlich geprüft werden.</w:t>
            </w:r>
          </w:p>
        </w:tc>
      </w:tr>
    </w:tbl>
    <w:p>
      <w:pPr>
        <w:spacing w:after="0"/>
      </w:pPr>
    </w:p>
    <w:p>
      <w:pPr>
        <w:pStyle w:val="Heading1"/>
      </w:pPr>
      <w:r>
        <w:t>ANHANG B – Steuerliche Entscheidungslogik als Prüfschema</w:t>
      </w:r>
    </w:p>
    <w:p>
      <w:pPr>
        <w:ind w:left="425" w:hanging="312"/>
      </w:pPr>
      <w:r>
        <w:rPr>
          <w:b/>
        </w:rPr>
        <w:t xml:space="preserve">1. </w:t>
      </w:r>
      <w:r>
        <w:t>Ist der Gegenstand überhaupt ein geeigneter Steuerungshebel oder ist Regulierung, Haftung, Beschaffung, Förderung oder Versicherung präziser?</w:t>
      </w:r>
    </w:p>
    <w:p>
      <w:pPr>
        <w:ind w:left="425" w:hanging="312"/>
      </w:pPr>
      <w:r>
        <w:rPr>
          <w:b/>
        </w:rPr>
        <w:t xml:space="preserve">2. </w:t>
      </w:r>
      <w:r>
        <w:t>Welche bestehende Steuer beziehungsweise Abgabe berührt den Gegenstand bereits?</w:t>
      </w:r>
    </w:p>
    <w:p>
      <w:pPr>
        <w:ind w:left="425" w:hanging="312"/>
      </w:pPr>
      <w:r>
        <w:rPr>
          <w:b/>
        </w:rPr>
        <w:t xml:space="preserve">3. </w:t>
      </w:r>
      <w:r>
        <w:t>Welche Wirkung ist tatsächlich relevant und materiell – Mensch, Planet, Demokratie, erste bis dritte Ordnung?</w:t>
      </w:r>
    </w:p>
    <w:p>
      <w:pPr>
        <w:ind w:left="425" w:hanging="312"/>
      </w:pPr>
      <w:r>
        <w:rPr>
          <w:b/>
        </w:rPr>
        <w:t xml:space="preserve">4. </w:t>
      </w:r>
      <w:r>
        <w:t>Welche Wirkungen sind bereits bepreist oder reguliert?</w:t>
      </w:r>
    </w:p>
    <w:p>
      <w:pPr>
        <w:ind w:left="425" w:hanging="312"/>
      </w:pPr>
      <w:r>
        <w:rPr>
          <w:b/>
        </w:rPr>
        <w:t xml:space="preserve">5. </w:t>
      </w:r>
      <w:r>
        <w:t>Welche Daten existieren und welcher Quellenfunktion dienen sie?</w:t>
      </w:r>
    </w:p>
    <w:p>
      <w:pPr>
        <w:ind w:left="425" w:hanging="312"/>
      </w:pPr>
      <w:r>
        <w:rPr>
          <w:b/>
        </w:rPr>
        <w:t xml:space="preserve">6. </w:t>
      </w:r>
      <w:r>
        <w:t>Welche Datenlücken bleiben offen? Offen darf nicht als neutral behandelt werden.</w:t>
      </w:r>
    </w:p>
    <w:p>
      <w:pPr>
        <w:ind w:left="425" w:hanging="312"/>
      </w:pPr>
      <w:r>
        <w:rPr>
          <w:b/>
        </w:rPr>
        <w:t xml:space="preserve">7. </w:t>
      </w:r>
      <w:r>
        <w:t>Gibt es eine belastbare Baseline, einen Benchmark oder eine gesetzliche Schwelle?</w:t>
      </w:r>
    </w:p>
    <w:p>
      <w:pPr>
        <w:ind w:left="425" w:hanging="312"/>
      </w:pPr>
      <w:r>
        <w:rPr>
          <w:b/>
        </w:rPr>
        <w:t xml:space="preserve">8. </w:t>
      </w:r>
      <w:r>
        <w:t>Ist die Wirkungszurechnung stark genug für eine steuerliche Rechtsfolge?</w:t>
      </w:r>
    </w:p>
    <w:p>
      <w:pPr>
        <w:ind w:left="425" w:hanging="312"/>
      </w:pPr>
      <w:r>
        <w:rPr>
          <w:b/>
        </w:rPr>
        <w:t xml:space="preserve">9. </w:t>
      </w:r>
      <w:r>
        <w:t>Welche Wirkungsgrenzen und Nichtkompensationsregeln gelten?</w:t>
      </w:r>
    </w:p>
    <w:p>
      <w:pPr>
        <w:ind w:left="425" w:hanging="312"/>
      </w:pPr>
      <w:r>
        <w:rPr>
          <w:b/>
        </w:rPr>
        <w:t xml:space="preserve">10. </w:t>
      </w:r>
      <w:r>
        <w:t>Wie wirkt die Steuer auf Preise, Einkommen, Wettbewerb, KMU und öffentliche Einnahmen?</w:t>
      </w:r>
    </w:p>
    <w:p>
      <w:pPr>
        <w:ind w:left="425" w:hanging="312"/>
      </w:pPr>
      <w:r>
        <w:rPr>
          <w:b/>
        </w:rPr>
        <w:t xml:space="preserve">11. </w:t>
      </w:r>
      <w:r>
        <w:t>Welche EU-/Verfassungs-/Beihilfe-/Handelsfragen bestehen?</w:t>
      </w:r>
    </w:p>
    <w:p>
      <w:pPr>
        <w:ind w:left="425" w:hanging="312"/>
      </w:pPr>
      <w:r>
        <w:rPr>
          <w:b/>
        </w:rPr>
        <w:t xml:space="preserve">12. </w:t>
      </w:r>
      <w:r>
        <w:t>Wie sieht Rechtsschutz, Begründung und Datenkorrektur aus?</w:t>
      </w:r>
    </w:p>
    <w:p>
      <w:pPr>
        <w:ind w:left="425" w:hanging="312"/>
      </w:pPr>
      <w:r>
        <w:rPr>
          <w:b/>
        </w:rPr>
        <w:t xml:space="preserve">13. </w:t>
      </w:r>
      <w:r>
        <w:t>Wie wird pilotiert und welche Gegenbelege könnten das Modul widerlegen?</w:t>
      </w:r>
    </w:p>
    <w:p>
      <w:pPr>
        <w:ind w:left="425" w:hanging="312"/>
      </w:pPr>
      <w:r>
        <w:rPr>
          <w:b/>
        </w:rPr>
        <w:t xml:space="preserve">14. </w:t>
      </w:r>
      <w:r>
        <w:t>Wann wird evaluiert, rekalibriert oder beendet?</w:t>
      </w:r>
    </w:p>
    <w:p>
      <w:pPr>
        <w:pStyle w:val="Heading1"/>
      </w:pPr>
      <w:r>
        <w:t>ANHANG C – Mindestanforderungen an jedes spätere Einzelsteuergesetz</w:t>
      </w:r>
    </w:p>
    <w:tbl>
      <w:tblPr>
        <w:tblW w:type="auto" w:w="0"/>
        <w:jc w:val="center"/>
        <w:tblLayout w:type="fixed"/>
        <w:tblLook w:firstColumn="1" w:firstRow="1" w:lastColumn="0" w:lastRow="0" w:noHBand="0" w:noVBand="1" w:val="04A0"/>
      </w:tblPr>
      <w:tblGrid>
        <w:gridCol w:w="3213"/>
        <w:gridCol w:w="3213"/>
        <w:gridCol w:w="3213"/>
      </w:tblGrid>
      <w:tr>
        <w:trPr>
          <w:tblHeader w:val="true"/>
          <w:tblHeader w:val="true"/>
        </w:trPr>
        <w:tc>
          <w:tcPr>
            <w:tcW w:type="dxa" w:w="567"/>
            <w:shd w:fill="0B1020"/>
            <w:tcMar>
              <w:top w:w="55" w:type="dxa"/>
              <w:start w:w="55" w:type="dxa"/>
              <w:bottom w:w="55" w:type="dxa"/>
              <w:end w:w="55" w:type="dxa"/>
            </w:tcMar>
          </w:tcPr>
          <w:p>
            <w:r>
              <w:rPr>
                <w:rFonts w:ascii="Noto Sans" w:hAnsi="Noto Sans"/>
                <w:b/>
                <w:color w:val="FFFFFF"/>
                <w:sz w:val="13"/>
              </w:rPr>
              <w:t>Nr.</w:t>
            </w:r>
          </w:p>
        </w:tc>
        <w:tc>
          <w:tcPr>
            <w:tcW w:type="dxa" w:w="2381"/>
            <w:shd w:fill="0B1020"/>
            <w:tcMar>
              <w:top w:w="55" w:type="dxa"/>
              <w:start w:w="55" w:type="dxa"/>
              <w:bottom w:w="55" w:type="dxa"/>
              <w:end w:w="55" w:type="dxa"/>
            </w:tcMar>
          </w:tcPr>
          <w:p>
            <w:r>
              <w:rPr>
                <w:rFonts w:ascii="Noto Sans" w:hAnsi="Noto Sans"/>
                <w:b/>
                <w:color w:val="FFFFFF"/>
                <w:sz w:val="13"/>
              </w:rPr>
              <w:t>Pflichtbaustein</w:t>
            </w:r>
          </w:p>
        </w:tc>
        <w:tc>
          <w:tcPr>
            <w:tcW w:type="dxa" w:w="6463"/>
            <w:shd w:fill="0B1020"/>
            <w:tcMar>
              <w:top w:w="55" w:type="dxa"/>
              <w:start w:w="55" w:type="dxa"/>
              <w:bottom w:w="55" w:type="dxa"/>
              <w:end w:w="55" w:type="dxa"/>
            </w:tcMar>
          </w:tcPr>
          <w:p>
            <w:r>
              <w:rPr>
                <w:rFonts w:ascii="Noto Sans" w:hAnsi="Noto Sans"/>
                <w:b/>
                <w:color w:val="FFFFFF"/>
                <w:sz w:val="13"/>
              </w:rPr>
              <w:t>Mindestinhalt</w:t>
            </w:r>
          </w:p>
        </w:tc>
      </w:tr>
      <w:tr>
        <w:trPr>
          <w:cantSplit/>
        </w:trPr>
        <w:tc>
          <w:tcPr>
            <w:tcW w:type="dxa" w:w="567"/>
            <w:tcMar>
              <w:top w:w="45" w:type="dxa"/>
              <w:start w:w="50" w:type="dxa"/>
              <w:bottom w:w="45" w:type="dxa"/>
              <w:end w:w="50" w:type="dxa"/>
            </w:tcMar>
            <w:vAlign w:val="top"/>
          </w:tcPr>
          <w:p>
            <w:r>
              <w:rPr>
                <w:rFonts w:ascii="Noto Sans" w:hAnsi="Noto Sans"/>
                <w:color w:val="2C2C2E"/>
                <w:sz w:val="13"/>
              </w:rPr>
              <w:t>1</w:t>
            </w:r>
          </w:p>
        </w:tc>
        <w:tc>
          <w:tcPr>
            <w:tcW w:type="dxa" w:w="2381"/>
            <w:tcMar>
              <w:top w:w="45" w:type="dxa"/>
              <w:start w:w="50" w:type="dxa"/>
              <w:bottom w:w="45" w:type="dxa"/>
              <w:end w:w="50" w:type="dxa"/>
            </w:tcMar>
            <w:vAlign w:val="top"/>
          </w:tcPr>
          <w:p>
            <w:r>
              <w:rPr>
                <w:rFonts w:ascii="Noto Sans" w:hAnsi="Noto Sans"/>
                <w:color w:val="2C2C2E"/>
                <w:sz w:val="13"/>
              </w:rPr>
              <w:t>Steuerzweck und Wirkungsproblem</w:t>
            </w:r>
          </w:p>
        </w:tc>
        <w:tc>
          <w:tcPr>
            <w:tcW w:type="dxa" w:w="6463"/>
            <w:tcMar>
              <w:top w:w="45" w:type="dxa"/>
              <w:start w:w="50" w:type="dxa"/>
              <w:bottom w:w="45" w:type="dxa"/>
              <w:end w:w="50" w:type="dxa"/>
            </w:tcMar>
            <w:vAlign w:val="top"/>
          </w:tcPr>
          <w:p>
            <w:r>
              <w:rPr>
                <w:rFonts w:ascii="Noto Sans" w:hAnsi="Noto Sans"/>
                <w:color w:val="2C2C2E"/>
                <w:sz w:val="13"/>
              </w:rPr>
              <w:t>Warum ist gerade diese Steuer der richtige Hebel?</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2</w:t>
            </w:r>
          </w:p>
        </w:tc>
        <w:tc>
          <w:tcPr>
            <w:tcW w:type="dxa" w:w="2381"/>
            <w:tcMar>
              <w:top w:w="45" w:type="dxa"/>
              <w:start w:w="50" w:type="dxa"/>
              <w:bottom w:w="45" w:type="dxa"/>
              <w:end w:w="50" w:type="dxa"/>
            </w:tcMar>
            <w:vAlign w:val="top"/>
            <w:shd w:fill="FAF9F7"/>
          </w:tcPr>
          <w:p>
            <w:r>
              <w:rPr>
                <w:rFonts w:ascii="Noto Sans" w:hAnsi="Noto Sans"/>
                <w:color w:val="2C2C2E"/>
                <w:sz w:val="13"/>
              </w:rPr>
              <w:t>Steuergegenstand/Bemessung</w:t>
            </w:r>
          </w:p>
        </w:tc>
        <w:tc>
          <w:tcPr>
            <w:tcW w:type="dxa" w:w="6463"/>
            <w:tcMar>
              <w:top w:w="45" w:type="dxa"/>
              <w:start w:w="50" w:type="dxa"/>
              <w:bottom w:w="45" w:type="dxa"/>
              <w:end w:w="50" w:type="dxa"/>
            </w:tcMar>
            <w:vAlign w:val="top"/>
            <w:shd w:fill="FAF9F7"/>
          </w:tcPr>
          <w:p>
            <w:r>
              <w:rPr>
                <w:rFonts w:ascii="Noto Sans" w:hAnsi="Noto Sans"/>
                <w:color w:val="2C2C2E"/>
                <w:sz w:val="13"/>
              </w:rPr>
              <w:t>Was wird besteuert, und was bleibt die klassische Basis?</w:t>
            </w:r>
          </w:p>
        </w:tc>
      </w:tr>
      <w:tr>
        <w:trPr>
          <w:cantSplit/>
        </w:trPr>
        <w:tc>
          <w:tcPr>
            <w:tcW w:type="dxa" w:w="567"/>
            <w:tcMar>
              <w:top w:w="45" w:type="dxa"/>
              <w:start w:w="50" w:type="dxa"/>
              <w:bottom w:w="45" w:type="dxa"/>
              <w:end w:w="50" w:type="dxa"/>
            </w:tcMar>
            <w:vAlign w:val="top"/>
          </w:tcPr>
          <w:p>
            <w:r>
              <w:rPr>
                <w:rFonts w:ascii="Noto Sans" w:hAnsi="Noto Sans"/>
                <w:color w:val="2C2C2E"/>
                <w:sz w:val="13"/>
              </w:rPr>
              <w:t>3</w:t>
            </w:r>
          </w:p>
        </w:tc>
        <w:tc>
          <w:tcPr>
            <w:tcW w:type="dxa" w:w="2381"/>
            <w:tcMar>
              <w:top w:w="45" w:type="dxa"/>
              <w:start w:w="50" w:type="dxa"/>
              <w:bottom w:w="45" w:type="dxa"/>
              <w:end w:w="50" w:type="dxa"/>
            </w:tcMar>
            <w:vAlign w:val="top"/>
          </w:tcPr>
          <w:p>
            <w:r>
              <w:rPr>
                <w:rFonts w:ascii="Noto Sans" w:hAnsi="Noto Sans"/>
                <w:color w:val="2C2C2E"/>
                <w:sz w:val="13"/>
              </w:rPr>
              <w:t>Wirkungstatbestand</w:t>
            </w:r>
          </w:p>
        </w:tc>
        <w:tc>
          <w:tcPr>
            <w:tcW w:type="dxa" w:w="6463"/>
            <w:tcMar>
              <w:top w:w="45" w:type="dxa"/>
              <w:start w:w="50" w:type="dxa"/>
              <w:bottom w:w="45" w:type="dxa"/>
              <w:end w:w="50" w:type="dxa"/>
            </w:tcMar>
            <w:vAlign w:val="top"/>
          </w:tcPr>
          <w:p>
            <w:r>
              <w:rPr>
                <w:rFonts w:ascii="Noto Sans" w:hAnsi="Noto Sans"/>
                <w:color w:val="2C2C2E"/>
                <w:sz w:val="13"/>
              </w:rPr>
              <w:t>Welche objektive, nachweisbare Wirkungsvariable löst die Modifikation aus?</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4</w:t>
            </w:r>
          </w:p>
        </w:tc>
        <w:tc>
          <w:tcPr>
            <w:tcW w:type="dxa" w:w="2381"/>
            <w:tcMar>
              <w:top w:w="45" w:type="dxa"/>
              <w:start w:w="50" w:type="dxa"/>
              <w:bottom w:w="45" w:type="dxa"/>
              <w:end w:w="50" w:type="dxa"/>
            </w:tcMar>
            <w:vAlign w:val="top"/>
            <w:shd w:fill="FAF9F7"/>
          </w:tcPr>
          <w:p>
            <w:r>
              <w:rPr>
                <w:rFonts w:ascii="Noto Sans" w:hAnsi="Noto Sans"/>
                <w:color w:val="2C2C2E"/>
                <w:sz w:val="13"/>
              </w:rPr>
              <w:t>Referenzrahmen</w:t>
            </w:r>
          </w:p>
        </w:tc>
        <w:tc>
          <w:tcPr>
            <w:tcW w:type="dxa" w:w="6463"/>
            <w:tcMar>
              <w:top w:w="45" w:type="dxa"/>
              <w:start w:w="50" w:type="dxa"/>
              <w:bottom w:w="45" w:type="dxa"/>
              <w:end w:w="50" w:type="dxa"/>
            </w:tcMar>
            <w:vAlign w:val="top"/>
            <w:shd w:fill="FAF9F7"/>
          </w:tcPr>
          <w:p>
            <w:r>
              <w:rPr>
                <w:rFonts w:ascii="Noto Sans" w:hAnsi="Noto Sans"/>
                <w:color w:val="2C2C2E"/>
                <w:sz w:val="13"/>
              </w:rPr>
              <w:t>Welche Rechtsnorm, wissenschaftliche Schwelle oder WÖk-Kalibrierung gilt?</w:t>
            </w:r>
          </w:p>
        </w:tc>
      </w:tr>
      <w:tr>
        <w:trPr>
          <w:cantSplit/>
        </w:trPr>
        <w:tc>
          <w:tcPr>
            <w:tcW w:type="dxa" w:w="567"/>
            <w:tcMar>
              <w:top w:w="45" w:type="dxa"/>
              <w:start w:w="50" w:type="dxa"/>
              <w:bottom w:w="45" w:type="dxa"/>
              <w:end w:w="50" w:type="dxa"/>
            </w:tcMar>
            <w:vAlign w:val="top"/>
          </w:tcPr>
          <w:p>
            <w:r>
              <w:rPr>
                <w:rFonts w:ascii="Noto Sans" w:hAnsi="Noto Sans"/>
                <w:color w:val="2C2C2E"/>
                <w:sz w:val="13"/>
              </w:rPr>
              <w:t>5</w:t>
            </w:r>
          </w:p>
        </w:tc>
        <w:tc>
          <w:tcPr>
            <w:tcW w:type="dxa" w:w="2381"/>
            <w:tcMar>
              <w:top w:w="45" w:type="dxa"/>
              <w:start w:w="50" w:type="dxa"/>
              <w:bottom w:w="45" w:type="dxa"/>
              <w:end w:w="50" w:type="dxa"/>
            </w:tcMar>
            <w:vAlign w:val="top"/>
          </w:tcPr>
          <w:p>
            <w:r>
              <w:rPr>
                <w:rFonts w:ascii="Noto Sans" w:hAnsi="Noto Sans"/>
                <w:color w:val="2C2C2E"/>
                <w:sz w:val="13"/>
              </w:rPr>
              <w:t>Daten und Quellenfunktion</w:t>
            </w:r>
          </w:p>
        </w:tc>
        <w:tc>
          <w:tcPr>
            <w:tcW w:type="dxa" w:w="6463"/>
            <w:tcMar>
              <w:top w:w="45" w:type="dxa"/>
              <w:start w:w="50" w:type="dxa"/>
              <w:bottom w:w="45" w:type="dxa"/>
              <w:end w:w="50" w:type="dxa"/>
            </w:tcMar>
            <w:vAlign w:val="top"/>
          </w:tcPr>
          <w:p>
            <w:r>
              <w:rPr>
                <w:rFonts w:ascii="Noto Sans" w:hAnsi="Noto Sans"/>
                <w:color w:val="2C2C2E"/>
                <w:sz w:val="13"/>
              </w:rPr>
              <w:t>Messstandard, Datensatz, Benchmark und Schwellenquelle getrennt dokumentieren.</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6</w:t>
            </w:r>
          </w:p>
        </w:tc>
        <w:tc>
          <w:tcPr>
            <w:tcW w:type="dxa" w:w="2381"/>
            <w:tcMar>
              <w:top w:w="45" w:type="dxa"/>
              <w:start w:w="50" w:type="dxa"/>
              <w:bottom w:w="45" w:type="dxa"/>
              <w:end w:w="50" w:type="dxa"/>
            </w:tcMar>
            <w:vAlign w:val="top"/>
            <w:shd w:fill="FAF9F7"/>
          </w:tcPr>
          <w:p>
            <w:r>
              <w:rPr>
                <w:rFonts w:ascii="Noto Sans" w:hAnsi="Noto Sans"/>
                <w:color w:val="2C2C2E"/>
                <w:sz w:val="13"/>
              </w:rPr>
              <w:t>Unsicherheit</w:t>
            </w:r>
          </w:p>
        </w:tc>
        <w:tc>
          <w:tcPr>
            <w:tcW w:type="dxa" w:w="6463"/>
            <w:tcMar>
              <w:top w:w="45" w:type="dxa"/>
              <w:start w:w="50" w:type="dxa"/>
              <w:bottom w:w="45" w:type="dxa"/>
              <w:end w:w="50" w:type="dxa"/>
            </w:tcMar>
            <w:vAlign w:val="top"/>
            <w:shd w:fill="FAF9F7"/>
          </w:tcPr>
          <w:p>
            <w:r>
              <w:rPr>
                <w:rFonts w:ascii="Noto Sans" w:hAnsi="Noto Sans"/>
                <w:color w:val="2C2C2E"/>
                <w:sz w:val="13"/>
              </w:rPr>
              <w:t>Wie werden offene, geschätzte oder modellierte Daten behandelt?</w:t>
            </w:r>
          </w:p>
        </w:tc>
      </w:tr>
      <w:tr>
        <w:trPr>
          <w:cantSplit/>
        </w:trPr>
        <w:tc>
          <w:tcPr>
            <w:tcW w:type="dxa" w:w="567"/>
            <w:tcMar>
              <w:top w:w="45" w:type="dxa"/>
              <w:start w:w="50" w:type="dxa"/>
              <w:bottom w:w="45" w:type="dxa"/>
              <w:end w:w="50" w:type="dxa"/>
            </w:tcMar>
            <w:vAlign w:val="top"/>
          </w:tcPr>
          <w:p>
            <w:r>
              <w:rPr>
                <w:rFonts w:ascii="Noto Sans" w:hAnsi="Noto Sans"/>
                <w:color w:val="2C2C2E"/>
                <w:sz w:val="13"/>
              </w:rPr>
              <w:t>7</w:t>
            </w:r>
          </w:p>
        </w:tc>
        <w:tc>
          <w:tcPr>
            <w:tcW w:type="dxa" w:w="2381"/>
            <w:tcMar>
              <w:top w:w="45" w:type="dxa"/>
              <w:start w:w="50" w:type="dxa"/>
              <w:bottom w:w="45" w:type="dxa"/>
              <w:end w:w="50" w:type="dxa"/>
            </w:tcMar>
            <w:vAlign w:val="top"/>
          </w:tcPr>
          <w:p>
            <w:r>
              <w:rPr>
                <w:rFonts w:ascii="Noto Sans" w:hAnsi="Noto Sans"/>
                <w:color w:val="2C2C2E"/>
                <w:sz w:val="13"/>
              </w:rPr>
              <w:t>Nichtkompensation</w:t>
            </w:r>
          </w:p>
        </w:tc>
        <w:tc>
          <w:tcPr>
            <w:tcW w:type="dxa" w:w="6463"/>
            <w:tcMar>
              <w:top w:w="45" w:type="dxa"/>
              <w:start w:w="50" w:type="dxa"/>
              <w:bottom w:w="45" w:type="dxa"/>
              <w:end w:w="50" w:type="dxa"/>
            </w:tcMar>
            <w:vAlign w:val="top"/>
          </w:tcPr>
          <w:p>
            <w:r>
              <w:rPr>
                <w:rFonts w:ascii="Noto Sans" w:hAnsi="Noto Sans"/>
                <w:color w:val="2C2C2E"/>
                <w:sz w:val="13"/>
              </w:rPr>
              <w:t>Welche roten Linien sperren Entlastungen?</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8</w:t>
            </w:r>
          </w:p>
        </w:tc>
        <w:tc>
          <w:tcPr>
            <w:tcW w:type="dxa" w:w="2381"/>
            <w:tcMar>
              <w:top w:w="45" w:type="dxa"/>
              <w:start w:w="50" w:type="dxa"/>
              <w:bottom w:w="45" w:type="dxa"/>
              <w:end w:w="50" w:type="dxa"/>
            </w:tcMar>
            <w:vAlign w:val="top"/>
            <w:shd w:fill="FAF9F7"/>
          </w:tcPr>
          <w:p>
            <w:r>
              <w:rPr>
                <w:rFonts w:ascii="Noto Sans" w:hAnsi="Noto Sans"/>
                <w:color w:val="2C2C2E"/>
                <w:sz w:val="13"/>
              </w:rPr>
              <w:t>Tarif/Rechtsfolge</w:t>
            </w:r>
          </w:p>
        </w:tc>
        <w:tc>
          <w:tcPr>
            <w:tcW w:type="dxa" w:w="6463"/>
            <w:tcMar>
              <w:top w:w="45" w:type="dxa"/>
              <w:start w:w="50" w:type="dxa"/>
              <w:bottom w:w="45" w:type="dxa"/>
              <w:end w:w="50" w:type="dxa"/>
            </w:tcMar>
            <w:vAlign w:val="top"/>
            <w:shd w:fill="FAF9F7"/>
          </w:tcPr>
          <w:p>
            <w:r>
              <w:rPr>
                <w:rFonts w:ascii="Noto Sans" w:hAnsi="Noto Sans"/>
                <w:color w:val="2C2C2E"/>
                <w:sz w:val="13"/>
              </w:rPr>
              <w:t>Gesetzlich bestimmt; keine Delegation materieller Steuerhöhe an Scorecard oder Wirkungsrat.</w:t>
            </w:r>
          </w:p>
        </w:tc>
      </w:tr>
      <w:tr>
        <w:trPr>
          <w:cantSplit/>
        </w:trPr>
        <w:tc>
          <w:tcPr>
            <w:tcW w:type="dxa" w:w="567"/>
            <w:tcMar>
              <w:top w:w="45" w:type="dxa"/>
              <w:start w:w="50" w:type="dxa"/>
              <w:bottom w:w="45" w:type="dxa"/>
              <w:end w:w="50" w:type="dxa"/>
            </w:tcMar>
            <w:vAlign w:val="top"/>
          </w:tcPr>
          <w:p>
            <w:r>
              <w:rPr>
                <w:rFonts w:ascii="Noto Sans" w:hAnsi="Noto Sans"/>
                <w:color w:val="2C2C2E"/>
                <w:sz w:val="13"/>
              </w:rPr>
              <w:t>9</w:t>
            </w:r>
          </w:p>
        </w:tc>
        <w:tc>
          <w:tcPr>
            <w:tcW w:type="dxa" w:w="2381"/>
            <w:tcMar>
              <w:top w:w="45" w:type="dxa"/>
              <w:start w:w="50" w:type="dxa"/>
              <w:bottom w:w="45" w:type="dxa"/>
              <w:end w:w="50" w:type="dxa"/>
            </w:tcMar>
            <w:vAlign w:val="top"/>
          </w:tcPr>
          <w:p>
            <w:r>
              <w:rPr>
                <w:rFonts w:ascii="Noto Sans" w:hAnsi="Noto Sans"/>
                <w:color w:val="2C2C2E"/>
                <w:sz w:val="13"/>
              </w:rPr>
              <w:t>Verteilung</w:t>
            </w:r>
          </w:p>
        </w:tc>
        <w:tc>
          <w:tcPr>
            <w:tcW w:type="dxa" w:w="6463"/>
            <w:tcMar>
              <w:top w:w="45" w:type="dxa"/>
              <w:start w:w="50" w:type="dxa"/>
              <w:bottom w:w="45" w:type="dxa"/>
              <w:end w:w="50" w:type="dxa"/>
            </w:tcMar>
            <w:vAlign w:val="top"/>
          </w:tcPr>
          <w:p>
            <w:r>
              <w:rPr>
                <w:rFonts w:ascii="Noto Sans" w:hAnsi="Noto Sans"/>
                <w:color w:val="2C2C2E"/>
                <w:sz w:val="13"/>
              </w:rPr>
              <w:t>Haushalte, Einkommen, Regionen, KMU, Grundversorgung und Überwälzung prüfen.</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10</w:t>
            </w:r>
          </w:p>
        </w:tc>
        <w:tc>
          <w:tcPr>
            <w:tcW w:type="dxa" w:w="2381"/>
            <w:tcMar>
              <w:top w:w="45" w:type="dxa"/>
              <w:start w:w="50" w:type="dxa"/>
              <w:bottom w:w="45" w:type="dxa"/>
              <w:end w:w="50" w:type="dxa"/>
            </w:tcMar>
            <w:vAlign w:val="top"/>
            <w:shd w:fill="FAF9F7"/>
          </w:tcPr>
          <w:p>
            <w:r>
              <w:rPr>
                <w:rFonts w:ascii="Noto Sans" w:hAnsi="Noto Sans"/>
                <w:color w:val="2C2C2E"/>
                <w:sz w:val="13"/>
              </w:rPr>
              <w:t>Doppelbepreisung</w:t>
            </w:r>
          </w:p>
        </w:tc>
        <w:tc>
          <w:tcPr>
            <w:tcW w:type="dxa" w:w="6463"/>
            <w:tcMar>
              <w:top w:w="45" w:type="dxa"/>
              <w:start w:w="50" w:type="dxa"/>
              <w:bottom w:w="45" w:type="dxa"/>
              <w:end w:w="50" w:type="dxa"/>
            </w:tcMar>
            <w:vAlign w:val="top"/>
            <w:shd w:fill="FAF9F7"/>
          </w:tcPr>
          <w:p>
            <w:r>
              <w:rPr>
                <w:rFonts w:ascii="Noto Sans" w:hAnsi="Noto Sans"/>
                <w:color w:val="2C2C2E"/>
                <w:sz w:val="13"/>
              </w:rPr>
              <w:t>Interaktion mit ETS, CO₂-Preis, Energie-/Verbrauchsteuer, Haftung, Pfandsystemen etc.</w:t>
            </w:r>
          </w:p>
        </w:tc>
      </w:tr>
      <w:tr>
        <w:trPr>
          <w:cantSplit/>
        </w:trPr>
        <w:tc>
          <w:tcPr>
            <w:tcW w:type="dxa" w:w="567"/>
            <w:tcMar>
              <w:top w:w="45" w:type="dxa"/>
              <w:start w:w="50" w:type="dxa"/>
              <w:bottom w:w="45" w:type="dxa"/>
              <w:end w:w="50" w:type="dxa"/>
            </w:tcMar>
            <w:vAlign w:val="top"/>
          </w:tcPr>
          <w:p>
            <w:r>
              <w:rPr>
                <w:rFonts w:ascii="Noto Sans" w:hAnsi="Noto Sans"/>
                <w:color w:val="2C2C2E"/>
                <w:sz w:val="13"/>
              </w:rPr>
              <w:t>11</w:t>
            </w:r>
          </w:p>
        </w:tc>
        <w:tc>
          <w:tcPr>
            <w:tcW w:type="dxa" w:w="2381"/>
            <w:tcMar>
              <w:top w:w="45" w:type="dxa"/>
              <w:start w:w="50" w:type="dxa"/>
              <w:bottom w:w="45" w:type="dxa"/>
              <w:end w:w="50" w:type="dxa"/>
            </w:tcMar>
            <w:vAlign w:val="top"/>
          </w:tcPr>
          <w:p>
            <w:r>
              <w:rPr>
                <w:rFonts w:ascii="Noto Sans" w:hAnsi="Noto Sans"/>
                <w:color w:val="2C2C2E"/>
                <w:sz w:val="13"/>
              </w:rPr>
              <w:t>EU/Verfassung</w:t>
            </w:r>
          </w:p>
        </w:tc>
        <w:tc>
          <w:tcPr>
            <w:tcW w:type="dxa" w:w="6463"/>
            <w:tcMar>
              <w:top w:w="45" w:type="dxa"/>
              <w:start w:w="50" w:type="dxa"/>
              <w:bottom w:w="45" w:type="dxa"/>
              <w:end w:w="50" w:type="dxa"/>
            </w:tcMar>
            <w:vAlign w:val="top"/>
          </w:tcPr>
          <w:p>
            <w:r>
              <w:rPr>
                <w:rFonts w:ascii="Noto Sans" w:hAnsi="Noto Sans"/>
                <w:color w:val="2C2C2E"/>
                <w:sz w:val="13"/>
              </w:rPr>
              <w:t>Kompetenz, Gleichheit, Grundrechte, Beihilfe, Binnenmarkt, Diskriminierungsverbot.</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12</w:t>
            </w:r>
          </w:p>
        </w:tc>
        <w:tc>
          <w:tcPr>
            <w:tcW w:type="dxa" w:w="2381"/>
            <w:tcMar>
              <w:top w:w="45" w:type="dxa"/>
              <w:start w:w="50" w:type="dxa"/>
              <w:bottom w:w="45" w:type="dxa"/>
              <w:end w:w="50" w:type="dxa"/>
            </w:tcMar>
            <w:vAlign w:val="top"/>
            <w:shd w:fill="FAF9F7"/>
          </w:tcPr>
          <w:p>
            <w:r>
              <w:rPr>
                <w:rFonts w:ascii="Noto Sans" w:hAnsi="Noto Sans"/>
                <w:color w:val="2C2C2E"/>
                <w:sz w:val="13"/>
              </w:rPr>
              <w:t>Vollzug</w:t>
            </w:r>
          </w:p>
        </w:tc>
        <w:tc>
          <w:tcPr>
            <w:tcW w:type="dxa" w:w="6463"/>
            <w:tcMar>
              <w:top w:w="45" w:type="dxa"/>
              <w:start w:w="50" w:type="dxa"/>
              <w:bottom w:w="45" w:type="dxa"/>
              <w:end w:w="50" w:type="dxa"/>
            </w:tcMar>
            <w:vAlign w:val="top"/>
            <w:shd w:fill="FAF9F7"/>
          </w:tcPr>
          <w:p>
            <w:r>
              <w:rPr>
                <w:rFonts w:ascii="Noto Sans" w:hAnsi="Noto Sans"/>
                <w:color w:val="2C2C2E"/>
                <w:sz w:val="13"/>
              </w:rPr>
              <w:t>Schnittstelle zu ELSTER/DATEV/Registries/DPP, Prüfpfad, Safe Harbours.</w:t>
            </w:r>
          </w:p>
        </w:tc>
      </w:tr>
      <w:tr>
        <w:trPr>
          <w:cantSplit/>
        </w:trPr>
        <w:tc>
          <w:tcPr>
            <w:tcW w:type="dxa" w:w="567"/>
            <w:tcMar>
              <w:top w:w="45" w:type="dxa"/>
              <w:start w:w="50" w:type="dxa"/>
              <w:bottom w:w="45" w:type="dxa"/>
              <w:end w:w="50" w:type="dxa"/>
            </w:tcMar>
            <w:vAlign w:val="top"/>
          </w:tcPr>
          <w:p>
            <w:r>
              <w:rPr>
                <w:rFonts w:ascii="Noto Sans" w:hAnsi="Noto Sans"/>
                <w:color w:val="2C2C2E"/>
                <w:sz w:val="13"/>
              </w:rPr>
              <w:t>13</w:t>
            </w:r>
          </w:p>
        </w:tc>
        <w:tc>
          <w:tcPr>
            <w:tcW w:type="dxa" w:w="2381"/>
            <w:tcMar>
              <w:top w:w="45" w:type="dxa"/>
              <w:start w:w="50" w:type="dxa"/>
              <w:bottom w:w="45" w:type="dxa"/>
              <w:end w:w="50" w:type="dxa"/>
            </w:tcMar>
            <w:vAlign w:val="top"/>
          </w:tcPr>
          <w:p>
            <w:r>
              <w:rPr>
                <w:rFonts w:ascii="Noto Sans" w:hAnsi="Noto Sans"/>
                <w:color w:val="2C2C2E"/>
                <w:sz w:val="13"/>
              </w:rPr>
              <w:t>Rechtsschutz</w:t>
            </w:r>
          </w:p>
        </w:tc>
        <w:tc>
          <w:tcPr>
            <w:tcW w:type="dxa" w:w="6463"/>
            <w:tcMar>
              <w:top w:w="45" w:type="dxa"/>
              <w:start w:w="50" w:type="dxa"/>
              <w:bottom w:w="45" w:type="dxa"/>
              <w:end w:w="50" w:type="dxa"/>
            </w:tcMar>
            <w:vAlign w:val="top"/>
          </w:tcPr>
          <w:p>
            <w:r>
              <w:rPr>
                <w:rFonts w:ascii="Noto Sans" w:hAnsi="Noto Sans"/>
                <w:color w:val="2C2C2E"/>
                <w:sz w:val="13"/>
              </w:rPr>
              <w:t>Begründung, Berichtigung, Einspruch, gerichtliche Kontrolle.</w:t>
            </w:r>
          </w:p>
        </w:tc>
      </w:tr>
      <w:tr>
        <w:trPr>
          <w:cantSplit/>
        </w:trPr>
        <w:tc>
          <w:tcPr>
            <w:tcW w:type="dxa" w:w="567"/>
            <w:tcMar>
              <w:top w:w="45" w:type="dxa"/>
              <w:start w:w="50" w:type="dxa"/>
              <w:bottom w:w="45" w:type="dxa"/>
              <w:end w:w="50" w:type="dxa"/>
            </w:tcMar>
            <w:vAlign w:val="top"/>
            <w:shd w:fill="FAF9F7"/>
          </w:tcPr>
          <w:p>
            <w:r>
              <w:rPr>
                <w:rFonts w:ascii="Noto Sans" w:hAnsi="Noto Sans"/>
                <w:color w:val="2C2C2E"/>
                <w:sz w:val="13"/>
              </w:rPr>
              <w:t>14</w:t>
            </w:r>
          </w:p>
        </w:tc>
        <w:tc>
          <w:tcPr>
            <w:tcW w:type="dxa" w:w="2381"/>
            <w:tcMar>
              <w:top w:w="45" w:type="dxa"/>
              <w:start w:w="50" w:type="dxa"/>
              <w:bottom w:w="45" w:type="dxa"/>
              <w:end w:w="50" w:type="dxa"/>
            </w:tcMar>
            <w:vAlign w:val="top"/>
            <w:shd w:fill="FAF9F7"/>
          </w:tcPr>
          <w:p>
            <w:r>
              <w:rPr>
                <w:rFonts w:ascii="Noto Sans" w:hAnsi="Noto Sans"/>
                <w:color w:val="2C2C2E"/>
                <w:sz w:val="13"/>
              </w:rPr>
              <w:t>Evaluation</w:t>
            </w:r>
          </w:p>
        </w:tc>
        <w:tc>
          <w:tcPr>
            <w:tcW w:type="dxa" w:w="6463"/>
            <w:tcMar>
              <w:top w:w="45" w:type="dxa"/>
              <w:start w:w="50" w:type="dxa"/>
              <w:bottom w:w="45" w:type="dxa"/>
              <w:end w:w="50" w:type="dxa"/>
            </w:tcMar>
            <w:vAlign w:val="top"/>
            <w:shd w:fill="FAF9F7"/>
          </w:tcPr>
          <w:p>
            <w:r>
              <w:rPr>
                <w:rFonts w:ascii="Noto Sans" w:hAnsi="Noto Sans"/>
                <w:color w:val="2C2C2E"/>
                <w:sz w:val="13"/>
              </w:rPr>
              <w:t>Zielindikatoren, Kontroll-/Vergleichslogik, Sunset/Rekalibrierung.</w:t>
            </w:r>
          </w:p>
        </w:tc>
      </w:tr>
    </w:tbl>
    <w:p>
      <w:pPr>
        <w:pStyle w:val="Heading1"/>
      </w:pPr>
      <w:r>
        <w:t>ANHANG D – Begriffe der Wirkungssteuer 3.0</w:t>
      </w:r>
    </w:p>
    <w:tbl>
      <w:tblPr>
        <w:tblW w:type="auto" w:w="0"/>
        <w:jc w:val="center"/>
        <w:tblLayout w:type="fixed"/>
        <w:tblLook w:firstColumn="1" w:firstRow="1" w:lastColumn="0" w:lastRow="0" w:noHBand="0" w:noVBand="1" w:val="04A0"/>
      </w:tblPr>
      <w:tblGrid>
        <w:gridCol w:w="4819"/>
        <w:gridCol w:w="4819"/>
      </w:tblGrid>
      <w:tr>
        <w:trPr>
          <w:tblHeader w:val="true"/>
          <w:tblHeader w:val="true"/>
        </w:trPr>
        <w:tc>
          <w:tcPr>
            <w:tcW w:type="dxa" w:w="2268"/>
            <w:shd w:fill="0B1020"/>
            <w:tcMar>
              <w:top w:w="55" w:type="dxa"/>
              <w:start w:w="55" w:type="dxa"/>
              <w:bottom w:w="55" w:type="dxa"/>
              <w:end w:w="55" w:type="dxa"/>
            </w:tcMar>
          </w:tcPr>
          <w:p>
            <w:r>
              <w:rPr>
                <w:rFonts w:ascii="Noto Sans" w:hAnsi="Noto Sans"/>
                <w:b/>
                <w:color w:val="FFFFFF"/>
                <w:sz w:val="14"/>
              </w:rPr>
              <w:t>Begriff</w:t>
            </w:r>
          </w:p>
        </w:tc>
        <w:tc>
          <w:tcPr>
            <w:tcW w:type="dxa" w:w="7143"/>
            <w:shd w:fill="0B1020"/>
            <w:tcMar>
              <w:top w:w="55" w:type="dxa"/>
              <w:start w:w="55" w:type="dxa"/>
              <w:bottom w:w="55" w:type="dxa"/>
              <w:end w:w="55" w:type="dxa"/>
            </w:tcMar>
          </w:tcPr>
          <w:p>
            <w:r>
              <w:rPr>
                <w:rFonts w:ascii="Noto Sans" w:hAnsi="Noto Sans"/>
                <w:b/>
                <w:color w:val="FFFFFF"/>
                <w:sz w:val="14"/>
              </w:rPr>
              <w:t>Führende Definition</w:t>
            </w:r>
          </w:p>
        </w:tc>
      </w:tr>
      <w:tr>
        <w:trPr>
          <w:cantSplit/>
        </w:trPr>
        <w:tc>
          <w:tcPr>
            <w:tcW w:type="dxa" w:w="2268"/>
            <w:tcMar>
              <w:top w:w="45" w:type="dxa"/>
              <w:start w:w="50" w:type="dxa"/>
              <w:bottom w:w="45" w:type="dxa"/>
              <w:end w:w="50" w:type="dxa"/>
            </w:tcMar>
            <w:vAlign w:val="top"/>
          </w:tcPr>
          <w:p>
            <w:r>
              <w:rPr>
                <w:rFonts w:ascii="Noto Sans" w:hAnsi="Noto Sans"/>
                <w:color w:val="2C2C2E"/>
                <w:sz w:val="14"/>
              </w:rPr>
              <w:t>Wirkung</w:t>
            </w:r>
          </w:p>
        </w:tc>
        <w:tc>
          <w:tcPr>
            <w:tcW w:type="dxa" w:w="7143"/>
            <w:tcMar>
              <w:top w:w="45" w:type="dxa"/>
              <w:start w:w="50" w:type="dxa"/>
              <w:bottom w:w="45" w:type="dxa"/>
              <w:end w:w="50" w:type="dxa"/>
            </w:tcMar>
            <w:vAlign w:val="top"/>
          </w:tcPr>
          <w:p>
            <w:r>
              <w:rPr>
                <w:rFonts w:ascii="Noto Sans" w:hAnsi="Noto Sans"/>
                <w:color w:val="2C2C2E"/>
                <w:sz w:val="14"/>
              </w:rPr>
              <w:t>Tatsächliche Veränderung eines Zustands bei jemandem oder etwas, in Raum und Zeit und relativ zu einer Ausgangslage.</w:t>
            </w:r>
          </w:p>
        </w:tc>
      </w:tr>
      <w:tr>
        <w:trPr>
          <w:cantSplit/>
        </w:trPr>
        <w:tc>
          <w:tcPr>
            <w:tcW w:type="dxa" w:w="2268"/>
            <w:tcMar>
              <w:top w:w="45" w:type="dxa"/>
              <w:start w:w="50" w:type="dxa"/>
              <w:bottom w:w="45" w:type="dxa"/>
              <w:end w:w="50" w:type="dxa"/>
            </w:tcMar>
            <w:vAlign w:val="top"/>
            <w:shd w:fill="FAF9F7"/>
          </w:tcPr>
          <w:p>
            <w:r>
              <w:rPr>
                <w:rFonts w:ascii="Noto Sans" w:hAnsi="Noto Sans"/>
                <w:color w:val="2C2C2E"/>
                <w:sz w:val="14"/>
              </w:rPr>
              <w:t>Wirkungspotenzial</w:t>
            </w:r>
          </w:p>
        </w:tc>
        <w:tc>
          <w:tcPr>
            <w:tcW w:type="dxa" w:w="7143"/>
            <w:tcMar>
              <w:top w:w="45" w:type="dxa"/>
              <w:start w:w="50" w:type="dxa"/>
              <w:bottom w:w="45" w:type="dxa"/>
              <w:end w:w="50" w:type="dxa"/>
            </w:tcMar>
            <w:vAlign w:val="top"/>
            <w:shd w:fill="FAF9F7"/>
          </w:tcPr>
          <w:p>
            <w:r>
              <w:rPr>
                <w:rFonts w:ascii="Noto Sans" w:hAnsi="Noto Sans"/>
                <w:color w:val="2C2C2E"/>
                <w:sz w:val="14"/>
              </w:rPr>
              <w:t>Möglichkeit einer Zustandsveränderung unter bestimmten Bedingungen; noch keine eingetretene Wirkung.</w:t>
            </w:r>
          </w:p>
        </w:tc>
      </w:tr>
      <w:tr>
        <w:trPr>
          <w:cantSplit/>
        </w:trPr>
        <w:tc>
          <w:tcPr>
            <w:tcW w:type="dxa" w:w="2268"/>
            <w:tcMar>
              <w:top w:w="45" w:type="dxa"/>
              <w:start w:w="50" w:type="dxa"/>
              <w:bottom w:w="45" w:type="dxa"/>
              <w:end w:w="50" w:type="dxa"/>
            </w:tcMar>
            <w:vAlign w:val="top"/>
          </w:tcPr>
          <w:p>
            <w:r>
              <w:rPr>
                <w:rFonts w:ascii="Noto Sans" w:hAnsi="Noto Sans"/>
                <w:color w:val="2C2C2E"/>
                <w:sz w:val="14"/>
              </w:rPr>
              <w:t>Wirkungsrisiko</w:t>
            </w:r>
          </w:p>
        </w:tc>
        <w:tc>
          <w:tcPr>
            <w:tcW w:type="dxa" w:w="7143"/>
            <w:tcMar>
              <w:top w:w="45" w:type="dxa"/>
              <w:start w:w="50" w:type="dxa"/>
              <w:bottom w:w="45" w:type="dxa"/>
              <w:end w:w="50" w:type="dxa"/>
            </w:tcMar>
            <w:vAlign w:val="top"/>
          </w:tcPr>
          <w:p>
            <w:r>
              <w:rPr>
                <w:rFonts w:ascii="Noto Sans" w:hAnsi="Noto Sans"/>
                <w:color w:val="2C2C2E"/>
                <w:sz w:val="14"/>
              </w:rPr>
              <w:t>Möglichkeit negativer oder destabilisierender Wirkung; noch kein Schaden.</w:t>
            </w:r>
          </w:p>
        </w:tc>
      </w:tr>
      <w:tr>
        <w:trPr>
          <w:cantSplit/>
        </w:trPr>
        <w:tc>
          <w:tcPr>
            <w:tcW w:type="dxa" w:w="2268"/>
            <w:tcMar>
              <w:top w:w="45" w:type="dxa"/>
              <w:start w:w="50" w:type="dxa"/>
              <w:bottom w:w="45" w:type="dxa"/>
              <w:end w:w="50" w:type="dxa"/>
            </w:tcMar>
            <w:vAlign w:val="top"/>
            <w:shd w:fill="FAF9F7"/>
          </w:tcPr>
          <w:p>
            <w:r>
              <w:rPr>
                <w:rFonts w:ascii="Noto Sans" w:hAnsi="Noto Sans"/>
                <w:color w:val="2C2C2E"/>
                <w:sz w:val="14"/>
              </w:rPr>
              <w:t>Wirkungsmodul</w:t>
            </w:r>
          </w:p>
        </w:tc>
        <w:tc>
          <w:tcPr>
            <w:tcW w:type="dxa" w:w="7143"/>
            <w:tcMar>
              <w:top w:w="45" w:type="dxa"/>
              <w:start w:w="50" w:type="dxa"/>
              <w:bottom w:w="45" w:type="dxa"/>
              <w:end w:w="50" w:type="dxa"/>
            </w:tcMar>
            <w:vAlign w:val="top"/>
            <w:shd w:fill="FAF9F7"/>
          </w:tcPr>
          <w:p>
            <w:r>
              <w:rPr>
                <w:rFonts w:ascii="Noto Sans" w:hAnsi="Noto Sans"/>
                <w:color w:val="2C2C2E"/>
                <w:sz w:val="14"/>
              </w:rPr>
              <w:t>Gesetzlich definierte Ergänzung einer bestehenden Steuer, die einen bestimmten Wirkungsparameter mit einer Rechtsfolge verbindet.</w:t>
            </w:r>
          </w:p>
        </w:tc>
      </w:tr>
      <w:tr>
        <w:trPr>
          <w:cantSplit/>
        </w:trPr>
        <w:tc>
          <w:tcPr>
            <w:tcW w:type="dxa" w:w="2268"/>
            <w:tcMar>
              <w:top w:w="45" w:type="dxa"/>
              <w:start w:w="50" w:type="dxa"/>
              <w:bottom w:w="45" w:type="dxa"/>
              <w:end w:w="50" w:type="dxa"/>
            </w:tcMar>
            <w:vAlign w:val="top"/>
          </w:tcPr>
          <w:p>
            <w:r>
              <w:rPr>
                <w:rFonts w:ascii="Noto Sans" w:hAnsi="Noto Sans"/>
                <w:color w:val="2C2C2E"/>
                <w:sz w:val="14"/>
              </w:rPr>
              <w:t>Wirkungsmodifikation</w:t>
            </w:r>
          </w:p>
        </w:tc>
        <w:tc>
          <w:tcPr>
            <w:tcW w:type="dxa" w:w="7143"/>
            <w:tcMar>
              <w:top w:w="45" w:type="dxa"/>
              <w:start w:w="50" w:type="dxa"/>
              <w:bottom w:w="45" w:type="dxa"/>
              <w:end w:w="50" w:type="dxa"/>
            </w:tcMar>
            <w:vAlign w:val="top"/>
          </w:tcPr>
          <w:p>
            <w:r>
              <w:rPr>
                <w:rFonts w:ascii="Noto Sans" w:hAnsi="Noto Sans"/>
                <w:color w:val="2C2C2E"/>
                <w:sz w:val="14"/>
              </w:rPr>
              <w:t>Der durch ein Wirkungsmodul bestimmte Zu- oder Abschlag, Abzug, Freibetrag, Tarifunterschied oder andere steuerliche Rechtsfolge.</w:t>
            </w:r>
          </w:p>
        </w:tc>
      </w:tr>
      <w:tr>
        <w:trPr>
          <w:cantSplit/>
        </w:trPr>
        <w:tc>
          <w:tcPr>
            <w:tcW w:type="dxa" w:w="2268"/>
            <w:tcMar>
              <w:top w:w="45" w:type="dxa"/>
              <w:start w:w="50" w:type="dxa"/>
              <w:bottom w:w="45" w:type="dxa"/>
              <w:end w:w="50" w:type="dxa"/>
            </w:tcMar>
            <w:vAlign w:val="top"/>
            <w:shd w:fill="FAF9F7"/>
          </w:tcPr>
          <w:p>
            <w:r>
              <w:rPr>
                <w:rFonts w:ascii="Noto Sans" w:hAnsi="Noto Sans"/>
                <w:color w:val="2C2C2E"/>
                <w:sz w:val="14"/>
              </w:rPr>
              <w:t>Wirkungsnachweiskonto</w:t>
            </w:r>
          </w:p>
        </w:tc>
        <w:tc>
          <w:tcPr>
            <w:tcW w:type="dxa" w:w="7143"/>
            <w:tcMar>
              <w:top w:w="45" w:type="dxa"/>
              <w:start w:w="50" w:type="dxa"/>
              <w:bottom w:w="45" w:type="dxa"/>
              <w:end w:w="50" w:type="dxa"/>
            </w:tcMar>
            <w:vAlign w:val="top"/>
            <w:shd w:fill="FAF9F7"/>
          </w:tcPr>
          <w:p>
            <w:r>
              <w:rPr>
                <w:rFonts w:ascii="Noto Sans" w:hAnsi="Noto Sans"/>
                <w:color w:val="2C2C2E"/>
                <w:sz w:val="14"/>
              </w:rPr>
              <w:t>Digitale Nachweis- und Versionsschicht für steuerrelevante Wirkungsdaten; keine steuerartenübergreifende Moralbilanz.</w:t>
            </w:r>
          </w:p>
        </w:tc>
      </w:tr>
      <w:tr>
        <w:trPr>
          <w:cantSplit/>
        </w:trPr>
        <w:tc>
          <w:tcPr>
            <w:tcW w:type="dxa" w:w="2268"/>
            <w:tcMar>
              <w:top w:w="45" w:type="dxa"/>
              <w:start w:w="50" w:type="dxa"/>
              <w:bottom w:w="45" w:type="dxa"/>
              <w:end w:w="50" w:type="dxa"/>
            </w:tcMar>
            <w:vAlign w:val="top"/>
          </w:tcPr>
          <w:p>
            <w:r>
              <w:rPr>
                <w:rFonts w:ascii="Noto Sans" w:hAnsi="Noto Sans"/>
                <w:color w:val="2C2C2E"/>
                <w:sz w:val="14"/>
              </w:rPr>
              <w:t>WÖk-ID</w:t>
            </w:r>
          </w:p>
        </w:tc>
        <w:tc>
          <w:tcPr>
            <w:tcW w:type="dxa" w:w="7143"/>
            <w:tcMar>
              <w:top w:w="45" w:type="dxa"/>
              <w:start w:w="50" w:type="dxa"/>
              <w:bottom w:w="45" w:type="dxa"/>
              <w:end w:w="50" w:type="dxa"/>
            </w:tcMar>
            <w:vAlign w:val="top"/>
          </w:tcPr>
          <w:p>
            <w:r>
              <w:rPr>
                <w:rFonts w:ascii="Noto Sans" w:hAnsi="Noto Sans"/>
                <w:color w:val="2C2C2E"/>
                <w:sz w:val="14"/>
              </w:rPr>
              <w:t>Standardisierte ID eines Wirkungsindikators oder Wirkungsfeldes; keine Personen- oder universelle Produkt-ID.</w:t>
            </w:r>
          </w:p>
        </w:tc>
      </w:tr>
      <w:tr>
        <w:trPr>
          <w:cantSplit/>
        </w:trPr>
        <w:tc>
          <w:tcPr>
            <w:tcW w:type="dxa" w:w="2268"/>
            <w:tcMar>
              <w:top w:w="45" w:type="dxa"/>
              <w:start w:w="50" w:type="dxa"/>
              <w:bottom w:w="45" w:type="dxa"/>
              <w:end w:w="50" w:type="dxa"/>
            </w:tcMar>
            <w:vAlign w:val="top"/>
            <w:shd w:fill="FAF9F7"/>
          </w:tcPr>
          <w:p>
            <w:r>
              <w:rPr>
                <w:rFonts w:ascii="Noto Sans" w:hAnsi="Noto Sans"/>
                <w:color w:val="2C2C2E"/>
                <w:sz w:val="14"/>
              </w:rPr>
              <w:t>Wirkungsgrenze</w:t>
            </w:r>
          </w:p>
        </w:tc>
        <w:tc>
          <w:tcPr>
            <w:tcW w:type="dxa" w:w="7143"/>
            <w:tcMar>
              <w:top w:w="45" w:type="dxa"/>
              <w:start w:w="50" w:type="dxa"/>
              <w:bottom w:w="45" w:type="dxa"/>
              <w:end w:w="50" w:type="dxa"/>
            </w:tcMar>
            <w:vAlign w:val="top"/>
            <w:shd w:fill="FAF9F7"/>
          </w:tcPr>
          <w:p>
            <w:r>
              <w:rPr>
                <w:rFonts w:ascii="Noto Sans" w:hAnsi="Noto Sans"/>
                <w:color w:val="2C2C2E"/>
                <w:sz w:val="14"/>
              </w:rPr>
              <w:t>Vorab begründete rote Linie, ab der negative Wirkung nicht kompensiert werden darf.</w:t>
            </w:r>
          </w:p>
        </w:tc>
      </w:tr>
      <w:tr>
        <w:trPr>
          <w:cantSplit/>
        </w:trPr>
        <w:tc>
          <w:tcPr>
            <w:tcW w:type="dxa" w:w="2268"/>
            <w:tcMar>
              <w:top w:w="45" w:type="dxa"/>
              <w:start w:w="50" w:type="dxa"/>
              <w:bottom w:w="45" w:type="dxa"/>
              <w:end w:w="50" w:type="dxa"/>
            </w:tcMar>
            <w:vAlign w:val="top"/>
          </w:tcPr>
          <w:p>
            <w:r>
              <w:rPr>
                <w:rFonts w:ascii="Noto Sans" w:hAnsi="Noto Sans"/>
                <w:color w:val="2C2C2E"/>
                <w:sz w:val="14"/>
              </w:rPr>
              <w:t>Nichtkompensation</w:t>
            </w:r>
          </w:p>
        </w:tc>
        <w:tc>
          <w:tcPr>
            <w:tcW w:type="dxa" w:w="7143"/>
            <w:tcMar>
              <w:top w:w="45" w:type="dxa"/>
              <w:start w:w="50" w:type="dxa"/>
              <w:bottom w:w="45" w:type="dxa"/>
              <w:end w:w="50" w:type="dxa"/>
            </w:tcMar>
            <w:vAlign w:val="top"/>
          </w:tcPr>
          <w:p>
            <w:r>
              <w:rPr>
                <w:rFonts w:ascii="Noto Sans" w:hAnsi="Noto Sans"/>
                <w:color w:val="2C2C2E"/>
                <w:sz w:val="14"/>
              </w:rPr>
              <w:t>Schwere/grenzverletzende negative Wirkung darf nicht durch gute Werte anderswo neutralisiert werden.</w:t>
            </w:r>
          </w:p>
        </w:tc>
      </w:tr>
      <w:tr>
        <w:trPr>
          <w:cantSplit/>
        </w:trPr>
        <w:tc>
          <w:tcPr>
            <w:tcW w:type="dxa" w:w="2268"/>
            <w:tcMar>
              <w:top w:w="45" w:type="dxa"/>
              <w:start w:w="50" w:type="dxa"/>
              <w:bottom w:w="45" w:type="dxa"/>
              <w:end w:w="50" w:type="dxa"/>
            </w:tcMar>
            <w:vAlign w:val="top"/>
            <w:shd w:fill="FAF9F7"/>
          </w:tcPr>
          <w:p>
            <w:r>
              <w:rPr>
                <w:rFonts w:ascii="Noto Sans" w:hAnsi="Noto Sans"/>
                <w:color w:val="2C2C2E"/>
                <w:sz w:val="14"/>
              </w:rPr>
              <w:t>Reverse Merit Order</w:t>
            </w:r>
          </w:p>
        </w:tc>
        <w:tc>
          <w:tcPr>
            <w:tcW w:type="dxa" w:w="7143"/>
            <w:tcMar>
              <w:top w:w="45" w:type="dxa"/>
              <w:start w:w="50" w:type="dxa"/>
              <w:bottom w:w="45" w:type="dxa"/>
              <w:end w:w="50" w:type="dxa"/>
            </w:tcMar>
            <w:vAlign w:val="top"/>
            <w:shd w:fill="FAF9F7"/>
          </w:tcPr>
          <w:p>
            <w:r>
              <w:rPr>
                <w:rFonts w:ascii="Noto Sans" w:hAnsi="Noto Sans"/>
                <w:color w:val="2C2C2E"/>
                <w:sz w:val="14"/>
              </w:rPr>
              <w:t>Bewertungslogik, nach der ein kritisches zentrales Wirkungsfeld die Gesamtbewertung begrenzen kann.</w:t>
            </w:r>
          </w:p>
        </w:tc>
      </w:tr>
      <w:tr>
        <w:trPr>
          <w:cantSplit/>
        </w:trPr>
        <w:tc>
          <w:tcPr>
            <w:tcW w:type="dxa" w:w="2268"/>
            <w:tcMar>
              <w:top w:w="45" w:type="dxa"/>
              <w:start w:w="50" w:type="dxa"/>
              <w:bottom w:w="45" w:type="dxa"/>
              <w:end w:w="50" w:type="dxa"/>
            </w:tcMar>
            <w:vAlign w:val="top"/>
          </w:tcPr>
          <w:p>
            <w:r>
              <w:rPr>
                <w:rFonts w:ascii="Noto Sans" w:hAnsi="Noto Sans"/>
                <w:color w:val="2C2C2E"/>
                <w:sz w:val="14"/>
              </w:rPr>
              <w:t>Offen</w:t>
            </w:r>
          </w:p>
        </w:tc>
        <w:tc>
          <w:tcPr>
            <w:tcW w:type="dxa" w:w="7143"/>
            <w:tcMar>
              <w:top w:w="45" w:type="dxa"/>
              <w:start w:w="50" w:type="dxa"/>
              <w:bottom w:w="45" w:type="dxa"/>
              <w:end w:w="50" w:type="dxa"/>
            </w:tcMar>
            <w:vAlign w:val="top"/>
          </w:tcPr>
          <w:p>
            <w:r>
              <w:rPr>
                <w:rFonts w:ascii="Noto Sans" w:hAnsi="Noto Sans"/>
                <w:color w:val="2C2C2E"/>
                <w:sz w:val="14"/>
              </w:rPr>
              <w:t>Daten/Evidenz reichen nicht; kein Null- oder Neutralwert.</w:t>
            </w:r>
          </w:p>
        </w:tc>
      </w:tr>
      <w:tr>
        <w:trPr>
          <w:cantSplit/>
        </w:trPr>
        <w:tc>
          <w:tcPr>
            <w:tcW w:type="dxa" w:w="2268"/>
            <w:tcMar>
              <w:top w:w="45" w:type="dxa"/>
              <w:start w:w="50" w:type="dxa"/>
              <w:bottom w:w="45" w:type="dxa"/>
              <w:end w:w="50" w:type="dxa"/>
            </w:tcMar>
            <w:vAlign w:val="top"/>
            <w:shd w:fill="FAF9F7"/>
          </w:tcPr>
          <w:p>
            <w:r>
              <w:rPr>
                <w:rFonts w:ascii="Noto Sans" w:hAnsi="Noto Sans"/>
                <w:color w:val="2C2C2E"/>
                <w:sz w:val="14"/>
              </w:rPr>
              <w:t>Wirkungsrat</w:t>
            </w:r>
          </w:p>
        </w:tc>
        <w:tc>
          <w:tcPr>
            <w:tcW w:type="dxa" w:w="7143"/>
            <w:tcMar>
              <w:top w:w="45" w:type="dxa"/>
              <w:start w:w="50" w:type="dxa"/>
              <w:bottom w:w="45" w:type="dxa"/>
              <w:end w:w="50" w:type="dxa"/>
            </w:tcMar>
            <w:vAlign w:val="top"/>
            <w:shd w:fill="FAF9F7"/>
          </w:tcPr>
          <w:p>
            <w:r>
              <w:rPr>
                <w:rFonts w:ascii="Noto Sans" w:hAnsi="Noto Sans"/>
                <w:color w:val="2C2C2E"/>
                <w:sz w:val="14"/>
              </w:rPr>
              <w:t>Vorgeschlagene unabhängige methodische Sicherungsinstitution; kein Steuer- oder Wahrheitsgesetzgeber.</w:t>
            </w:r>
          </w:p>
        </w:tc>
      </w:tr>
    </w:tbl>
    <w:p>
      <w:r>
        <w:br w:type="page"/>
      </w:r>
    </w:p>
    <w:p>
      <w:pPr>
        <w:pStyle w:val="Heading1"/>
      </w:pPr>
      <w:r>
        <w:t>Quellen und Referenzbasis</w:t>
      </w:r>
    </w:p>
    <w:p>
      <w:r>
        <w:rPr>
          <w:rFonts w:ascii="Noto Sans" w:hAnsi="Noto Sans"/>
        </w:rPr>
        <w:t>Die Quellen sind nach Funktion getrennt. Interne Quellen dokumentieren Theorie- und Methodenentwicklung der Wirkungsökonomie. Externe Quellen dienen der rechtlichen, regulatorischen und institutionellen Einordnung. Interne WÖk-Quellen belegen nicht automatisch externe Rechts- oder Wissenschaftskonformität.</w:t>
      </w:r>
    </w:p>
    <w:p>
      <w:pPr>
        <w:pStyle w:val="Heading2"/>
      </w:pPr>
      <w:r>
        <w:t>Interne WÖk-Quellen</w:t>
      </w:r>
    </w:p>
    <w:p>
      <w:pPr>
        <w:pStyle w:val="SourceText"/>
      </w:pPr>
      <w:r>
        <w:rPr>
          <w:rFonts w:ascii="Noto Sans" w:hAnsi="Noto Sans"/>
          <w:b/>
          <w:color w:val="0B1020"/>
          <w:sz w:val="16"/>
        </w:rPr>
        <w:t xml:space="preserve">[I1] </w:t>
      </w:r>
      <w:r>
        <w:rPr>
          <w:rFonts w:ascii="Noto Sans" w:hAnsi="Noto Sans"/>
          <w:b/>
          <w:color w:val="2C2C2E"/>
          <w:sz w:val="16"/>
        </w:rPr>
        <w:t xml:space="preserve">Natalie Weber: Working-Paper Wirkungssteuergesetz (WStG), Oktober 2025. </w:t>
      </w:r>
      <w:r>
        <w:rPr>
          <w:rFonts w:ascii="Noto Sans" w:hAnsi="Noto Sans"/>
          <w:color w:val="6A6A6A"/>
          <w:sz w:val="16"/>
        </w:rPr>
        <w:t>Historischer Entwicklungsstand; Ausgangspunkt für Wirkung als Steuerungsgröße, Bonus/Malus, Wirkungssteuerkonto und erste Einzelsteuer-Architektur.</w:t>
      </w:r>
      <w:r>
        <w:t xml:space="preserve"> </w:t>
      </w:r>
      <w:hyperlink r:id="rId11">
        <w:r>
          <w:rPr>
            <w:color w:val="2F7D5C"/>
            <w:u w:val="single"/>
            <w:rFonts w:ascii="Noto Sans" w:hAnsi="Noto Sans"/>
          </w:rPr>
          <w:t>Onlinequelle</w:t>
        </w:r>
      </w:hyperlink>
    </w:p>
    <w:p>
      <w:pPr>
        <w:pStyle w:val="SourceText"/>
      </w:pPr>
      <w:r>
        <w:rPr>
          <w:rFonts w:ascii="Noto Sans" w:hAnsi="Noto Sans"/>
          <w:b/>
          <w:color w:val="0B1020"/>
          <w:sz w:val="16"/>
        </w:rPr>
        <w:t xml:space="preserve">[I2] </w:t>
      </w:r>
      <w:r>
        <w:rPr>
          <w:rFonts w:ascii="Noto Sans" w:hAnsi="Noto Sans"/>
          <w:b/>
          <w:color w:val="2C2C2E"/>
          <w:sz w:val="16"/>
        </w:rPr>
        <w:t xml:space="preserve">Natalie Weber: Die neue Ordnung des Wohlstands, Band I, 2026. </w:t>
      </w:r>
      <w:r>
        <w:rPr>
          <w:rFonts w:ascii="Noto Sans" w:hAnsi="Noto Sans"/>
          <w:color w:val="6A6A6A"/>
          <w:sz w:val="16"/>
        </w:rPr>
        <w:t>Aktuelle Systemgrundlagen: Wirkung, Wirkungspotenzial, MPD, Messung, WÖk-IDs, RMO, Recht, WStG, WUStG, Wirkungshaushalt, Wirkungsrat, Unternehmen und Produkte.</w:t>
      </w:r>
      <w:r>
        <w:t xml:space="preserve"> </w:t>
      </w:r>
      <w:hyperlink r:id="rId12">
        <w:r>
          <w:rPr>
            <w:color w:val="2F7D5C"/>
            <w:u w:val="single"/>
            <w:rFonts w:ascii="Noto Sans" w:hAnsi="Noto Sans"/>
          </w:rPr>
          <w:t>Onlinequelle</w:t>
        </w:r>
      </w:hyperlink>
    </w:p>
    <w:p>
      <w:pPr>
        <w:pStyle w:val="SourceText"/>
      </w:pPr>
      <w:r>
        <w:rPr>
          <w:rFonts w:ascii="Noto Sans" w:hAnsi="Noto Sans"/>
          <w:b/>
          <w:color w:val="0B1020"/>
          <w:sz w:val="16"/>
        </w:rPr>
        <w:t xml:space="preserve">[I3] </w:t>
      </w:r>
      <w:r>
        <w:rPr>
          <w:rFonts w:ascii="Noto Sans" w:hAnsi="Noto Sans"/>
          <w:b/>
          <w:color w:val="2C2C2E"/>
          <w:sz w:val="16"/>
        </w:rPr>
        <w:t xml:space="preserve">Natalie Weber: Die neue Ordnung des Wohlstands, Band II, 2026. </w:t>
      </w:r>
      <w:r>
        <w:rPr>
          <w:rFonts w:ascii="Noto Sans" w:hAnsi="Noto Sans"/>
          <w:color w:val="6A6A6A"/>
          <w:sz w:val="16"/>
        </w:rPr>
        <w:t>Volkswirtschaft, Arbeit, Kapital, Staat, Politik, Gesellschaft, Medien, KI, internationale Ordnung, Umsetzung und Kritik.</w:t>
      </w:r>
      <w:r>
        <w:t xml:space="preserve"> </w:t>
      </w:r>
      <w:hyperlink r:id="rId12">
        <w:r>
          <w:rPr>
            <w:color w:val="2F7D5C"/>
            <w:u w:val="single"/>
            <w:rFonts w:ascii="Noto Sans" w:hAnsi="Noto Sans"/>
          </w:rPr>
          <w:t>Onlinequelle</w:t>
        </w:r>
      </w:hyperlink>
    </w:p>
    <w:p>
      <w:pPr>
        <w:pStyle w:val="SourceText"/>
      </w:pPr>
      <w:r>
        <w:rPr>
          <w:rFonts w:ascii="Noto Sans" w:hAnsi="Noto Sans"/>
          <w:b/>
          <w:color w:val="0B1020"/>
          <w:sz w:val="16"/>
        </w:rPr>
        <w:t xml:space="preserve">[I4] </w:t>
      </w:r>
      <w:r>
        <w:rPr>
          <w:rFonts w:ascii="Noto Sans" w:hAnsi="Noto Sans"/>
          <w:b/>
          <w:color w:val="2C2C2E"/>
          <w:sz w:val="16"/>
        </w:rPr>
        <w:t xml:space="preserve">Führender Begriffsleitfaden der Wirkungsökonomie v1.5, 15.08.2026. </w:t>
      </w:r>
      <w:r>
        <w:rPr>
          <w:rFonts w:ascii="Noto Sans" w:hAnsi="Noto Sans"/>
          <w:color w:val="6A6A6A"/>
          <w:sz w:val="16"/>
        </w:rPr>
        <w:t>Führende Begriffe, Trennung von Wirkung/Potenzial/Risiko/Evidenz/Bewertung, sechs Module, Nichtkompensation, RMO und Governance.</w:t>
      </w:r>
      <w:r>
        <w:t xml:space="preserve"> </w:t>
      </w:r>
      <w:hyperlink r:id="rId13">
        <w:r>
          <w:rPr>
            <w:color w:val="2F7D5C"/>
            <w:u w:val="single"/>
            <w:rFonts w:ascii="Noto Sans" w:hAnsi="Noto Sans"/>
          </w:rPr>
          <w:t>Onlinequelle</w:t>
        </w:r>
      </w:hyperlink>
    </w:p>
    <w:p>
      <w:pPr>
        <w:pStyle w:val="SourceText"/>
      </w:pPr>
      <w:r>
        <w:rPr>
          <w:rFonts w:ascii="Noto Sans" w:hAnsi="Noto Sans"/>
          <w:b/>
          <w:color w:val="0B1020"/>
          <w:sz w:val="16"/>
        </w:rPr>
        <w:t xml:space="preserve">[I5] </w:t>
      </w:r>
      <w:r>
        <w:rPr>
          <w:rFonts w:ascii="Noto Sans" w:hAnsi="Noto Sans"/>
          <w:b/>
          <w:color w:val="2C2C2E"/>
          <w:sz w:val="16"/>
        </w:rPr>
        <w:t xml:space="preserve">AGENTS.md – Root-Governance der Wirkungsökonomie v1.0, 16.08.2026. </w:t>
      </w:r>
      <w:r>
        <w:rPr>
          <w:rFonts w:ascii="Noto Sans" w:hAnsi="Noto Sans"/>
          <w:color w:val="6A6A6A"/>
          <w:sz w:val="16"/>
        </w:rPr>
        <w:t>Verbindliche Fach-, Quellen-, Rechts-, Daten- und Publikationsregeln der WÖk.</w:t>
      </w:r>
      <w:r>
        <w:t xml:space="preserve"> </w:t>
      </w:r>
      <w:hyperlink r:id="rId13">
        <w:r>
          <w:rPr>
            <w:color w:val="2F7D5C"/>
            <w:u w:val="single"/>
            <w:rFonts w:ascii="Noto Sans" w:hAnsi="Noto Sans"/>
          </w:rPr>
          <w:t>Onlinequelle</w:t>
        </w:r>
      </w:hyperlink>
    </w:p>
    <w:p>
      <w:pPr>
        <w:pStyle w:val="SourceText"/>
      </w:pPr>
      <w:r>
        <w:rPr>
          <w:rFonts w:ascii="Noto Sans" w:hAnsi="Noto Sans"/>
          <w:b/>
          <w:color w:val="0B1020"/>
          <w:sz w:val="16"/>
        </w:rPr>
        <w:t xml:space="preserve">[I6] </w:t>
      </w:r>
      <w:r>
        <w:rPr>
          <w:rFonts w:ascii="Noto Sans" w:hAnsi="Noto Sans"/>
          <w:b/>
          <w:color w:val="2C2C2E"/>
          <w:sz w:val="16"/>
        </w:rPr>
        <w:t xml:space="preserve">WÖk-Masterregister v1.4 FINAL, 16.08.2026. </w:t>
      </w:r>
      <w:r>
        <w:rPr>
          <w:rFonts w:ascii="Noto Sans" w:hAnsi="Noto Sans"/>
          <w:color w:val="6A6A6A"/>
          <w:sz w:val="16"/>
        </w:rPr>
        <w:t>Aktueller technischer Arbeitsstand zu WÖk-IDs, Indikatorfamilien, Scoring-Regeln, Benchmarks, Datenstatus und Auditprioritäten.</w:t>
      </w:r>
    </w:p>
    <w:p>
      <w:pPr>
        <w:pStyle w:val="SourceText"/>
      </w:pPr>
      <w:r>
        <w:rPr>
          <w:rFonts w:ascii="Noto Sans" w:hAnsi="Noto Sans"/>
          <w:b/>
          <w:color w:val="0B1020"/>
          <w:sz w:val="16"/>
        </w:rPr>
        <w:t xml:space="preserve">[I7] </w:t>
      </w:r>
      <w:r>
        <w:rPr>
          <w:rFonts w:ascii="Noto Sans" w:hAnsi="Noto Sans"/>
          <w:b/>
          <w:color w:val="2C2C2E"/>
          <w:sz w:val="16"/>
        </w:rPr>
        <w:t xml:space="preserve">WStG 2.0 – Online-Gesetzestext, Stand 24.05.2026. </w:t>
      </w:r>
      <w:r>
        <w:rPr>
          <w:rFonts w:ascii="Noto Sans" w:hAnsi="Noto Sans"/>
          <w:color w:val="6A6A6A"/>
          <w:sz w:val="16"/>
        </w:rPr>
        <w:t>Zwischenstand als 50-paragrafisches Rahmengesetz; Begriffe, Daten, Governance, Rechtsschutz, Pilotierung und Modulstruktur.</w:t>
      </w:r>
      <w:r>
        <w:t xml:space="preserve"> </w:t>
      </w:r>
      <w:hyperlink r:id="rId14">
        <w:r>
          <w:rPr>
            <w:color w:val="2F7D5C"/>
            <w:u w:val="single"/>
            <w:rFonts w:ascii="Noto Sans" w:hAnsi="Noto Sans"/>
          </w:rPr>
          <w:t>Onlinequelle</w:t>
        </w:r>
      </w:hyperlink>
    </w:p>
    <w:p>
      <w:pPr>
        <w:pStyle w:val="SourceText"/>
      </w:pPr>
      <w:r>
        <w:rPr>
          <w:rFonts w:ascii="Noto Sans" w:hAnsi="Noto Sans"/>
          <w:b/>
          <w:color w:val="0B1020"/>
          <w:sz w:val="16"/>
        </w:rPr>
        <w:t xml:space="preserve">[I8] </w:t>
      </w:r>
      <w:r>
        <w:rPr>
          <w:rFonts w:ascii="Noto Sans" w:hAnsi="Noto Sans"/>
          <w:b/>
          <w:color w:val="2C2C2E"/>
          <w:sz w:val="16"/>
        </w:rPr>
        <w:t xml:space="preserve">WUStG / Produktwirkungssteuer – aktuelle Websitefassung. </w:t>
      </w:r>
      <w:r>
        <w:rPr>
          <w:rFonts w:ascii="Noto Sans" w:hAnsi="Noto Sans"/>
          <w:color w:val="6A6A6A"/>
          <w:sz w:val="16"/>
        </w:rPr>
        <w:t>Produkt- und Umsatzebene, Scorecards, RMO, Daten- und Übergangslogik.</w:t>
      </w:r>
      <w:r>
        <w:t xml:space="preserve"> </w:t>
      </w:r>
      <w:hyperlink r:id="rId15">
        <w:r>
          <w:rPr>
            <w:color w:val="2F7D5C"/>
            <w:u w:val="single"/>
            <w:rFonts w:ascii="Noto Sans" w:hAnsi="Noto Sans"/>
          </w:rPr>
          <w:t>Onlinequelle</w:t>
        </w:r>
      </w:hyperlink>
    </w:p>
    <w:p>
      <w:pPr>
        <w:pStyle w:val="SourceText"/>
      </w:pPr>
      <w:r>
        <w:rPr>
          <w:rFonts w:ascii="Noto Sans" w:hAnsi="Noto Sans"/>
          <w:b/>
          <w:color w:val="0B1020"/>
          <w:sz w:val="16"/>
        </w:rPr>
        <w:t xml:space="preserve">[I9] </w:t>
      </w:r>
      <w:r>
        <w:rPr>
          <w:rFonts w:ascii="Noto Sans" w:hAnsi="Noto Sans"/>
          <w:b/>
          <w:color w:val="2C2C2E"/>
          <w:sz w:val="16"/>
        </w:rPr>
        <w:t xml:space="preserve">Arbeitspapier Wirkungseinkommensteuer (WEstG). </w:t>
      </w:r>
      <w:r>
        <w:rPr>
          <w:rFonts w:ascii="Noto Sans" w:hAnsi="Noto Sans"/>
          <w:color w:val="6A6A6A"/>
          <w:sz w:val="16"/>
        </w:rPr>
        <w:t>Historische fachliche Grundlage für Einkommen, Tätigkeits-/Organisationswirkung und spätere Korrekturen in WStG 3.0.</w:t>
      </w:r>
      <w:r>
        <w:t xml:space="preserve"> </w:t>
      </w:r>
      <w:hyperlink r:id="rId16">
        <w:r>
          <w:rPr>
            <w:color w:val="2F7D5C"/>
            <w:u w:val="single"/>
            <w:rFonts w:ascii="Noto Sans" w:hAnsi="Noto Sans"/>
          </w:rPr>
          <w:t>Onlinequelle</w:t>
        </w:r>
      </w:hyperlink>
    </w:p>
    <w:p>
      <w:pPr>
        <w:pStyle w:val="Heading2"/>
      </w:pPr>
      <w:r>
        <w:t>Externe Rechts- und Regulierungsquellen</w:t>
      </w:r>
    </w:p>
    <w:p>
      <w:pPr>
        <w:pStyle w:val="SourceText"/>
      </w:pPr>
      <w:r>
        <w:rPr>
          <w:rFonts w:ascii="Noto Sans" w:hAnsi="Noto Sans"/>
          <w:b/>
          <w:color w:val="0B1020"/>
          <w:sz w:val="16"/>
        </w:rPr>
        <w:t xml:space="preserve">[E1] </w:t>
      </w:r>
      <w:r>
        <w:rPr>
          <w:rFonts w:ascii="Noto Sans" w:hAnsi="Noto Sans"/>
          <w:b/>
          <w:color w:val="2C2C2E"/>
          <w:sz w:val="16"/>
        </w:rPr>
        <w:t xml:space="preserve">Abgabenordnung § 3 – Steuern. </w:t>
      </w:r>
      <w:r>
        <w:rPr>
          <w:rFonts w:ascii="Noto Sans" w:hAnsi="Noto Sans"/>
          <w:color w:val="6A6A6A"/>
          <w:sz w:val="16"/>
        </w:rPr>
        <w:t>Definition von Steuern und Hinweis, dass die Erzielung von Einnahmen Nebenzweck sein kann.</w:t>
      </w:r>
      <w:r>
        <w:t xml:space="preserve"> </w:t>
      </w:r>
      <w:hyperlink r:id="rId17">
        <w:r>
          <w:rPr>
            <w:color w:val="2F7D5C"/>
            <w:u w:val="single"/>
            <w:rFonts w:ascii="Noto Sans" w:hAnsi="Noto Sans"/>
          </w:rPr>
          <w:t>Onlinequelle</w:t>
        </w:r>
      </w:hyperlink>
    </w:p>
    <w:p>
      <w:pPr>
        <w:pStyle w:val="SourceText"/>
      </w:pPr>
      <w:r>
        <w:rPr>
          <w:rFonts w:ascii="Noto Sans" w:hAnsi="Noto Sans"/>
          <w:b/>
          <w:color w:val="0B1020"/>
          <w:sz w:val="16"/>
        </w:rPr>
        <w:t xml:space="preserve">[E2] </w:t>
      </w:r>
      <w:r>
        <w:rPr>
          <w:rFonts w:ascii="Noto Sans" w:hAnsi="Noto Sans"/>
          <w:b/>
          <w:color w:val="2C2C2E"/>
          <w:sz w:val="16"/>
        </w:rPr>
        <w:t xml:space="preserve">Grundgesetz Art. 3. </w:t>
      </w:r>
      <w:r>
        <w:rPr>
          <w:rFonts w:ascii="Noto Sans" w:hAnsi="Noto Sans"/>
          <w:color w:val="6A6A6A"/>
          <w:sz w:val="16"/>
        </w:rPr>
        <w:t>Gleichheitssatz; zentral für Differenzierungen und Belastungsgründe.</w:t>
      </w:r>
      <w:r>
        <w:t xml:space="preserve"> </w:t>
      </w:r>
      <w:hyperlink r:id="rId18">
        <w:r>
          <w:rPr>
            <w:color w:val="2F7D5C"/>
            <w:u w:val="single"/>
            <w:rFonts w:ascii="Noto Sans" w:hAnsi="Noto Sans"/>
          </w:rPr>
          <w:t>Onlinequelle</w:t>
        </w:r>
      </w:hyperlink>
    </w:p>
    <w:p>
      <w:pPr>
        <w:pStyle w:val="SourceText"/>
      </w:pPr>
      <w:r>
        <w:rPr>
          <w:rFonts w:ascii="Noto Sans" w:hAnsi="Noto Sans"/>
          <w:b/>
          <w:color w:val="0B1020"/>
          <w:sz w:val="16"/>
        </w:rPr>
        <w:t xml:space="preserve">[E3] </w:t>
      </w:r>
      <w:r>
        <w:rPr>
          <w:rFonts w:ascii="Noto Sans" w:hAnsi="Noto Sans"/>
          <w:b/>
          <w:color w:val="2C2C2E"/>
          <w:sz w:val="16"/>
        </w:rPr>
        <w:t xml:space="preserve">Grundgesetz Art. 12. </w:t>
      </w:r>
      <w:r>
        <w:rPr>
          <w:rFonts w:ascii="Noto Sans" w:hAnsi="Noto Sans"/>
          <w:color w:val="6A6A6A"/>
          <w:sz w:val="16"/>
        </w:rPr>
        <w:t>Berufsfreiheit; relevant bei lenkenden Unternehmens-/Berufsfolgen.</w:t>
      </w:r>
      <w:r>
        <w:t xml:space="preserve"> </w:t>
      </w:r>
      <w:hyperlink r:id="rId19">
        <w:r>
          <w:rPr>
            <w:color w:val="2F7D5C"/>
            <w:u w:val="single"/>
            <w:rFonts w:ascii="Noto Sans" w:hAnsi="Noto Sans"/>
          </w:rPr>
          <w:t>Onlinequelle</w:t>
        </w:r>
      </w:hyperlink>
    </w:p>
    <w:p>
      <w:pPr>
        <w:pStyle w:val="SourceText"/>
      </w:pPr>
      <w:r>
        <w:rPr>
          <w:rFonts w:ascii="Noto Sans" w:hAnsi="Noto Sans"/>
          <w:b/>
          <w:color w:val="0B1020"/>
          <w:sz w:val="16"/>
        </w:rPr>
        <w:t xml:space="preserve">[E4] </w:t>
      </w:r>
      <w:r>
        <w:rPr>
          <w:rFonts w:ascii="Noto Sans" w:hAnsi="Noto Sans"/>
          <w:b/>
          <w:color w:val="2C2C2E"/>
          <w:sz w:val="16"/>
        </w:rPr>
        <w:t xml:space="preserve">Grundgesetz Art. 14. </w:t>
      </w:r>
      <w:r>
        <w:rPr>
          <w:rFonts w:ascii="Noto Sans" w:hAnsi="Noto Sans"/>
          <w:color w:val="6A6A6A"/>
          <w:sz w:val="16"/>
        </w:rPr>
        <w:t>Eigentum und Erbrecht; relevant für Eigentums-, Kapital- und Erbschaftsmodule.</w:t>
      </w:r>
      <w:r>
        <w:t xml:space="preserve"> </w:t>
      </w:r>
      <w:hyperlink r:id="rId20">
        <w:r>
          <w:rPr>
            <w:color w:val="2F7D5C"/>
            <w:u w:val="single"/>
            <w:rFonts w:ascii="Noto Sans" w:hAnsi="Noto Sans"/>
          </w:rPr>
          <w:t>Onlinequelle</w:t>
        </w:r>
      </w:hyperlink>
    </w:p>
    <w:p>
      <w:pPr>
        <w:pStyle w:val="SourceText"/>
      </w:pPr>
      <w:r>
        <w:rPr>
          <w:rFonts w:ascii="Noto Sans" w:hAnsi="Noto Sans"/>
          <w:b/>
          <w:color w:val="0B1020"/>
          <w:sz w:val="16"/>
        </w:rPr>
        <w:t xml:space="preserve">[E5] </w:t>
      </w:r>
      <w:r>
        <w:rPr>
          <w:rFonts w:ascii="Noto Sans" w:hAnsi="Noto Sans"/>
          <w:b/>
          <w:color w:val="2C2C2E"/>
          <w:sz w:val="16"/>
        </w:rPr>
        <w:t xml:space="preserve">Grundgesetz Art. 19 Abs. 4. </w:t>
      </w:r>
      <w:r>
        <w:rPr>
          <w:rFonts w:ascii="Noto Sans" w:hAnsi="Noto Sans"/>
          <w:color w:val="6A6A6A"/>
          <w:sz w:val="16"/>
        </w:rPr>
        <w:t>Rechtsschutz gegen öffentliche Gewalt.</w:t>
      </w:r>
      <w:r>
        <w:t xml:space="preserve"> </w:t>
      </w:r>
      <w:hyperlink r:id="rId21">
        <w:r>
          <w:rPr>
            <w:color w:val="2F7D5C"/>
            <w:u w:val="single"/>
            <w:rFonts w:ascii="Noto Sans" w:hAnsi="Noto Sans"/>
          </w:rPr>
          <w:t>Onlinequelle</w:t>
        </w:r>
      </w:hyperlink>
    </w:p>
    <w:p>
      <w:pPr>
        <w:pStyle w:val="SourceText"/>
      </w:pPr>
      <w:r>
        <w:rPr>
          <w:rFonts w:ascii="Noto Sans" w:hAnsi="Noto Sans"/>
          <w:b/>
          <w:color w:val="0B1020"/>
          <w:sz w:val="16"/>
        </w:rPr>
        <w:t xml:space="preserve">[E6] </w:t>
      </w:r>
      <w:r>
        <w:rPr>
          <w:rFonts w:ascii="Noto Sans" w:hAnsi="Noto Sans"/>
          <w:b/>
          <w:color w:val="2C2C2E"/>
          <w:sz w:val="16"/>
        </w:rPr>
        <w:t xml:space="preserve">Grundgesetz Art. 20a. </w:t>
      </w:r>
      <w:r>
        <w:rPr>
          <w:rFonts w:ascii="Noto Sans" w:hAnsi="Noto Sans"/>
          <w:color w:val="6A6A6A"/>
          <w:sz w:val="16"/>
        </w:rPr>
        <w:t>Schutz natürlicher Lebensgrundlagen und Tiere in Verantwortung für künftige Generationen.</w:t>
      </w:r>
      <w:r>
        <w:t xml:space="preserve"> </w:t>
      </w:r>
      <w:hyperlink r:id="rId22">
        <w:r>
          <w:rPr>
            <w:color w:val="2F7D5C"/>
            <w:u w:val="single"/>
            <w:rFonts w:ascii="Noto Sans" w:hAnsi="Noto Sans"/>
          </w:rPr>
          <w:t>Onlinequelle</w:t>
        </w:r>
      </w:hyperlink>
    </w:p>
    <w:p>
      <w:pPr>
        <w:pStyle w:val="SourceText"/>
      </w:pPr>
      <w:r>
        <w:rPr>
          <w:rFonts w:ascii="Noto Sans" w:hAnsi="Noto Sans"/>
          <w:b/>
          <w:color w:val="0B1020"/>
          <w:sz w:val="16"/>
        </w:rPr>
        <w:t xml:space="preserve">[E7] </w:t>
      </w:r>
      <w:r>
        <w:rPr>
          <w:rFonts w:ascii="Noto Sans" w:hAnsi="Noto Sans"/>
          <w:b/>
          <w:color w:val="2C2C2E"/>
          <w:sz w:val="16"/>
        </w:rPr>
        <w:t xml:space="preserve">Grundgesetz Art. 105. </w:t>
      </w:r>
      <w:r>
        <w:rPr>
          <w:rFonts w:ascii="Noto Sans" w:hAnsi="Noto Sans"/>
          <w:color w:val="6A6A6A"/>
          <w:sz w:val="16"/>
        </w:rPr>
        <w:t>Gesetzgebungskompetenzen im Steuerrecht.</w:t>
      </w:r>
      <w:r>
        <w:t xml:space="preserve"> </w:t>
      </w:r>
      <w:hyperlink r:id="rId23">
        <w:r>
          <w:rPr>
            <w:color w:val="2F7D5C"/>
            <w:u w:val="single"/>
            <w:rFonts w:ascii="Noto Sans" w:hAnsi="Noto Sans"/>
          </w:rPr>
          <w:t>Onlinequelle</w:t>
        </w:r>
      </w:hyperlink>
    </w:p>
    <w:p>
      <w:pPr>
        <w:pStyle w:val="SourceText"/>
      </w:pPr>
      <w:r>
        <w:rPr>
          <w:rFonts w:ascii="Noto Sans" w:hAnsi="Noto Sans"/>
          <w:b/>
          <w:color w:val="0B1020"/>
          <w:sz w:val="16"/>
        </w:rPr>
        <w:t xml:space="preserve">[E8] </w:t>
      </w:r>
      <w:r>
        <w:rPr>
          <w:rFonts w:ascii="Noto Sans" w:hAnsi="Noto Sans"/>
          <w:b/>
          <w:color w:val="2C2C2E"/>
          <w:sz w:val="16"/>
        </w:rPr>
        <w:t xml:space="preserve">Grundgesetz Art. 106. </w:t>
      </w:r>
      <w:r>
        <w:rPr>
          <w:rFonts w:ascii="Noto Sans" w:hAnsi="Noto Sans"/>
          <w:color w:val="6A6A6A"/>
          <w:sz w:val="16"/>
        </w:rPr>
        <w:t>Verteilung des Steueraufkommens auf Bund, Länder und Gemeinden.</w:t>
      </w:r>
      <w:r>
        <w:t xml:space="preserve"> </w:t>
      </w:r>
      <w:hyperlink r:id="rId24">
        <w:r>
          <w:rPr>
            <w:color w:val="2F7D5C"/>
            <w:u w:val="single"/>
            <w:rFonts w:ascii="Noto Sans" w:hAnsi="Noto Sans"/>
          </w:rPr>
          <w:t>Onlinequelle</w:t>
        </w:r>
      </w:hyperlink>
    </w:p>
    <w:p>
      <w:pPr>
        <w:pStyle w:val="SourceText"/>
      </w:pPr>
      <w:r>
        <w:rPr>
          <w:rFonts w:ascii="Noto Sans" w:hAnsi="Noto Sans"/>
          <w:b/>
          <w:color w:val="0B1020"/>
          <w:sz w:val="16"/>
        </w:rPr>
        <w:t xml:space="preserve">[E9] </w:t>
      </w:r>
      <w:r>
        <w:rPr>
          <w:rFonts w:ascii="Noto Sans" w:hAnsi="Noto Sans"/>
          <w:b/>
          <w:color w:val="2C2C2E"/>
          <w:sz w:val="16"/>
        </w:rPr>
        <w:t xml:space="preserve">Bundesverfassungsgericht: Klimabeschluss 24.03.2021. </w:t>
      </w:r>
      <w:r>
        <w:rPr>
          <w:rFonts w:ascii="Noto Sans" w:hAnsi="Noto Sans"/>
          <w:color w:val="6A6A6A"/>
          <w:sz w:val="16"/>
        </w:rPr>
        <w:t>Intertemporale Freiheit und zukünftige Belastungsverschiebung als relevanter verfassungsrechtlicher Bezug.</w:t>
      </w:r>
      <w:r>
        <w:t xml:space="preserve"> </w:t>
      </w:r>
      <w:hyperlink r:id="rId25">
        <w:r>
          <w:rPr>
            <w:color w:val="2F7D5C"/>
            <w:u w:val="single"/>
            <w:rFonts w:ascii="Noto Sans" w:hAnsi="Noto Sans"/>
          </w:rPr>
          <w:t>Onlinequelle</w:t>
        </w:r>
      </w:hyperlink>
    </w:p>
    <w:p>
      <w:pPr>
        <w:pStyle w:val="SourceText"/>
      </w:pPr>
      <w:r>
        <w:rPr>
          <w:rFonts w:ascii="Noto Sans" w:hAnsi="Noto Sans"/>
          <w:b/>
          <w:color w:val="0B1020"/>
          <w:sz w:val="16"/>
        </w:rPr>
        <w:t xml:space="preserve">[E10] </w:t>
      </w:r>
      <w:r>
        <w:rPr>
          <w:rFonts w:ascii="Noto Sans" w:hAnsi="Noto Sans"/>
          <w:b/>
          <w:color w:val="2C2C2E"/>
          <w:sz w:val="16"/>
        </w:rPr>
        <w:t xml:space="preserve">Bundesverfassungsgericht: Tübinger Verpackungssteuer, Beschluss 27.11.2024 / PM 22.01.2025. </w:t>
      </w:r>
      <w:r>
        <w:rPr>
          <w:rFonts w:ascii="Noto Sans" w:hAnsi="Noto Sans"/>
          <w:color w:val="6A6A6A"/>
          <w:sz w:val="16"/>
        </w:rPr>
        <w:t>Beispiel für eine lokale Verbrauchsteuer mit Lenkungszweck und die Kompetenz-/Kohärenzprüfung.</w:t>
      </w:r>
      <w:r>
        <w:t xml:space="preserve"> </w:t>
      </w:r>
      <w:hyperlink r:id="rId26">
        <w:r>
          <w:rPr>
            <w:color w:val="2F7D5C"/>
            <w:u w:val="single"/>
            <w:rFonts w:ascii="Noto Sans" w:hAnsi="Noto Sans"/>
          </w:rPr>
          <w:t>Onlinequelle</w:t>
        </w:r>
      </w:hyperlink>
    </w:p>
    <w:p>
      <w:pPr>
        <w:pStyle w:val="SourceText"/>
      </w:pPr>
      <w:r>
        <w:rPr>
          <w:rFonts w:ascii="Noto Sans" w:hAnsi="Noto Sans"/>
          <w:b/>
          <w:color w:val="0B1020"/>
          <w:sz w:val="16"/>
        </w:rPr>
        <w:t xml:space="preserve">[E11] </w:t>
      </w:r>
      <w:r>
        <w:rPr>
          <w:rFonts w:ascii="Noto Sans" w:hAnsi="Noto Sans"/>
          <w:b/>
          <w:color w:val="2C2C2E"/>
          <w:sz w:val="16"/>
        </w:rPr>
        <w:t xml:space="preserve">Bundesministerium der Finanzen: Steuerarten / Steuern von A–Z. </w:t>
      </w:r>
      <w:r>
        <w:rPr>
          <w:rFonts w:ascii="Noto Sans" w:hAnsi="Noto Sans"/>
          <w:color w:val="6A6A6A"/>
          <w:sz w:val="16"/>
        </w:rPr>
        <w:t>Aktuelle amtliche Übersicht der Steuerarten und Grundbegriffe.</w:t>
      </w:r>
      <w:r>
        <w:t xml:space="preserve"> </w:t>
      </w:r>
      <w:hyperlink r:id="rId27">
        <w:r>
          <w:rPr>
            <w:color w:val="2F7D5C"/>
            <w:u w:val="single"/>
            <w:rFonts w:ascii="Noto Sans" w:hAnsi="Noto Sans"/>
          </w:rPr>
          <w:t>Onlinequelle</w:t>
        </w:r>
      </w:hyperlink>
    </w:p>
    <w:p>
      <w:pPr>
        <w:pStyle w:val="SourceText"/>
      </w:pPr>
      <w:r>
        <w:rPr>
          <w:rFonts w:ascii="Noto Sans" w:hAnsi="Noto Sans"/>
          <w:b/>
          <w:color w:val="0B1020"/>
          <w:sz w:val="16"/>
        </w:rPr>
        <w:t xml:space="preserve">[E12] </w:t>
      </w:r>
      <w:r>
        <w:rPr>
          <w:rFonts w:ascii="Noto Sans" w:hAnsi="Noto Sans"/>
          <w:b/>
          <w:color w:val="2C2C2E"/>
          <w:sz w:val="16"/>
        </w:rPr>
        <w:t xml:space="preserve">Europäische Kommission: VAT rates / Mehrwertsteuerrichtlinie. </w:t>
      </w:r>
      <w:r>
        <w:rPr>
          <w:rFonts w:ascii="Noto Sans" w:hAnsi="Noto Sans"/>
          <w:color w:val="6A6A6A"/>
          <w:sz w:val="16"/>
        </w:rPr>
        <w:t>Unionsrechtlicher Rahmen für Standard-, reduzierte, superreduzierte und Nullsätze; begrenzte nationale Spielräume.</w:t>
      </w:r>
      <w:r>
        <w:t xml:space="preserve"> </w:t>
      </w:r>
      <w:hyperlink r:id="rId28">
        <w:r>
          <w:rPr>
            <w:color w:val="2F7D5C"/>
            <w:u w:val="single"/>
            <w:rFonts w:ascii="Noto Sans" w:hAnsi="Noto Sans"/>
          </w:rPr>
          <w:t>Onlinequelle</w:t>
        </w:r>
      </w:hyperlink>
    </w:p>
    <w:p>
      <w:pPr>
        <w:pStyle w:val="SourceText"/>
      </w:pPr>
      <w:r>
        <w:rPr>
          <w:rFonts w:ascii="Noto Sans" w:hAnsi="Noto Sans"/>
          <w:b/>
          <w:color w:val="0B1020"/>
          <w:sz w:val="16"/>
        </w:rPr>
        <w:t xml:space="preserve">[E13] </w:t>
      </w:r>
      <w:r>
        <w:rPr>
          <w:rFonts w:ascii="Noto Sans" w:hAnsi="Noto Sans"/>
          <w:b/>
          <w:color w:val="2C2C2E"/>
          <w:sz w:val="16"/>
        </w:rPr>
        <w:t xml:space="preserve">Verordnung (EU) 2024/1781 – ESPR. </w:t>
      </w:r>
      <w:r>
        <w:rPr>
          <w:rFonts w:ascii="Noto Sans" w:hAnsi="Noto Sans"/>
          <w:color w:val="6A6A6A"/>
          <w:sz w:val="16"/>
        </w:rPr>
        <w:t>Rahmen für Ökodesignanforderungen und Digitalen Produktpass; Dateninfrastruktur für produktbezogene Informationen.</w:t>
      </w:r>
      <w:r>
        <w:t xml:space="preserve"> </w:t>
      </w:r>
      <w:hyperlink r:id="rId29">
        <w:r>
          <w:rPr>
            <w:color w:val="2F7D5C"/>
            <w:u w:val="single"/>
            <w:rFonts w:ascii="Noto Sans" w:hAnsi="Noto Sans"/>
          </w:rPr>
          <w:t>Onlinequelle</w:t>
        </w:r>
      </w:hyperlink>
    </w:p>
    <w:p>
      <w:pPr>
        <w:pStyle w:val="SourceText"/>
      </w:pPr>
      <w:r>
        <w:rPr>
          <w:rFonts w:ascii="Noto Sans" w:hAnsi="Noto Sans"/>
          <w:b/>
          <w:color w:val="0B1020"/>
          <w:sz w:val="16"/>
        </w:rPr>
        <w:t xml:space="preserve">[E14] </w:t>
      </w:r>
      <w:r>
        <w:rPr>
          <w:rFonts w:ascii="Noto Sans" w:hAnsi="Noto Sans"/>
          <w:b/>
          <w:color w:val="2C2C2E"/>
          <w:sz w:val="16"/>
        </w:rPr>
        <w:t xml:space="preserve">EU Carbon Border Adjustment Mechanism (CBAM). </w:t>
      </w:r>
      <w:r>
        <w:rPr>
          <w:rFonts w:ascii="Noto Sans" w:hAnsi="Noto Sans"/>
          <w:color w:val="6A6A6A"/>
          <w:sz w:val="16"/>
        </w:rPr>
        <w:t>Europäischer CO₂-Grenzausgleich; begrenztes Vorbild für Daten- und Importausgleichslogik.</w:t>
      </w:r>
      <w:r>
        <w:t xml:space="preserve"> </w:t>
      </w:r>
      <w:hyperlink r:id="rId30">
        <w:r>
          <w:rPr>
            <w:color w:val="2F7D5C"/>
            <w:u w:val="single"/>
            <w:rFonts w:ascii="Noto Sans" w:hAnsi="Noto Sans"/>
          </w:rPr>
          <w:t>Onlinequelle</w:t>
        </w:r>
      </w:hyperlink>
    </w:p>
    <w:p>
      <w:pPr>
        <w:pStyle w:val="SourceText"/>
      </w:pPr>
      <w:r>
        <w:rPr>
          <w:rFonts w:ascii="Noto Sans" w:hAnsi="Noto Sans"/>
          <w:b/>
          <w:color w:val="0B1020"/>
          <w:sz w:val="16"/>
        </w:rPr>
        <w:t xml:space="preserve">[E15] </w:t>
      </w:r>
      <w:r>
        <w:rPr>
          <w:rFonts w:ascii="Noto Sans" w:hAnsi="Noto Sans"/>
          <w:b/>
          <w:color w:val="2C2C2E"/>
          <w:sz w:val="16"/>
        </w:rPr>
        <w:t xml:space="preserve">Europäische Kommission: State Aid overview. </w:t>
      </w:r>
      <w:r>
        <w:rPr>
          <w:rFonts w:ascii="Noto Sans" w:hAnsi="Noto Sans"/>
          <w:color w:val="6A6A6A"/>
          <w:sz w:val="16"/>
        </w:rPr>
        <w:t>Selektive steuerliche Vorteile können beihilferechtliche Fragen auslösen.</w:t>
      </w:r>
      <w:r>
        <w:t xml:space="preserve"> </w:t>
      </w:r>
      <w:hyperlink r:id="rId31">
        <w:r>
          <w:rPr>
            <w:color w:val="2F7D5C"/>
            <w:u w:val="single"/>
            <w:rFonts w:ascii="Noto Sans" w:hAnsi="Noto Sans"/>
          </w:rPr>
          <w:t>Onlinequelle</w:t>
        </w:r>
      </w:hyperlink>
    </w:p>
    <w:p>
      <w:pPr>
        <w:pStyle w:val="SourceText"/>
      </w:pPr>
      <w:r>
        <w:rPr>
          <w:rFonts w:ascii="Noto Sans" w:hAnsi="Noto Sans"/>
          <w:b/>
          <w:color w:val="0B1020"/>
          <w:sz w:val="16"/>
        </w:rPr>
        <w:t xml:space="preserve">[E16] </w:t>
      </w:r>
      <w:r>
        <w:rPr>
          <w:rFonts w:ascii="Noto Sans" w:hAnsi="Noto Sans"/>
          <w:b/>
          <w:color w:val="2C2C2E"/>
          <w:sz w:val="16"/>
        </w:rPr>
        <w:t xml:space="preserve">AEUV Art. 110. </w:t>
      </w:r>
      <w:r>
        <w:rPr>
          <w:rFonts w:ascii="Noto Sans" w:hAnsi="Noto Sans"/>
          <w:color w:val="6A6A6A"/>
          <w:sz w:val="16"/>
        </w:rPr>
        <w:t>Verbot diskriminierender inländischer Abgaben auf Erzeugnisse anderer Mitgliedstaaten.</w:t>
      </w:r>
      <w:r>
        <w:t xml:space="preserve"> </w:t>
      </w:r>
      <w:hyperlink r:id="rId32">
        <w:r>
          <w:rPr>
            <w:color w:val="2F7D5C"/>
            <w:u w:val="single"/>
            <w:rFonts w:ascii="Noto Sans" w:hAnsi="Noto Sans"/>
          </w:rPr>
          <w:t>Onlinequelle</w:t>
        </w:r>
      </w:hyperlink>
    </w:p>
    <w:p>
      <w:pPr>
        <w:pStyle w:val="SourceText"/>
      </w:pPr>
      <w:r>
        <w:rPr>
          <w:rFonts w:ascii="Noto Sans" w:hAnsi="Noto Sans"/>
          <w:b/>
          <w:color w:val="0B1020"/>
          <w:sz w:val="16"/>
        </w:rPr>
        <w:t xml:space="preserve">[E17] </w:t>
      </w:r>
      <w:r>
        <w:rPr>
          <w:rFonts w:ascii="Noto Sans" w:hAnsi="Noto Sans"/>
          <w:b/>
          <w:color w:val="2C2C2E"/>
          <w:sz w:val="16"/>
        </w:rPr>
        <w:t xml:space="preserve">AEUV Art. 113. </w:t>
      </w:r>
      <w:r>
        <w:rPr>
          <w:rFonts w:ascii="Noto Sans" w:hAnsi="Noto Sans"/>
          <w:color w:val="6A6A6A"/>
          <w:sz w:val="16"/>
        </w:rPr>
        <w:t>Harmonisierung indirekter Steuern, soweit für Binnenmarkt/Wettbewerb erforderlich.</w:t>
      </w:r>
      <w:r>
        <w:t xml:space="preserve"> </w:t>
      </w:r>
      <w:hyperlink r:id="rId33">
        <w:r>
          <w:rPr>
            <w:color w:val="2F7D5C"/>
            <w:u w:val="single"/>
            <w:rFonts w:ascii="Noto Sans" w:hAnsi="Noto Sans"/>
          </w:rPr>
          <w:t>Onlinequelle</w:t>
        </w:r>
      </w:hyperlink>
    </w:p>
    <w:p>
      <w:pPr>
        <w:pStyle w:val="SourceText"/>
      </w:pPr>
      <w:r>
        <w:rPr>
          <w:rFonts w:ascii="Noto Sans" w:hAnsi="Noto Sans"/>
          <w:b/>
          <w:color w:val="0B1020"/>
          <w:sz w:val="16"/>
        </w:rPr>
        <w:t xml:space="preserve">[E18] </w:t>
      </w:r>
      <w:r>
        <w:rPr>
          <w:rFonts w:ascii="Noto Sans" w:hAnsi="Noto Sans"/>
          <w:b/>
          <w:color w:val="2C2C2E"/>
          <w:sz w:val="16"/>
        </w:rPr>
        <w:t xml:space="preserve">Europäische Kommission: Energy Taxation. </w:t>
      </w:r>
      <w:r>
        <w:rPr>
          <w:rFonts w:ascii="Noto Sans" w:hAnsi="Noto Sans"/>
          <w:color w:val="6A6A6A"/>
          <w:sz w:val="16"/>
        </w:rPr>
        <w:t>Unionsrechtlicher Rahmen für Energieverbrauchsteuern.</w:t>
      </w:r>
      <w:r>
        <w:t xml:space="preserve"> </w:t>
      </w:r>
      <w:hyperlink r:id="rId34">
        <w:r>
          <w:rPr>
            <w:color w:val="2F7D5C"/>
            <w:u w:val="single"/>
            <w:rFonts w:ascii="Noto Sans" w:hAnsi="Noto Sans"/>
          </w:rPr>
          <w:t>Onlinequelle</w:t>
        </w:r>
      </w:hyperlink>
    </w:p>
    <w:p>
      <w:pPr>
        <w:pStyle w:val="SourceText"/>
      </w:pPr>
      <w:r>
        <w:rPr>
          <w:rFonts w:ascii="Noto Sans" w:hAnsi="Noto Sans"/>
          <w:b/>
          <w:color w:val="0B1020"/>
          <w:sz w:val="16"/>
        </w:rPr>
        <w:t xml:space="preserve">[E19] </w:t>
      </w:r>
      <w:r>
        <w:rPr>
          <w:rFonts w:ascii="Noto Sans" w:hAnsi="Noto Sans"/>
          <w:b/>
          <w:color w:val="2C2C2E"/>
          <w:sz w:val="16"/>
        </w:rPr>
        <w:t xml:space="preserve">Europäische Kommission: ETS2. </w:t>
      </w:r>
      <w:r>
        <w:rPr>
          <w:rFonts w:ascii="Noto Sans" w:hAnsi="Noto Sans"/>
          <w:color w:val="6A6A6A"/>
          <w:sz w:val="16"/>
        </w:rPr>
        <w:t>Neues Emissionshandelssystem für Gebäude, Straßenverkehr und zusätzliche Sektoren; relevant für Doppelbepreisungs- und Kohärenzprüfung.</w:t>
      </w:r>
      <w:r>
        <w:t xml:space="preserve"> </w:t>
      </w:r>
      <w:hyperlink r:id="rId35">
        <w:r>
          <w:rPr>
            <w:color w:val="2F7D5C"/>
            <w:u w:val="single"/>
            <w:rFonts w:ascii="Noto Sans" w:hAnsi="Noto Sans"/>
          </w:rPr>
          <w:t>Onlinequelle</w:t>
        </w:r>
      </w:hyperlink>
    </w:p>
    <w:p>
      <w:pPr>
        <w:pStyle w:val="SourceText"/>
      </w:pPr>
      <w:r>
        <w:rPr>
          <w:rFonts w:ascii="Noto Sans" w:hAnsi="Noto Sans"/>
          <w:b/>
          <w:color w:val="0B1020"/>
          <w:sz w:val="16"/>
        </w:rPr>
        <w:t xml:space="preserve">[E20] </w:t>
      </w:r>
      <w:r>
        <w:rPr>
          <w:rFonts w:ascii="Noto Sans" w:hAnsi="Noto Sans"/>
          <w:b/>
          <w:color w:val="2C2C2E"/>
          <w:sz w:val="16"/>
        </w:rPr>
        <w:t xml:space="preserve">Bundesministerium der Finanzen: Vermögensteuer. </w:t>
      </w:r>
      <w:r>
        <w:rPr>
          <w:rFonts w:ascii="Noto Sans" w:hAnsi="Noto Sans"/>
          <w:color w:val="6A6A6A"/>
          <w:sz w:val="16"/>
        </w:rPr>
        <w:t>Hinweis zum Status der Vermögensteuer; seit 1. Januar 1997 nicht erhoben.</w:t>
      </w:r>
      <w:r>
        <w:t xml:space="preserve"> </w:t>
      </w:r>
      <w:hyperlink r:id="rId36">
        <w:r>
          <w:rPr>
            <w:color w:val="2F7D5C"/>
            <w:u w:val="single"/>
            <w:rFonts w:ascii="Noto Sans" w:hAnsi="Noto Sans"/>
          </w:rPr>
          <w:t>Onlinequelle</w:t>
        </w:r>
      </w:hyperlink>
    </w:p>
    <w:p>
      <w:pPr>
        <w:pStyle w:val="Heading1"/>
      </w:pPr>
      <w:r>
        <w:t>Schlussbemerkung</w:t>
      </w:r>
    </w:p>
    <w:p>
      <w:r>
        <w:rPr>
          <w:rFonts w:ascii="Noto Sans" w:hAnsi="Noto Sans"/>
        </w:rPr>
        <w:t>Die Wirkungssteuer 3.0 ist nicht der Versuch, die Gesellschaft in einen Score zu pressen. Ihr Zweck ist das Gegenteil: Sie soll verhindern, dass reale Folgen weiter aus dem wirtschaftlichen Signal verschwinden, nur weil Geld leichter messbar ist als Wirkung. Wo Wirkung belastbar erfasst, rechtlich legitim bewertet und administrierbar zugeordnet werden kann, darf sie nicht folgenlos bleiben. Wo die Evidenz nicht reicht, bleibt die Einordnung offen. Wo Grundrechte oder Wirkungsgrenzen berührt werden, hat Schutz Vorrang vor Optimierung. Und wo ein Steuerinstrument nicht der richtige Hebel ist, muss die Wirkungsökonomie auch die Disziplin besitzen, es nicht einzusetzen.</w:t>
      </w:r>
    </w:p>
    <w:tbl>
      <w:tblPr>
        <w:tblW w:type="auto" w:w="0"/>
        <w:jc w:val="center"/>
        <w:tblLook w:firstColumn="1" w:firstRow="1" w:lastColumn="0" w:lastRow="0" w:noHBand="0" w:noVBand="1" w:val="04A0"/>
      </w:tblPr>
      <w:tblGrid>
        <w:gridCol w:w="9638"/>
      </w:tblGrid>
      <w:tr>
        <w:trPr>
          <w:tblHeader w:val="true"/>
        </w:trPr>
        <w:tc>
          <w:tcPr>
            <w:tcW w:type="dxa" w:w="9638"/>
            <w:shd w:fill="F6F1EB"/>
            <w:tcMar>
              <w:top w:w="120" w:type="dxa"/>
              <w:start w:w="150" w:type="dxa"/>
              <w:bottom w:w="120" w:type="dxa"/>
              <w:end w:w="150" w:type="dxa"/>
            </w:tcMar>
            <w:tcBorders>
              <w:left w:val="single" w:sz="20" w:color="C89B3C"/>
              <w:top w:val="nil"/>
              <w:right w:val="nil"/>
              <w:bottom w:val="nil"/>
            </w:tcBorders>
          </w:tcPr>
          <w:p>
            <w:r>
              <w:rPr>
                <w:rFonts w:ascii="Noto Sans" w:hAnsi="Noto Sans"/>
                <w:b/>
                <w:color w:val="C89B3C"/>
                <w:sz w:val="17"/>
              </w:rPr>
              <w:t>Schlussformel</w:t>
            </w:r>
          </w:p>
          <w:p>
            <w:pPr>
              <w:pStyle w:val="Callout"/>
            </w:pPr>
            <w:r>
              <w:rPr>
                <w:rFonts w:ascii="Noto Sans" w:hAnsi="Noto Sans"/>
                <w:color w:val="2C2C2E"/>
                <w:sz w:val="18"/>
              </w:rPr>
              <w:t>Kapital bleibt Werkzeug. Wirkung wird Kompass. Steuern bleiben Steuern – aber sie lernen, Wirklichkeit zurückzumelden.</w:t>
            </w:r>
          </w:p>
        </w:tc>
      </w:tr>
    </w:tbl>
    <w:p>
      <w:pPr>
        <w:spacing w:after="0"/>
      </w:pPr>
    </w:p>
    <w:sectPr w:rsidR="00FC693F" w:rsidRPr="0006063C" w:rsidSect="00034616">
      <w:headerReference w:type="default" r:id="rId9"/>
      <w:footerReference w:type="default" r:id="rId10"/>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19"/>
      <w:gridCol w:w="4819"/>
    </w:tblGrid>
    <w:tr>
      <w:trPr>
        <w:tblHeader w:val="true"/>
      </w:trPr>
      <w:tc>
        <w:tcPr>
          <w:tcW w:type="dxa" w:w="4819"/>
          <w:tcMar>
            <w:top w:w="0" w:type="dxa"/>
            <w:start w:w="0" w:type="dxa"/>
            <w:bottom w:w="0" w:type="dxa"/>
            <w:end w:w="0" w:type="dxa"/>
          </w:tcMar>
        </w:tcPr>
        <w:p>
          <w:r>
            <w:rPr>
              <w:rFonts w:ascii="Noto Sans" w:hAnsi="Noto Sans"/>
              <w:color w:val="6A6A6A"/>
              <w:sz w:val="14"/>
            </w:rPr>
            <w:t>Natalie Weber | Wirkungsökonomie | Version 3.0 | 17.08.2026</w:t>
          </w:r>
        </w:p>
      </w:tc>
      <w:tc>
        <w:tcPr>
          <w:tcW w:type="dxa" w:w="4819"/>
          <w:tcMar>
            <w:top w:w="0" w:type="dxa"/>
            <w:start w:w="0" w:type="dxa"/>
            <w:bottom w:w="0" w:type="dxa"/>
            <w:end w:w="0" w:type="dxa"/>
          </w:tcMar>
        </w:tcPr>
        <w:p>
          <w:pPr>
            <w:jc w:val="right"/>
          </w:pPr>
          <w:r>
            <w:rPr>
              <w:rFonts w:ascii="Noto Sans" w:hAnsi="Noto Sans"/>
              <w:color w:val="6A6A6A"/>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A6A6A"/>
        <w:sz w:val="14"/>
      </w:rPr>
      <w:t>Wirkungssteuer 3.0 - WStG 3.0 - Gesamtneufassung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Noto Serif" w:hAnsi="Noto Serif"/>
      <w:b/>
      <w:bCs/>
      <w:color w:val="0B102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Noto Serif" w:hAnsi="Noto Serif"/>
      <w:b/>
      <w:bCs/>
      <w:color w:val="2F7D5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erif" w:hAnsi="Noto Serif"/>
      <w:b/>
      <w:bCs/>
      <w:color w:val="0B1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erif" w:hAnsi="Noto Serif"/>
      <w:b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line="269" w:lineRule="auto"/>
    </w:pPr>
    <w:rPr>
      <w:rFonts w:ascii="Noto Serif" w:hAnsi="Noto Serif"/>
      <w:color w:val="0B1020"/>
      <w:sz w:val="24"/>
    </w:rPr>
  </w:style>
  <w:style w:type="paragraph" w:customStyle="1" w:styleId="LawText">
    <w:name w:val="LawText"/>
    <w:pPr>
      <w:spacing w:after="60" w:line="250" w:lineRule="auto"/>
    </w:pPr>
    <w:rPr>
      <w:rFonts w:ascii="Noto Sans" w:hAnsi="Noto Sans"/>
      <w:color w:val="2C2C2E"/>
      <w:sz w:val="18"/>
    </w:rPr>
  </w:style>
  <w:style w:type="paragraph" w:customStyle="1" w:styleId="Commentary">
    <w:name w:val="Commentary"/>
    <w:pPr>
      <w:spacing w:after="60" w:line="250" w:lineRule="auto"/>
    </w:pPr>
    <w:rPr>
      <w:rFonts w:ascii="Noto Sans" w:hAnsi="Noto Sans"/>
      <w:color w:val="2C2C2E"/>
      <w:sz w:val="17"/>
    </w:rPr>
  </w:style>
  <w:style w:type="paragraph" w:customStyle="1" w:styleId="Rationale">
    <w:name w:val="Rationale"/>
    <w:pPr>
      <w:spacing w:after="60" w:line="250" w:lineRule="auto"/>
    </w:pPr>
    <w:rPr>
      <w:rFonts w:ascii="Noto Sans" w:hAnsi="Noto Sans"/>
      <w:color w:val="2C2C2E"/>
      <w:sz w:val="17"/>
    </w:rPr>
  </w:style>
  <w:style w:type="paragraph" w:customStyle="1" w:styleId="LegalNote">
    <w:name w:val="LegalNote"/>
    <w:pPr>
      <w:spacing w:after="60" w:line="250" w:lineRule="auto"/>
    </w:pPr>
    <w:rPr>
      <w:rFonts w:ascii="Noto Sans" w:hAnsi="Noto Sans"/>
      <w:color w:val="6A6A6A"/>
      <w:sz w:val="17"/>
    </w:rPr>
  </w:style>
  <w:style w:type="paragraph" w:customStyle="1" w:styleId="SourceText">
    <w:name w:val="SourceText"/>
    <w:pPr>
      <w:spacing w:after="60" w:line="250" w:lineRule="auto"/>
    </w:pPr>
    <w:rPr>
      <w:rFonts w:ascii="Noto Sans" w:hAnsi="Noto Sans"/>
      <w:color w:val="6A6A6A"/>
      <w:sz w:val="16"/>
    </w:rPr>
  </w:style>
  <w:style w:type="paragraph" w:customStyle="1" w:styleId="Callout">
    <w:name w:val="Callout"/>
    <w:pPr>
      <w:spacing w:after="60" w:line="250" w:lineRule="auto"/>
    </w:pPr>
    <w:rPr>
      <w:rFonts w:ascii="Noto Sans" w:hAnsi="Noto Sans"/>
      <w:color w:val="2C2C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irkungsoekonomie.de/bibliothek/wstg-oktober-2025/" TargetMode="External"/><Relationship Id="rId12" Type="http://schemas.openxmlformats.org/officeDocument/2006/relationships/hyperlink" Target="https://wirkungsoekonomie.de/referenz/" TargetMode="External"/><Relationship Id="rId13" Type="http://schemas.openxmlformats.org/officeDocument/2006/relationships/hyperlink" Target="https://wirkungsoekonomie.de/" TargetMode="External"/><Relationship Id="rId14" Type="http://schemas.openxmlformats.org/officeDocument/2006/relationships/hyperlink" Target="https://wirkungsoekonomie.de/werkstatt/gesetze/wirkungssteuergesetz/" TargetMode="External"/><Relationship Id="rId15" Type="http://schemas.openxmlformats.org/officeDocument/2006/relationships/hyperlink" Target="https://wirkungsoekonomie.de/wirkungsfelder/produkte-konsum/wirkungsumsatzsteuer-produktwirkungssteuer/" TargetMode="External"/><Relationship Id="rId16" Type="http://schemas.openxmlformats.org/officeDocument/2006/relationships/hyperlink" Target="https://wirkungsoekonomie.de/assets/pdf/wirkungseinkommensteuergesetz-westg.pdf" TargetMode="External"/><Relationship Id="rId17" Type="http://schemas.openxmlformats.org/officeDocument/2006/relationships/hyperlink" Target="https://www.gesetze-im-internet.de/ao_1977/__3.html" TargetMode="External"/><Relationship Id="rId18" Type="http://schemas.openxmlformats.org/officeDocument/2006/relationships/hyperlink" Target="https://www.gesetze-im-internet.de/gg/art_3.html" TargetMode="External"/><Relationship Id="rId19" Type="http://schemas.openxmlformats.org/officeDocument/2006/relationships/hyperlink" Target="https://www.gesetze-im-internet.de/gg/art_12.html" TargetMode="External"/><Relationship Id="rId20" Type="http://schemas.openxmlformats.org/officeDocument/2006/relationships/hyperlink" Target="https://www.gesetze-im-internet.de/gg/art_14.html" TargetMode="External"/><Relationship Id="rId21" Type="http://schemas.openxmlformats.org/officeDocument/2006/relationships/hyperlink" Target="https://www.gesetze-im-internet.de/gg/art_19.html" TargetMode="External"/><Relationship Id="rId22" Type="http://schemas.openxmlformats.org/officeDocument/2006/relationships/hyperlink" Target="https://www.gesetze-im-internet.de/gg/art_20a.html" TargetMode="External"/><Relationship Id="rId23" Type="http://schemas.openxmlformats.org/officeDocument/2006/relationships/hyperlink" Target="https://www.gesetze-im-internet.de/gg/art_105.html" TargetMode="External"/><Relationship Id="rId24" Type="http://schemas.openxmlformats.org/officeDocument/2006/relationships/hyperlink" Target="https://www.gesetze-im-internet.de/gg/art_106.html" TargetMode="External"/><Relationship Id="rId25" Type="http://schemas.openxmlformats.org/officeDocument/2006/relationships/hyperlink" Target="https://www.bundesverfassungsgericht.de/SharedDocs/Entscheidungen/DE/2021/03/rs20210324_1bvr265618.html" TargetMode="External"/><Relationship Id="rId26" Type="http://schemas.openxmlformats.org/officeDocument/2006/relationships/hyperlink" Target="https://www.bundesverfassungsgericht.de/SharedDocs/Entscheidungen/DE/2024/11/rs20241127_1bvr172623.html" TargetMode="External"/><Relationship Id="rId27" Type="http://schemas.openxmlformats.org/officeDocument/2006/relationships/hyperlink" Target="https://www.bundesfinanzministerium.de/Web/DE/Themen/Steuern/Steuerarten/steuerarten.html" TargetMode="External"/><Relationship Id="rId28" Type="http://schemas.openxmlformats.org/officeDocument/2006/relationships/hyperlink" Target="https://taxation-customs.ec.europa.eu/taxation/vat/vat-directive/vat-rates_en" TargetMode="External"/><Relationship Id="rId29" Type="http://schemas.openxmlformats.org/officeDocument/2006/relationships/hyperlink" Target="https://eur-lex.europa.eu/eli/reg/2024/1781/oj" TargetMode="External"/><Relationship Id="rId30" Type="http://schemas.openxmlformats.org/officeDocument/2006/relationships/hyperlink" Target="https://taxation-customs.ec.europa.eu/carbon-border-adjustment-mechanism_en" TargetMode="External"/><Relationship Id="rId31" Type="http://schemas.openxmlformats.org/officeDocument/2006/relationships/hyperlink" Target="https://competition-policy.ec.europa.eu/state-aid/overview_en" TargetMode="External"/><Relationship Id="rId32" Type="http://schemas.openxmlformats.org/officeDocument/2006/relationships/hyperlink" Target="https://eur-lex.europa.eu/legal-content/DE/TXT/?uri=CELEX:12012E110" TargetMode="External"/><Relationship Id="rId33" Type="http://schemas.openxmlformats.org/officeDocument/2006/relationships/hyperlink" Target="https://eur-lex.europa.eu/legal-content/DE/TXT/?uri=CELEX:12012E113" TargetMode="External"/><Relationship Id="rId34" Type="http://schemas.openxmlformats.org/officeDocument/2006/relationships/hyperlink" Target="https://taxation-customs.ec.europa.eu/taxation/excise-taxes/energy-taxation_en" TargetMode="External"/><Relationship Id="rId35" Type="http://schemas.openxmlformats.org/officeDocument/2006/relationships/hyperlink" Target="https://climate.ec.europa.eu/eu-action/eu-emissions-trading-system-eu-ets/ets2-buildings-road-transport-and-additional-sectors_en" TargetMode="External"/><Relationship Id="rId36" Type="http://schemas.openxmlformats.org/officeDocument/2006/relationships/hyperlink" Target="https://www.bundesfinanzministerium.de/Content/DE/Glossareintraege/V/vermoegensteu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Wirkungssteuer 3.0 und Wirkungssteuergesetz (WStG) 3.0</dc:title>
  <dc:subject>Gesamtneufassung 2026 - Konzept, Gesetzesentwurf, Kommentierung und Steuerartenarchitektur</dc:subject>
  <dc:creator>Natalie Weber</dc:creator>
  <cp:keywords>Wirkungsökonomie; Wirkungssteuer; Wirkungssteuergesetz; WStG; WUStG; WEstG; Wirkung; Mensch Planet Demokratie</cp:keywords>
  <dc:description>Referenz- und Diskussionsentwurf. Kein geltendes Recht.</dc:description>
  <cp:lastModifiedBy/>
  <cp:revision>1</cp:revision>
  <dcterms:created xsi:type="dcterms:W3CDTF">2013-12-23T23:15:00Z</dcterms:created>
  <dcterms:modified xsi:type="dcterms:W3CDTF">2013-12-23T23:15:00Z</dcterms:modified>
  <cp:category/>
</cp:coreProperties>
</file>