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B33"/>
          <w:sz w:val="60"/>
        </w:rPr>
        <w:t>WIRKUNGSWAHL-KOMPASS</w:t>
      </w:r>
    </w:p>
    <w:p>
      <w:pPr>
        <w:jc w:val="center"/>
      </w:pPr>
      <w:r>
        <w:rPr>
          <w:b/>
          <w:color w:val="2A5C50"/>
          <w:sz w:val="42"/>
        </w:rPr>
        <w:t>Methodik-, Content- und UX-Paket</w:t>
      </w:r>
    </w:p>
    <w:p>
      <w:pPr>
        <w:jc w:val="center"/>
      </w:pPr>
      <w:r>
        <w:rPr>
          <w:i/>
          <w:sz w:val="24"/>
        </w:rPr>
        <w:t>Grundlage für den Claude-Prototyp und die anschließende CodeX-Implementierung</w:t>
      </w:r>
    </w:p>
    <w:p>
      <w:r>
        <w:br/>
      </w:r>
    </w:p>
    <w:tbl>
      <w:tblPr>
        <w:tblW w:type="auto" w:w="0"/>
        <w:jc w:val="center"/>
        <w:tblLook w:firstColumn="1" w:firstRow="1" w:lastColumn="0" w:lastRow="0" w:noHBand="0" w:noVBand="1" w:val="04A0"/>
      </w:tblPr>
      <w:tblGrid>
        <w:gridCol w:w="9936"/>
      </w:tblGrid>
      <w:tr>
        <w:tc>
          <w:tcPr>
            <w:tcW w:type="dxa" w:w="9936"/>
            <w:shd w:fill="EAF3F0"/>
            <w:tcMar>
              <w:top w:w="140" w:type="dxa"/>
              <w:start w:w="160" w:type="dxa"/>
              <w:bottom w:w="140" w:type="dxa"/>
              <w:end w:w="160" w:type="dxa"/>
            </w:tcMar>
          </w:tcPr>
          <w:p>
            <w:r>
              <w:rPr>
                <w:b/>
                <w:sz w:val="22"/>
              </w:rPr>
              <w:t>Leitidee</w:t>
              <w:br/>
            </w:r>
            <w:r>
              <w:rPr>
                <w:sz w:val="21"/>
              </w:rPr>
              <w:t>Der Wirkungswahl-Kompass spricht keine Wahlempfehlung aus. Er trennt persönliche Prioritäten, programmatische Nähe, prognostiziertes Wirkungspotenzial und nichtkompensierbare Wirkungsgrenzen.</w:t>
            </w:r>
          </w:p>
        </w:tc>
      </w:tr>
    </w:tbl>
    <w:p/>
    <w:p>
      <w:pPr>
        <w:jc w:val="center"/>
      </w:pPr>
      <w:r>
        <w:rPr>
          <w:b/>
        </w:rPr>
        <w:t>Autorin / fachliche Verantwortung: Natalie Weber</w:t>
        <w:br/>
      </w:r>
      <w:r>
        <w:t>Konzeptionelle Ausarbeitung: Wirkungsökonomie-Projekt</w:t>
        <w:br/>
      </w:r>
      <w:r>
        <w:t>Version 1.0 | Stand 4. August 2026</w:t>
      </w:r>
    </w:p>
    <w:p>
      <w:r>
        <w:br w:type="page"/>
      </w:r>
    </w:p>
    <w:p>
      <w:pPr>
        <w:pStyle w:val="Heading1"/>
      </w:pPr>
      <w:r>
        <w:t>Inhalt</w:t>
      </w:r>
    </w:p>
    <w:p>
      <w:pPr>
        <w:pStyle w:val="ListBullet"/>
      </w:pPr>
      <w:r>
        <w:t>1. Zweck und Status des Dokuments</w:t>
      </w:r>
    </w:p>
    <w:p>
      <w:pPr>
        <w:pStyle w:val="ListBullet"/>
      </w:pPr>
      <w:r>
        <w:t>2. Produktdefinition und Abgrenzung</w:t>
      </w:r>
    </w:p>
    <w:p>
      <w:pPr>
        <w:pStyle w:val="ListBullet"/>
      </w:pPr>
      <w:r>
        <w:t>3. Rollen- und Übergabemodell</w:t>
      </w:r>
    </w:p>
    <w:p>
      <w:pPr>
        <w:pStyle w:val="ListBullet"/>
      </w:pPr>
      <w:r>
        <w:t>4. Normativer und methodischer Referenzrahmen</w:t>
      </w:r>
    </w:p>
    <w:p>
      <w:pPr>
        <w:pStyle w:val="ListBullet"/>
      </w:pPr>
      <w:r>
        <w:t>5. Kernarchitektur des Wirkungswahl-Kompasses</w:t>
      </w:r>
    </w:p>
    <w:p>
      <w:pPr>
        <w:pStyle w:val="ListBullet"/>
      </w:pPr>
      <w:r>
        <w:t>6. Bewertungs- und Berechnungslogik</w:t>
      </w:r>
    </w:p>
    <w:p>
      <w:pPr>
        <w:pStyle w:val="ListBullet"/>
      </w:pPr>
      <w:r>
        <w:t>7. Wirkungsdimensionen und Darstellungslogik</w:t>
      </w:r>
    </w:p>
    <w:p>
      <w:pPr>
        <w:pStyle w:val="ListBullet"/>
      </w:pPr>
      <w:r>
        <w:t>8. Fragenarchitektur</w:t>
      </w:r>
    </w:p>
    <w:p>
      <w:pPr>
        <w:pStyle w:val="ListBullet"/>
      </w:pPr>
      <w:r>
        <w:t>9. Demo-Fragenset für den Prototyp</w:t>
      </w:r>
    </w:p>
    <w:p>
      <w:pPr>
        <w:pStyle w:val="ListBullet"/>
      </w:pPr>
      <w:r>
        <w:t>10. Ergebnisarchitektur</w:t>
      </w:r>
    </w:p>
    <w:p>
      <w:pPr>
        <w:pStyle w:val="ListBullet"/>
      </w:pPr>
      <w:r>
        <w:t>11. Datenmodell und Content Contract</w:t>
      </w:r>
    </w:p>
    <w:p>
      <w:pPr>
        <w:pStyle w:val="ListBullet"/>
      </w:pPr>
      <w:r>
        <w:t>12. Governance, Quellen und Qualitätssicherung</w:t>
      </w:r>
    </w:p>
    <w:p>
      <w:pPr>
        <w:pStyle w:val="ListBullet"/>
      </w:pPr>
      <w:r>
        <w:t>13. Datenschutz, Barrierefreiheit und Fairness</w:t>
      </w:r>
    </w:p>
    <w:p>
      <w:pPr>
        <w:pStyle w:val="ListBullet"/>
      </w:pPr>
      <w:r>
        <w:t>14. UX-Anforderungen an Claude</w:t>
      </w:r>
    </w:p>
    <w:p>
      <w:pPr>
        <w:pStyle w:val="ListBullet"/>
      </w:pPr>
      <w:r>
        <w:t>15. Vollständiger Claude-Arbeitsauftrag</w:t>
      </w:r>
    </w:p>
    <w:p>
      <w:pPr>
        <w:pStyle w:val="ListBullet"/>
      </w:pPr>
      <w:r>
        <w:t>16. CodeX-Handoff und Deploymentauftrag</w:t>
      </w:r>
    </w:p>
    <w:p>
      <w:pPr>
        <w:pStyle w:val="ListBullet"/>
      </w:pPr>
      <w:r>
        <w:t>17. Akzeptanzkriterien und Testfälle</w:t>
      </w:r>
    </w:p>
    <w:p>
      <w:pPr>
        <w:pStyle w:val="ListBullet"/>
      </w:pPr>
      <w:r>
        <w:t>18. Umsetzungsfahrplan</w:t>
      </w:r>
    </w:p>
    <w:p>
      <w:pPr>
        <w:pStyle w:val="ListBullet"/>
      </w:pPr>
      <w:r>
        <w:t>Anhang A: Begriffliche Leitplanken</w:t>
      </w:r>
    </w:p>
    <w:p>
      <w:pPr>
        <w:pStyle w:val="ListBullet"/>
      </w:pPr>
      <w:r>
        <w:t>Anhang B: Quellenbasis der Wirkungsökonomie</w:t>
      </w:r>
    </w:p>
    <w:p>
      <w:r>
        <w:br w:type="page"/>
      </w:r>
    </w:p>
    <w:p>
      <w:pPr>
        <w:pStyle w:val="Heading1"/>
      </w:pPr>
      <w:r>
        <w:t>1. Zweck und Status des Dokuments</w:t>
      </w:r>
    </w:p>
    <w:p>
      <w:r>
        <w:t>Dieses Dokument ist das verbindliche Übergabepaket für die erste Produktphase des Wirkungswahl-Kompasses. Es verbindet die wirkungsökonomische Methodik mit einem klaren Content Contract und einem detaillierten UX-Auftrag. Claude erhält dieses Dokument als Grundlage für Informationsarchitektur, Interaktionsdesign und klickbaren Prototyp. CodeX erhält anschließend den von Claude ausgearbeiteten Design-Handoff zusammen mit den hier festgelegten methodischen und technischen Regeln.</w:t>
      </w:r>
    </w:p>
    <w:tbl>
      <w:tblPr>
        <w:tblW w:type="auto" w:w="0"/>
        <w:jc w:val="center"/>
        <w:tblLook w:firstColumn="1" w:firstRow="1" w:lastColumn="0" w:lastRow="0" w:noHBand="0" w:noVBand="1" w:val="04A0"/>
      </w:tblPr>
      <w:tblGrid>
        <w:gridCol w:w="9936"/>
      </w:tblGrid>
      <w:tr>
        <w:tc>
          <w:tcPr>
            <w:tcW w:type="dxa" w:w="9936"/>
            <w:shd w:fill="EAF3F0"/>
            <w:tcMar>
              <w:top w:w="140" w:type="dxa"/>
              <w:start w:w="160" w:type="dxa"/>
              <w:bottom w:w="140" w:type="dxa"/>
              <w:end w:w="160" w:type="dxa"/>
            </w:tcMar>
          </w:tcPr>
          <w:p>
            <w:r>
              <w:rPr>
                <w:b/>
                <w:sz w:val="22"/>
              </w:rPr>
              <w:t>Verbindlichkeit</w:t>
              <w:br/>
            </w:r>
            <w:r>
              <w:rPr>
                <w:sz w:val="21"/>
              </w:rPr>
              <w:t>Methodik, Begriffe, Berechnungsregeln und Ergebnislogik dürfen durch Claude oder CodeX nicht eigenständig verändert werden. Offene Punkte müssen dokumentiert, nicht stillschweigend entschieden werden.</w:t>
            </w:r>
          </w:p>
        </w:tc>
      </w:tr>
    </w:tbl>
    <w:p/>
    <w:p>
      <w:pPr>
        <w:pStyle w:val="Heading2"/>
      </w:pPr>
      <w:r>
        <w:t>1.1 Was dieses Dokument bereits festlegt</w:t>
      </w:r>
    </w:p>
    <w:p>
      <w:pPr>
        <w:pStyle w:val="ListBullet"/>
      </w:pPr>
      <w:r>
        <w:t>Produktziel und Abgrenzung</w:t>
      </w:r>
    </w:p>
    <w:p>
      <w:pPr>
        <w:pStyle w:val="ListBullet"/>
      </w:pPr>
      <w:r>
        <w:t>Referenzrahmen und Überparteilichkeit</w:t>
      </w:r>
    </w:p>
    <w:p>
      <w:pPr>
        <w:pStyle w:val="ListBullet"/>
      </w:pPr>
      <w:r>
        <w:t>Trennung von Position und Wirkung</w:t>
      </w:r>
    </w:p>
    <w:p>
      <w:pPr>
        <w:pStyle w:val="ListBullet"/>
      </w:pPr>
      <w:r>
        <w:t>Fragen- und Antwortarchitektur</w:t>
      </w:r>
    </w:p>
    <w:p>
      <w:pPr>
        <w:pStyle w:val="ListBullet"/>
      </w:pPr>
      <w:r>
        <w:t>Wirkungsdimensionen und Nichtkompensationsprinzip</w:t>
      </w:r>
    </w:p>
    <w:p>
      <w:pPr>
        <w:pStyle w:val="ListBullet"/>
      </w:pPr>
      <w:r>
        <w:t>Ergebnisdarstellung ohne Wahlempfehlung</w:t>
      </w:r>
    </w:p>
    <w:p>
      <w:pPr>
        <w:pStyle w:val="ListBullet"/>
      </w:pPr>
      <w:r>
        <w:t>Datenmodell für Inhalte und Quellen</w:t>
      </w:r>
    </w:p>
    <w:p>
      <w:pPr>
        <w:pStyle w:val="ListBullet"/>
      </w:pPr>
      <w:r>
        <w:t>UX-Pflichten für Claude</w:t>
      </w:r>
    </w:p>
    <w:p>
      <w:pPr>
        <w:pStyle w:val="ListBullet"/>
      </w:pPr>
      <w:r>
        <w:t>technische Pflichten für CodeX</w:t>
      </w:r>
    </w:p>
    <w:p>
      <w:pPr>
        <w:pStyle w:val="ListBullet"/>
      </w:pPr>
      <w:r>
        <w:t>Abnahme- und Qualitätskriterien</w:t>
      </w:r>
    </w:p>
    <w:p>
      <w:pPr>
        <w:pStyle w:val="Heading2"/>
      </w:pPr>
      <w:r>
        <w:t>1.2 Was ausdrücklich noch nicht enthalten ist</w:t>
      </w:r>
    </w:p>
    <w:p>
      <w:pPr>
        <w:pStyle w:val="ListBullet"/>
      </w:pPr>
      <w:r>
        <w:t>reale Bewertungen der Parteien AfD, CDU/CSU, SPD, Bündnis 90/Die Grünen, Die Linke, BSW und FDP</w:t>
      </w:r>
    </w:p>
    <w:p>
      <w:pPr>
        <w:pStyle w:val="ListBullet"/>
      </w:pPr>
      <w:r>
        <w:t>vollständige Zuordnung aktueller Parteiprogramme</w:t>
      </w:r>
    </w:p>
    <w:p>
      <w:pPr>
        <w:pStyle w:val="ListBullet"/>
      </w:pPr>
      <w:r>
        <w:t>abschließende evidenzbasierte Wirkungsanalysen realer politischer Optionen</w:t>
      </w:r>
    </w:p>
    <w:p>
      <w:pPr>
        <w:pStyle w:val="ListBullet"/>
      </w:pPr>
      <w:r>
        <w:t>juristische Freigabe des öffentlichen Produkts</w:t>
      </w:r>
    </w:p>
    <w:p>
      <w:pPr>
        <w:pStyle w:val="ListBullet"/>
      </w:pPr>
      <w:r>
        <w:t>abschließende institutionelle Governance des späteren Wirkungsrats oder Redaktionsrats</w:t>
      </w:r>
    </w:p>
    <w:p>
      <w:r>
        <w:t>Für den Prototyp werden ausschließlich anonymisierte Parteien A bis G und ausdrücklich als DEMO gekennzeichnete Inhalte verwendet.</w:t>
      </w:r>
    </w:p>
    <w:p>
      <w:pPr>
        <w:pStyle w:val="Heading1"/>
      </w:pPr>
      <w:r>
        <w:t>2. Produktdefinition und Abgrenzung</w:t>
      </w:r>
    </w:p>
    <w:p>
      <w:pPr>
        <w:pStyle w:val="Heading2"/>
      </w:pPr>
      <w:r>
        <w:t>2.1 Produktname und Arbeitsclaim</w:t>
      </w:r>
    </w:p>
    <w:p>
      <w:r>
        <w:t>Arbeitstitel: Wirkungswahl-Kompass</w:t>
      </w:r>
    </w:p>
    <w:p>
      <w:r>
        <w:t>Unterzeile: Wo du stehst. Was Parteien vorschlagen. Was daraus folgen kann.</w:t>
      </w:r>
    </w:p>
    <w:p>
      <w:pPr>
        <w:pStyle w:val="Heading2"/>
      </w:pPr>
      <w:r>
        <w:t>2.2 Produktversprechen</w:t>
      </w:r>
    </w:p>
    <w:p>
      <w:r>
        <w:t>Der Wirkungswahl-Kompass hilft Nutzerinnen und Nutzern, ihre politischen Prioritäten zu erkennen, Parteipositionen themenbezogen zu vergleichen und die erwartbaren Wirkungen politischer Optionen auf Mensch, Planet und Demokratie einzuordnen. Er ersetzt keine eigene Urteilsbildung und gibt keine Wahlempfehlung.</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464"/>
            <w:shd w:fill="DCEAE5"/>
            <w:vAlign w:val="center"/>
            <w:tcMar>
              <w:top w:w="80" w:type="dxa"/>
              <w:start w:w="100" w:type="dxa"/>
              <w:bottom w:w="80" w:type="dxa"/>
              <w:end w:w="100" w:type="dxa"/>
            </w:tcMar>
          </w:tcPr>
          <w:p>
            <w:r>
              <w:rPr>
                <w:b/>
                <w:sz w:val="20"/>
              </w:rPr>
              <w:t>Der Kompass ist</w:t>
            </w:r>
          </w:p>
        </w:tc>
        <w:tc>
          <w:tcPr>
            <w:tcW w:type="dxa" w:w="4464"/>
            <w:shd w:fill="DCEAE5"/>
            <w:vAlign w:val="center"/>
            <w:tcMar>
              <w:top w:w="80" w:type="dxa"/>
              <w:start w:w="100" w:type="dxa"/>
              <w:bottom w:w="80" w:type="dxa"/>
              <w:end w:w="100" w:type="dxa"/>
            </w:tcMar>
          </w:tcPr>
          <w:p>
            <w:r>
              <w:rPr>
                <w:b/>
                <w:sz w:val="20"/>
              </w:rPr>
              <w:t>Der Kompass ist nicht</w:t>
            </w:r>
          </w:p>
        </w:tc>
      </w:tr>
      <w:tr>
        <w:tc>
          <w:tcPr>
            <w:tcW w:type="dxa" w:w="4464"/>
            <w:vAlign w:val="top"/>
            <w:tcMar>
              <w:top w:w="80" w:type="dxa"/>
              <w:start w:w="100" w:type="dxa"/>
              <w:bottom w:w="80" w:type="dxa"/>
              <w:end w:w="100" w:type="dxa"/>
            </w:tcMar>
          </w:tcPr>
          <w:p>
            <w:r>
              <w:rPr>
                <w:sz w:val="20"/>
              </w:rPr>
              <w:t>eine transparente Entscheidungshilfe</w:t>
            </w:r>
          </w:p>
        </w:tc>
        <w:tc>
          <w:tcPr>
            <w:tcW w:type="dxa" w:w="4464"/>
            <w:vAlign w:val="top"/>
            <w:tcMar>
              <w:top w:w="80" w:type="dxa"/>
              <w:start w:w="100" w:type="dxa"/>
              <w:bottom w:w="80" w:type="dxa"/>
              <w:end w:w="100" w:type="dxa"/>
            </w:tcMar>
          </w:tcPr>
          <w:p>
            <w:r>
              <w:rPr>
                <w:sz w:val="20"/>
              </w:rPr>
              <w:t>eine Wahlempfehlungsmaschine</w:t>
            </w:r>
          </w:p>
        </w:tc>
      </w:tr>
      <w:tr>
        <w:tc>
          <w:tcPr>
            <w:tcW w:type="dxa" w:w="4464"/>
            <w:vAlign w:val="top"/>
            <w:tcMar>
              <w:top w:w="80" w:type="dxa"/>
              <w:start w:w="100" w:type="dxa"/>
              <w:bottom w:w="80" w:type="dxa"/>
              <w:end w:w="100" w:type="dxa"/>
            </w:tcMar>
          </w:tcPr>
          <w:p>
            <w:r>
              <w:rPr>
                <w:sz w:val="20"/>
              </w:rPr>
              <w:t>ein Vergleich von Positionen und Wirkungspotenzialen</w:t>
            </w:r>
          </w:p>
        </w:tc>
        <w:tc>
          <w:tcPr>
            <w:tcW w:type="dxa" w:w="4464"/>
            <w:vAlign w:val="top"/>
            <w:tcMar>
              <w:top w:w="80" w:type="dxa"/>
              <w:start w:w="100" w:type="dxa"/>
              <w:bottom w:w="80" w:type="dxa"/>
              <w:end w:w="100" w:type="dxa"/>
            </w:tcMar>
          </w:tcPr>
          <w:p>
            <w:r>
              <w:rPr>
                <w:sz w:val="20"/>
              </w:rPr>
              <w:t>ein Persönlichkeitstest</w:t>
            </w:r>
          </w:p>
        </w:tc>
      </w:tr>
      <w:tr>
        <w:tc>
          <w:tcPr>
            <w:tcW w:type="dxa" w:w="4464"/>
            <w:vAlign w:val="top"/>
            <w:tcMar>
              <w:top w:w="80" w:type="dxa"/>
              <w:start w:w="100" w:type="dxa"/>
              <w:bottom w:w="80" w:type="dxa"/>
              <w:end w:w="100" w:type="dxa"/>
            </w:tcMar>
          </w:tcPr>
          <w:p>
            <w:r>
              <w:rPr>
                <w:sz w:val="20"/>
              </w:rPr>
              <w:t>ein Instrument politischer Bildung</w:t>
            </w:r>
          </w:p>
        </w:tc>
        <w:tc>
          <w:tcPr>
            <w:tcW w:type="dxa" w:w="4464"/>
            <w:vAlign w:val="top"/>
            <w:tcMar>
              <w:top w:w="80" w:type="dxa"/>
              <w:start w:w="100" w:type="dxa"/>
              <w:bottom w:w="80" w:type="dxa"/>
              <w:end w:w="100" w:type="dxa"/>
            </w:tcMar>
          </w:tcPr>
          <w:p>
            <w:r>
              <w:rPr>
                <w:sz w:val="20"/>
              </w:rPr>
              <w:t>ein Parteienranking</w:t>
            </w:r>
          </w:p>
        </w:tc>
      </w:tr>
      <w:tr>
        <w:tc>
          <w:tcPr>
            <w:tcW w:type="dxa" w:w="4464"/>
            <w:vAlign w:val="top"/>
            <w:tcMar>
              <w:top w:w="80" w:type="dxa"/>
              <w:start w:w="100" w:type="dxa"/>
              <w:bottom w:w="80" w:type="dxa"/>
              <w:end w:w="100" w:type="dxa"/>
            </w:tcMar>
          </w:tcPr>
          <w:p>
            <w:r>
              <w:rPr>
                <w:sz w:val="20"/>
              </w:rPr>
              <w:t>ein erklärbares, quellenbasiertes System</w:t>
            </w:r>
          </w:p>
        </w:tc>
        <w:tc>
          <w:tcPr>
            <w:tcW w:type="dxa" w:w="4464"/>
            <w:vAlign w:val="top"/>
            <w:tcMar>
              <w:top w:w="80" w:type="dxa"/>
              <w:start w:w="100" w:type="dxa"/>
              <w:bottom w:w="80" w:type="dxa"/>
              <w:end w:w="100" w:type="dxa"/>
            </w:tcMar>
          </w:tcPr>
          <w:p>
            <w:r>
              <w:rPr>
                <w:sz w:val="20"/>
              </w:rPr>
              <w:t>eine Blackbox mit Prozent-Match</w:t>
            </w:r>
          </w:p>
        </w:tc>
      </w:tr>
      <w:tr>
        <w:tc>
          <w:tcPr>
            <w:tcW w:type="dxa" w:w="4464"/>
            <w:vAlign w:val="top"/>
            <w:tcMar>
              <w:top w:w="80" w:type="dxa"/>
              <w:start w:w="100" w:type="dxa"/>
              <w:bottom w:w="80" w:type="dxa"/>
              <w:end w:w="100" w:type="dxa"/>
            </w:tcMar>
          </w:tcPr>
          <w:p>
            <w:r>
              <w:rPr>
                <w:sz w:val="20"/>
              </w:rPr>
              <w:t>überparteilich und methodisch symmetrisch</w:t>
            </w:r>
          </w:p>
        </w:tc>
        <w:tc>
          <w:tcPr>
            <w:tcW w:type="dxa" w:w="4464"/>
            <w:vAlign w:val="top"/>
            <w:tcMar>
              <w:top w:w="80" w:type="dxa"/>
              <w:start w:w="100" w:type="dxa"/>
              <w:bottom w:w="80" w:type="dxa"/>
              <w:end w:w="100" w:type="dxa"/>
            </w:tcMar>
          </w:tcPr>
          <w:p>
            <w:r>
              <w:rPr>
                <w:sz w:val="20"/>
              </w:rPr>
              <w:t>wert- oder maßstabslos</w:t>
            </w:r>
          </w:p>
        </w:tc>
      </w:tr>
    </w:tbl>
    <w:p/>
    <w:tbl>
      <w:tblPr>
        <w:tblW w:type="auto" w:w="0"/>
        <w:jc w:val="center"/>
        <w:tblLook w:firstColumn="1" w:firstRow="1" w:lastColumn="0" w:lastRow="0" w:noHBand="0" w:noVBand="1" w:val="04A0"/>
      </w:tblPr>
      <w:tblGrid>
        <w:gridCol w:w="9936"/>
      </w:tblGrid>
      <w:tr>
        <w:tc>
          <w:tcPr>
            <w:tcW w:type="dxa" w:w="9936"/>
            <w:shd w:fill="EAF3F0"/>
            <w:tcMar>
              <w:top w:w="140" w:type="dxa"/>
              <w:start w:w="160" w:type="dxa"/>
              <w:bottom w:w="140" w:type="dxa"/>
              <w:end w:w="160" w:type="dxa"/>
            </w:tcMar>
          </w:tcPr>
          <w:p>
            <w:r>
              <w:rPr>
                <w:b/>
                <w:sz w:val="22"/>
              </w:rPr>
              <w:t>Zentraler Leitsatz</w:t>
              <w:br/>
            </w:r>
            <w:r>
              <w:rPr>
                <w:sz w:val="21"/>
              </w:rPr>
              <w:t>Überparteilichkeit entsteht nicht dadurch, dass kein Maßstab verwendet wird. Sie entsteht dadurch, dass für alle Parteien dieselbe offengelegte Messlatte gilt.</w:t>
            </w:r>
          </w:p>
        </w:tc>
      </w:tr>
    </w:tbl>
    <w:p/>
    <w:p>
      <w:pPr>
        <w:pStyle w:val="Heading1"/>
      </w:pPr>
      <w:r>
        <w:t>3. Rollen- und Übergabemodell</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728"/>
            <w:shd w:fill="DCEAE5"/>
            <w:vAlign w:val="center"/>
            <w:tcMar>
              <w:top w:w="80" w:type="dxa"/>
              <w:start w:w="100" w:type="dxa"/>
              <w:bottom w:w="80" w:type="dxa"/>
              <w:end w:w="100" w:type="dxa"/>
            </w:tcMar>
          </w:tcPr>
          <w:p>
            <w:r>
              <w:rPr>
                <w:b/>
                <w:sz w:val="18"/>
              </w:rPr>
              <w:t>Rolle</w:t>
            </w:r>
          </w:p>
        </w:tc>
        <w:tc>
          <w:tcPr>
            <w:tcW w:type="dxa" w:w="3168"/>
            <w:shd w:fill="DCEAE5"/>
            <w:vAlign w:val="center"/>
            <w:tcMar>
              <w:top w:w="80" w:type="dxa"/>
              <w:start w:w="100" w:type="dxa"/>
              <w:bottom w:w="80" w:type="dxa"/>
              <w:end w:w="100" w:type="dxa"/>
            </w:tcMar>
          </w:tcPr>
          <w:p>
            <w:r>
              <w:rPr>
                <w:b/>
                <w:sz w:val="18"/>
              </w:rPr>
              <w:t>Verantwortung</w:t>
            </w:r>
          </w:p>
        </w:tc>
        <w:tc>
          <w:tcPr>
            <w:tcW w:type="dxa" w:w="3168"/>
            <w:shd w:fill="DCEAE5"/>
            <w:vAlign w:val="center"/>
            <w:tcMar>
              <w:top w:w="80" w:type="dxa"/>
              <w:start w:w="100" w:type="dxa"/>
              <w:bottom w:w="80" w:type="dxa"/>
              <w:end w:w="100" w:type="dxa"/>
            </w:tcMar>
          </w:tcPr>
          <w:p>
            <w:r>
              <w:rPr>
                <w:b/>
                <w:sz w:val="18"/>
              </w:rPr>
              <w:t>Nicht zuständig für</w:t>
            </w:r>
          </w:p>
        </w:tc>
      </w:tr>
      <w:tr>
        <w:tc>
          <w:tcPr>
            <w:tcW w:type="dxa" w:w="1728"/>
            <w:vAlign w:val="top"/>
            <w:tcMar>
              <w:top w:w="80" w:type="dxa"/>
              <w:start w:w="100" w:type="dxa"/>
              <w:bottom w:w="80" w:type="dxa"/>
              <w:end w:w="100" w:type="dxa"/>
            </w:tcMar>
          </w:tcPr>
          <w:p>
            <w:r>
              <w:rPr>
                <w:sz w:val="18"/>
              </w:rPr>
              <w:t>Natalie Weber</w:t>
            </w:r>
          </w:p>
        </w:tc>
        <w:tc>
          <w:tcPr>
            <w:tcW w:type="dxa" w:w="3168"/>
            <w:vAlign w:val="top"/>
            <w:tcMar>
              <w:top w:w="80" w:type="dxa"/>
              <w:start w:w="100" w:type="dxa"/>
              <w:bottom w:w="80" w:type="dxa"/>
              <w:end w:w="100" w:type="dxa"/>
            </w:tcMar>
          </w:tcPr>
          <w:p>
            <w:r>
              <w:rPr>
                <w:sz w:val="18"/>
              </w:rPr>
              <w:t>normative und redaktionelle Freigabe; Referenzrahmen; rote Linien; finale Inhalte</w:t>
            </w:r>
          </w:p>
        </w:tc>
        <w:tc>
          <w:tcPr>
            <w:tcW w:type="dxa" w:w="3168"/>
            <w:vAlign w:val="top"/>
            <w:tcMar>
              <w:top w:w="80" w:type="dxa"/>
              <w:start w:w="100" w:type="dxa"/>
              <w:bottom w:w="80" w:type="dxa"/>
              <w:end w:w="100" w:type="dxa"/>
            </w:tcMar>
          </w:tcPr>
          <w:p>
            <w:r>
              <w:rPr>
                <w:sz w:val="18"/>
              </w:rPr>
              <w:t>technische Detailimplementierung</w:t>
            </w:r>
          </w:p>
        </w:tc>
      </w:tr>
      <w:tr>
        <w:tc>
          <w:tcPr>
            <w:tcW w:type="dxa" w:w="1728"/>
            <w:vAlign w:val="top"/>
            <w:tcMar>
              <w:top w:w="80" w:type="dxa"/>
              <w:start w:w="100" w:type="dxa"/>
              <w:bottom w:w="80" w:type="dxa"/>
              <w:end w:w="100" w:type="dxa"/>
            </w:tcMar>
          </w:tcPr>
          <w:p>
            <w:r>
              <w:rPr>
                <w:sz w:val="18"/>
              </w:rPr>
              <w:t>ChatGPT</w:t>
            </w:r>
          </w:p>
        </w:tc>
        <w:tc>
          <w:tcPr>
            <w:tcW w:type="dxa" w:w="3168"/>
            <w:vAlign w:val="top"/>
            <w:tcMar>
              <w:top w:w="80" w:type="dxa"/>
              <w:start w:w="100" w:type="dxa"/>
              <w:bottom w:w="80" w:type="dxa"/>
              <w:end w:w="100" w:type="dxa"/>
            </w:tcMar>
          </w:tcPr>
          <w:p>
            <w:r>
              <w:rPr>
                <w:sz w:val="18"/>
              </w:rPr>
              <w:t>Methodik, Fragen, Content Contract, Datenmodell, Einordnungstexte, Quellen- und Evidenzlogik</w:t>
            </w:r>
          </w:p>
        </w:tc>
        <w:tc>
          <w:tcPr>
            <w:tcW w:type="dxa" w:w="3168"/>
            <w:vAlign w:val="top"/>
            <w:tcMar>
              <w:top w:w="80" w:type="dxa"/>
              <w:start w:w="100" w:type="dxa"/>
              <w:bottom w:w="80" w:type="dxa"/>
              <w:end w:w="100" w:type="dxa"/>
            </w:tcMar>
          </w:tcPr>
          <w:p>
            <w:r>
              <w:rPr>
                <w:sz w:val="18"/>
              </w:rPr>
              <w:t>visuelles Feindesign und Deployment</w:t>
            </w:r>
          </w:p>
        </w:tc>
      </w:tr>
      <w:tr>
        <w:tc>
          <w:tcPr>
            <w:tcW w:type="dxa" w:w="1728"/>
            <w:vAlign w:val="top"/>
            <w:tcMar>
              <w:top w:w="80" w:type="dxa"/>
              <w:start w:w="100" w:type="dxa"/>
              <w:bottom w:w="80" w:type="dxa"/>
              <w:end w:w="100" w:type="dxa"/>
            </w:tcMar>
          </w:tcPr>
          <w:p>
            <w:r>
              <w:rPr>
                <w:sz w:val="18"/>
              </w:rPr>
              <w:t>Claude</w:t>
            </w:r>
          </w:p>
        </w:tc>
        <w:tc>
          <w:tcPr>
            <w:tcW w:type="dxa" w:w="3168"/>
            <w:vAlign w:val="top"/>
            <w:tcMar>
              <w:top w:w="80" w:type="dxa"/>
              <w:start w:w="100" w:type="dxa"/>
              <w:bottom w:w="80" w:type="dxa"/>
              <w:end w:w="100" w:type="dxa"/>
            </w:tcMar>
          </w:tcPr>
          <w:p>
            <w:r>
              <w:rPr>
                <w:sz w:val="18"/>
              </w:rPr>
              <w:t>UX-Strategie, Informationsarchitektur, visuelles System, Interaktionen, klickbarer Prototyp</w:t>
            </w:r>
          </w:p>
        </w:tc>
        <w:tc>
          <w:tcPr>
            <w:tcW w:type="dxa" w:w="3168"/>
            <w:vAlign w:val="top"/>
            <w:tcMar>
              <w:top w:w="80" w:type="dxa"/>
              <w:start w:w="100" w:type="dxa"/>
              <w:bottom w:w="80" w:type="dxa"/>
              <w:end w:w="100" w:type="dxa"/>
            </w:tcMar>
          </w:tcPr>
          <w:p>
            <w:r>
              <w:rPr>
                <w:sz w:val="18"/>
              </w:rPr>
              <w:t>politische Recherche, reale Parteibewertungen, Methodenänderungen</w:t>
            </w:r>
          </w:p>
        </w:tc>
      </w:tr>
      <w:tr>
        <w:tc>
          <w:tcPr>
            <w:tcW w:type="dxa" w:w="1728"/>
            <w:vAlign w:val="top"/>
            <w:tcMar>
              <w:top w:w="80" w:type="dxa"/>
              <w:start w:w="100" w:type="dxa"/>
              <w:bottom w:w="80" w:type="dxa"/>
              <w:end w:w="100" w:type="dxa"/>
            </w:tcMar>
          </w:tcPr>
          <w:p>
            <w:r>
              <w:rPr>
                <w:sz w:val="18"/>
              </w:rPr>
              <w:t>CodeX</w:t>
            </w:r>
          </w:p>
        </w:tc>
        <w:tc>
          <w:tcPr>
            <w:tcW w:type="dxa" w:w="3168"/>
            <w:vAlign w:val="top"/>
            <w:tcMar>
              <w:top w:w="80" w:type="dxa"/>
              <w:start w:w="100" w:type="dxa"/>
              <w:bottom w:w="80" w:type="dxa"/>
              <w:end w:w="100" w:type="dxa"/>
            </w:tcMar>
          </w:tcPr>
          <w:p>
            <w:r>
              <w:rPr>
                <w:sz w:val="18"/>
              </w:rPr>
              <w:t>Repository-Analyse, produktive Implementierung, Tests, Datenintegration, CI/CD und Deployment</w:t>
            </w:r>
          </w:p>
        </w:tc>
        <w:tc>
          <w:tcPr>
            <w:tcW w:type="dxa" w:w="3168"/>
            <w:vAlign w:val="top"/>
            <w:tcMar>
              <w:top w:w="80" w:type="dxa"/>
              <w:start w:w="100" w:type="dxa"/>
              <w:bottom w:w="80" w:type="dxa"/>
              <w:end w:w="100" w:type="dxa"/>
            </w:tcMar>
          </w:tcPr>
          <w:p>
            <w:r>
              <w:rPr>
                <w:sz w:val="18"/>
              </w:rPr>
              <w:t>eigene politische Einordnung oder Content-Änderung</w:t>
            </w:r>
          </w:p>
        </w:tc>
      </w:tr>
    </w:tbl>
    <w:p/>
    <w:p>
      <w:pPr>
        <w:pStyle w:val="Heading2"/>
      </w:pPr>
      <w:r>
        <w:t>3.1 Übergabekette</w:t>
      </w:r>
    </w:p>
    <w:p>
      <w:pPr>
        <w:pStyle w:val="ListNumber"/>
      </w:pPr>
      <w:r>
        <w:t>Dieses Word-Dokument wird Claude übergeben.</w:t>
      </w:r>
    </w:p>
    <w:p>
      <w:pPr>
        <w:pStyle w:val="ListNumber"/>
      </w:pPr>
      <w:r>
        <w:t>Claude erstellt UX-Konzept, Designsystem und klickbaren Prototyp mit Demo-Daten.</w:t>
      </w:r>
    </w:p>
    <w:p>
      <w:pPr>
        <w:pStyle w:val="ListNumber"/>
      </w:pPr>
      <w:r>
        <w:t>Claude liefert einen strukturierten HANDOFF_CODEX.</w:t>
      </w:r>
    </w:p>
    <w:p>
      <w:pPr>
        <w:pStyle w:val="ListNumber"/>
      </w:pPr>
      <w:r>
        <w:t>CodeX setzt das Produkt im bestehenden Repository um.</w:t>
      </w:r>
    </w:p>
    <w:p>
      <w:pPr>
        <w:pStyle w:val="ListNumber"/>
      </w:pPr>
      <w:r>
        <w:t>Erst nach technischer und methodischer Validierung werden reale Parteidaten eingespielt.</w:t>
      </w:r>
    </w:p>
    <w:p>
      <w:pPr>
        <w:pStyle w:val="Heading1"/>
      </w:pPr>
      <w:r>
        <w:t>4. Normativer und methodischer Referenzrahmen</w:t>
      </w:r>
    </w:p>
    <w:p>
      <w:r>
        <w:t>Die Wirkungsökonomie versteht Wirkung als tatsächliche Zustandsveränderung. Wirkung ist zunächst neutral und relational. Erst die Wirkungsbewertung ordnet Veränderungen an einem offengelegten Referenzrahmen ein. Zielgröße ist positive Netto-Wirkung für Mensch, Planet und Demokratie.</w:t>
      </w:r>
    </w:p>
    <w:p>
      <w:pPr>
        <w:pStyle w:val="Heading2"/>
      </w:pPr>
      <w:r>
        <w:t>4.1 Referenzrahmen</w:t>
      </w:r>
    </w:p>
    <w:p>
      <w:pPr>
        <w:pStyle w:val="ListBullet"/>
      </w:pPr>
      <w:r>
        <w:t>Menschenwürde und Grundrechte</w:t>
      </w:r>
    </w:p>
    <w:p>
      <w:pPr>
        <w:pStyle w:val="ListBullet"/>
      </w:pPr>
      <w:r>
        <w:t>freiheitlich-demokratische Grundordnung und Rechtsstaatlichkeit</w:t>
      </w:r>
    </w:p>
    <w:p>
      <w:pPr>
        <w:pStyle w:val="ListBullet"/>
      </w:pPr>
      <w:r>
        <w:t>deutsche Staatsziele und Staatsaufträge, insbesondere der Schutz natürlicher Lebensgrundlagen</w:t>
      </w:r>
    </w:p>
    <w:p>
      <w:pPr>
        <w:pStyle w:val="ListBullet"/>
      </w:pPr>
      <w:r>
        <w:t>Sustainable Development Goals und Agenda 2030</w:t>
      </w:r>
    </w:p>
    <w:p>
      <w:pPr>
        <w:pStyle w:val="ListBullet"/>
      </w:pPr>
      <w:r>
        <w:t>SDG+ der Wirkungsökonomie: Demokratiequalität, Medien- und Informationsqualität, Rechtsstaatlichkeit, Diskursfähigkeit, institutionelles Vertrauen, gesellschaftlicher Zusammenhalt und digitale Selbstbestimmung</w:t>
      </w:r>
    </w:p>
    <w:p>
      <w:pPr>
        <w:pStyle w:val="ListBullet"/>
      </w:pPr>
      <w:r>
        <w:t>planetare Grenzen, Generationengerechtigkeit und Systemresilienz</w:t>
      </w:r>
    </w:p>
    <w:p>
      <w:pPr>
        <w:pStyle w:val="Heading2"/>
      </w:pPr>
      <w:r>
        <w:t>4.2 Überparteilichkeit</w:t>
      </w:r>
    </w:p>
    <w:p>
      <w:r>
        <w:t>Der Kompass bewertet keine Partei als moralisch gut oder schlecht. Er wendet auf alle politischen Optionen dieselben Regeln an. Gleichartige Vorschläge erhalten unabhängig vom Absender dieselbe Wirkungsanalyse. Unterschiede zwischen Parteien entstehen durch Auswahl, Kombination, Ausgestaltung, Finanzierung, zeitlichen Pfad und Verbindlichkeit ihrer Maßnahmen.</w:t>
      </w:r>
    </w:p>
    <w:p>
      <w:pPr>
        <w:pStyle w:val="Heading2"/>
      </w:pPr>
      <w:r>
        <w:t>4.3 Nicht wertfrei, aber ergebnisoffen</w:t>
      </w:r>
    </w:p>
    <w:p>
      <w:r>
        <w:t>Ein politischer Kompass kann nicht wertfrei sein, weil bereits die Auswahl von Fragen und Kriterien einen Referenzrahmen voraussetzt. Er kann jedoch ergebnisoffen, transparent, überprüfbar und methodisch symmetrisch sein. Die Nutzerin oder der Nutzer behält die Entscheidungshoheit.</w:t>
      </w:r>
    </w:p>
    <w:p>
      <w:pPr>
        <w:pStyle w:val="Heading1"/>
      </w:pPr>
      <w:r>
        <w:t>5. Kernarchitektur des Wirkungswahl-Kompasses</w:t>
      </w:r>
    </w:p>
    <w:p>
      <w:r>
        <w:t>Die Anwendung besteht aus vier strikt getrennten Ebenen. Diese Trennung muss in Datenmodell, Berechnung, Oberfläche und Sprache erhalten bleiben.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16"/>
            <w:shd w:fill="DCEAE5"/>
            <w:vAlign w:val="center"/>
            <w:tcMar>
              <w:top w:w="80" w:type="dxa"/>
              <w:start w:w="100" w:type="dxa"/>
              <w:bottom w:w="80" w:type="dxa"/>
              <w:end w:w="100" w:type="dxa"/>
            </w:tcMar>
          </w:tcPr>
          <w:p>
            <w:r>
              <w:rPr>
                <w:b/>
                <w:sz w:val="18"/>
              </w:rPr>
              <w:t>Ebene</w:t>
            </w:r>
          </w:p>
        </w:tc>
        <w:tc>
          <w:tcPr>
            <w:tcW w:type="dxa" w:w="3168"/>
            <w:shd w:fill="DCEAE5"/>
            <w:vAlign w:val="center"/>
            <w:tcMar>
              <w:top w:w="80" w:type="dxa"/>
              <w:start w:w="100" w:type="dxa"/>
              <w:bottom w:w="80" w:type="dxa"/>
              <w:end w:w="100" w:type="dxa"/>
            </w:tcMar>
          </w:tcPr>
          <w:p>
            <w:r>
              <w:rPr>
                <w:b/>
                <w:sz w:val="18"/>
              </w:rPr>
              <w:t>Leitfrage</w:t>
            </w:r>
          </w:p>
        </w:tc>
        <w:tc>
          <w:tcPr>
            <w:tcW w:type="dxa" w:w="3456"/>
            <w:shd w:fill="DCEAE5"/>
            <w:vAlign w:val="center"/>
            <w:tcMar>
              <w:top w:w="80" w:type="dxa"/>
              <w:start w:w="100" w:type="dxa"/>
              <w:bottom w:w="80" w:type="dxa"/>
              <w:end w:w="100" w:type="dxa"/>
            </w:tcMar>
          </w:tcPr>
          <w:p>
            <w:r>
              <w:rPr>
                <w:b/>
                <w:sz w:val="18"/>
              </w:rPr>
              <w:t>Ergebnis</w:t>
            </w:r>
          </w:p>
        </w:tc>
      </w:tr>
      <w:tr>
        <w:tc>
          <w:tcPr>
            <w:tcW w:type="dxa" w:w="2016"/>
            <w:vAlign w:val="top"/>
            <w:tcMar>
              <w:top w:w="80" w:type="dxa"/>
              <w:start w:w="100" w:type="dxa"/>
              <w:bottom w:w="80" w:type="dxa"/>
              <w:end w:w="100" w:type="dxa"/>
            </w:tcMar>
          </w:tcPr>
          <w:p>
            <w:r>
              <w:rPr>
                <w:sz w:val="18"/>
              </w:rPr>
              <w:t>1. Persönliche Prioritäten</w:t>
            </w:r>
          </w:p>
        </w:tc>
        <w:tc>
          <w:tcPr>
            <w:tcW w:type="dxa" w:w="3168"/>
            <w:vAlign w:val="top"/>
            <w:tcMar>
              <w:top w:w="80" w:type="dxa"/>
              <w:start w:w="100" w:type="dxa"/>
              <w:bottom w:w="80" w:type="dxa"/>
              <w:end w:w="100" w:type="dxa"/>
            </w:tcMar>
          </w:tcPr>
          <w:p>
            <w:r>
              <w:rPr>
                <w:sz w:val="18"/>
              </w:rPr>
              <w:t>Welche Ziele und Wirkungsfelder sind mir wie wichtig?</w:t>
            </w:r>
          </w:p>
        </w:tc>
        <w:tc>
          <w:tcPr>
            <w:tcW w:type="dxa" w:w="3456"/>
            <w:vAlign w:val="top"/>
            <w:tcMar>
              <w:top w:w="80" w:type="dxa"/>
              <w:start w:w="100" w:type="dxa"/>
              <w:bottom w:w="80" w:type="dxa"/>
              <w:end w:w="100" w:type="dxa"/>
            </w:tcMar>
          </w:tcPr>
          <w:p>
            <w:r>
              <w:rPr>
                <w:sz w:val="18"/>
              </w:rPr>
              <w:t>individuelles Prioritätenprofil</w:t>
            </w:r>
          </w:p>
        </w:tc>
      </w:tr>
      <w:tr>
        <w:tc>
          <w:tcPr>
            <w:tcW w:type="dxa" w:w="2016"/>
            <w:vAlign w:val="top"/>
            <w:tcMar>
              <w:top w:w="80" w:type="dxa"/>
              <w:start w:w="100" w:type="dxa"/>
              <w:bottom w:w="80" w:type="dxa"/>
              <w:end w:w="100" w:type="dxa"/>
            </w:tcMar>
          </w:tcPr>
          <w:p>
            <w:r>
              <w:rPr>
                <w:sz w:val="18"/>
              </w:rPr>
              <w:t>2. Positionale Nähe</w:t>
            </w:r>
          </w:p>
        </w:tc>
        <w:tc>
          <w:tcPr>
            <w:tcW w:type="dxa" w:w="3168"/>
            <w:vAlign w:val="top"/>
            <w:tcMar>
              <w:top w:w="80" w:type="dxa"/>
              <w:start w:w="100" w:type="dxa"/>
              <w:bottom w:w="80" w:type="dxa"/>
              <w:end w:w="100" w:type="dxa"/>
            </w:tcMar>
          </w:tcPr>
          <w:p>
            <w:r>
              <w:rPr>
                <w:sz w:val="18"/>
              </w:rPr>
              <w:t>Wie ähnlich sind meine Antworten den erklärten Positionen der Parteien?</w:t>
            </w:r>
          </w:p>
        </w:tc>
        <w:tc>
          <w:tcPr>
            <w:tcW w:type="dxa" w:w="3456"/>
            <w:vAlign w:val="top"/>
            <w:tcMar>
              <w:top w:w="80" w:type="dxa"/>
              <w:start w:w="100" w:type="dxa"/>
              <w:bottom w:w="80" w:type="dxa"/>
              <w:end w:w="100" w:type="dxa"/>
            </w:tcMar>
          </w:tcPr>
          <w:p>
            <w:r>
              <w:rPr>
                <w:sz w:val="18"/>
              </w:rPr>
              <w:t>themenbezogene Nähe oder Distanz</w:t>
            </w:r>
          </w:p>
        </w:tc>
      </w:tr>
      <w:tr>
        <w:tc>
          <w:tcPr>
            <w:tcW w:type="dxa" w:w="2016"/>
            <w:vAlign w:val="top"/>
            <w:tcMar>
              <w:top w:w="80" w:type="dxa"/>
              <w:start w:w="100" w:type="dxa"/>
              <w:bottom w:w="80" w:type="dxa"/>
              <w:end w:w="100" w:type="dxa"/>
            </w:tcMar>
          </w:tcPr>
          <w:p>
            <w:r>
              <w:rPr>
                <w:sz w:val="18"/>
              </w:rPr>
              <w:t>3. Wirkungspotenzial</w:t>
            </w:r>
          </w:p>
        </w:tc>
        <w:tc>
          <w:tcPr>
            <w:tcW w:type="dxa" w:w="3168"/>
            <w:vAlign w:val="top"/>
            <w:tcMar>
              <w:top w:w="80" w:type="dxa"/>
              <w:start w:w="100" w:type="dxa"/>
              <w:bottom w:w="80" w:type="dxa"/>
              <w:end w:w="100" w:type="dxa"/>
            </w:tcMar>
          </w:tcPr>
          <w:p>
            <w:r>
              <w:rPr>
                <w:sz w:val="18"/>
              </w:rPr>
              <w:t>Welche Folgen sind von den politischen Optionen plausibel zu erwarten?</w:t>
            </w:r>
          </w:p>
        </w:tc>
        <w:tc>
          <w:tcPr>
            <w:tcW w:type="dxa" w:w="3456"/>
            <w:vAlign w:val="top"/>
            <w:tcMar>
              <w:top w:w="80" w:type="dxa"/>
              <w:start w:w="100" w:type="dxa"/>
              <w:bottom w:w="80" w:type="dxa"/>
              <w:end w:w="100" w:type="dxa"/>
            </w:tcMar>
          </w:tcPr>
          <w:p>
            <w:r>
              <w:rPr>
                <w:sz w:val="18"/>
              </w:rPr>
              <w:t>Wirkungsprofil mit Evidenz und Unsicherheit</w:t>
            </w:r>
          </w:p>
        </w:tc>
      </w:tr>
      <w:tr>
        <w:tc>
          <w:tcPr>
            <w:tcW w:type="dxa" w:w="2016"/>
            <w:vAlign w:val="top"/>
            <w:tcMar>
              <w:top w:w="80" w:type="dxa"/>
              <w:start w:w="100" w:type="dxa"/>
              <w:bottom w:w="80" w:type="dxa"/>
              <w:end w:w="100" w:type="dxa"/>
            </w:tcMar>
          </w:tcPr>
          <w:p>
            <w:r>
              <w:rPr>
                <w:sz w:val="18"/>
              </w:rPr>
              <w:t>4. Wirkungsgrenzen</w:t>
            </w:r>
          </w:p>
        </w:tc>
        <w:tc>
          <w:tcPr>
            <w:tcW w:type="dxa" w:w="3168"/>
            <w:vAlign w:val="top"/>
            <w:tcMar>
              <w:top w:w="80" w:type="dxa"/>
              <w:start w:w="100" w:type="dxa"/>
              <w:bottom w:w="80" w:type="dxa"/>
              <w:end w:w="100" w:type="dxa"/>
            </w:tcMar>
          </w:tcPr>
          <w:p>
            <w:r>
              <w:rPr>
                <w:sz w:val="18"/>
              </w:rPr>
              <w:t>Werden nichtkompensierbare Mindestbedingungen berührt?</w:t>
            </w:r>
          </w:p>
        </w:tc>
        <w:tc>
          <w:tcPr>
            <w:tcW w:type="dxa" w:w="3456"/>
            <w:vAlign w:val="top"/>
            <w:tcMar>
              <w:top w:w="80" w:type="dxa"/>
              <w:start w:w="100" w:type="dxa"/>
              <w:bottom w:w="80" w:type="dxa"/>
              <w:end w:w="100" w:type="dxa"/>
            </w:tcMar>
          </w:tcPr>
          <w:p>
            <w:r>
              <w:rPr>
                <w:sz w:val="18"/>
              </w:rPr>
              <w:t>gesonderter Hinweis ohne Verrechnung</w:t>
            </w:r>
          </w:p>
        </w:tc>
      </w:tr>
    </w:tbl>
    <w:p/>
    <w:tbl>
      <w:tblPr>
        <w:tblW w:type="auto" w:w="0"/>
        <w:jc w:val="center"/>
        <w:tblLook w:firstColumn="1" w:firstRow="1" w:lastColumn="0" w:lastRow="0" w:noHBand="0" w:noVBand="1" w:val="04A0"/>
      </w:tblPr>
      <w:tblGrid>
        <w:gridCol w:w="9936"/>
      </w:tblGrid>
      <w:tr>
        <w:tc>
          <w:tcPr>
            <w:tcW w:type="dxa" w:w="9936"/>
            <w:shd w:fill="F6ECE8"/>
            <w:tcMar>
              <w:top w:w="140" w:type="dxa"/>
              <w:start w:w="160" w:type="dxa"/>
              <w:bottom w:w="140" w:type="dxa"/>
              <w:end w:w="160" w:type="dxa"/>
            </w:tcMar>
          </w:tcPr>
          <w:p>
            <w:r>
              <w:rPr>
                <w:b/>
                <w:sz w:val="22"/>
              </w:rPr>
              <w:t>Verbotene Vermischung</w:t>
              <w:br/>
            </w:r>
            <w:r>
              <w:rPr>
                <w:sz w:val="21"/>
              </w:rPr>
              <w:t>Aus diesen vier Ebenen darf keine geheime oder scheinbar objektive Gesamtzahl gebildet werden. Es gibt keinen „Sieger“, keinen Gesamt-Match und keine Wahlempfehlung.</w:t>
            </w:r>
          </w:p>
        </w:tc>
      </w:tr>
    </w:tbl>
    <w:p/>
    <w:p>
      <w:pPr>
        <w:pStyle w:val="Heading2"/>
      </w:pPr>
      <w:r>
        <w:t>5.1 Politische Option als Analyseeinheit</w:t>
      </w:r>
    </w:p>
    <w:p>
      <w:r>
        <w:t>Nicht Parteien werden frei bewertet, sondern klar definierte politische Optionen. Die Wirkungsanalyse gehört zur Option. Parteien werden anschließend mit dieser Option verknüpft: unterstützt, lehnt ab, unterstützt unter Bedingungen oder keine eindeutige Position.</w:t>
      </w:r>
    </w:p>
    <w:p>
      <w:r>
        <w:t>Beispiel: „CO2-Preis schrittweise erhöhen und Einnahmen pro Kopf vollständig zurückzahlen.“ Die Wirkungsanalyse betrachtet die konkrete Kombination aus Preissignal und Rückverteilung. Eine Partei erhält nicht pauschal einen Klimascore, sondern wird der von ihr vertretenen Ausgestaltung zugeordnet.</w:t>
      </w:r>
    </w:p>
    <w:p>
      <w:pPr>
        <w:pStyle w:val="Heading1"/>
      </w:pPr>
      <w:r>
        <w:t>6. Bewertungs- und Berechnungslogik</w:t>
      </w:r>
    </w:p>
    <w:p>
      <w:pPr>
        <w:pStyle w:val="Heading2"/>
      </w:pPr>
      <w:r>
        <w:t>6.1 Antwortskala</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1440"/>
            <w:shd w:fill="DCEAE5"/>
            <w:vAlign w:val="center"/>
            <w:tcMar>
              <w:top w:w="80" w:type="dxa"/>
              <w:start w:w="100" w:type="dxa"/>
              <w:bottom w:w="80" w:type="dxa"/>
              <w:end w:w="100" w:type="dxa"/>
            </w:tcMar>
          </w:tcPr>
          <w:p>
            <w:r>
              <w:rPr>
                <w:b/>
                <w:sz w:val="20"/>
              </w:rPr>
              <w:t>Wert</w:t>
            </w:r>
          </w:p>
        </w:tc>
        <w:tc>
          <w:tcPr>
            <w:tcW w:type="dxa" w:w="6912"/>
            <w:shd w:fill="DCEAE5"/>
            <w:vAlign w:val="center"/>
            <w:tcMar>
              <w:top w:w="80" w:type="dxa"/>
              <w:start w:w="100" w:type="dxa"/>
              <w:bottom w:w="80" w:type="dxa"/>
              <w:end w:w="100" w:type="dxa"/>
            </w:tcMar>
          </w:tcPr>
          <w:p>
            <w:r>
              <w:rPr>
                <w:b/>
                <w:sz w:val="20"/>
              </w:rPr>
              <w:t>Nutzerantwort</w:t>
            </w:r>
          </w:p>
        </w:tc>
      </w:tr>
      <w:tr>
        <w:tc>
          <w:tcPr>
            <w:tcW w:type="dxa" w:w="1440"/>
            <w:vAlign w:val="top"/>
            <w:tcMar>
              <w:top w:w="80" w:type="dxa"/>
              <w:start w:w="100" w:type="dxa"/>
              <w:bottom w:w="80" w:type="dxa"/>
              <w:end w:w="100" w:type="dxa"/>
            </w:tcMar>
          </w:tcPr>
          <w:p>
            <w:r>
              <w:rPr>
                <w:sz w:val="20"/>
              </w:rPr>
              <w:t>-2</w:t>
            </w:r>
          </w:p>
        </w:tc>
        <w:tc>
          <w:tcPr>
            <w:tcW w:type="dxa" w:w="6912"/>
            <w:vAlign w:val="top"/>
            <w:tcMar>
              <w:top w:w="80" w:type="dxa"/>
              <w:start w:w="100" w:type="dxa"/>
              <w:bottom w:w="80" w:type="dxa"/>
              <w:end w:w="100" w:type="dxa"/>
            </w:tcMar>
          </w:tcPr>
          <w:p>
            <w:r>
              <w:rPr>
                <w:sz w:val="20"/>
              </w:rPr>
              <w:t>stimme gar nicht zu</w:t>
            </w:r>
          </w:p>
        </w:tc>
      </w:tr>
      <w:tr>
        <w:tc>
          <w:tcPr>
            <w:tcW w:type="dxa" w:w="1440"/>
            <w:vAlign w:val="top"/>
            <w:tcMar>
              <w:top w:w="80" w:type="dxa"/>
              <w:start w:w="100" w:type="dxa"/>
              <w:bottom w:w="80" w:type="dxa"/>
              <w:end w:w="100" w:type="dxa"/>
            </w:tcMar>
          </w:tcPr>
          <w:p>
            <w:r>
              <w:rPr>
                <w:sz w:val="20"/>
              </w:rPr>
              <w:t>-1</w:t>
            </w:r>
          </w:p>
        </w:tc>
        <w:tc>
          <w:tcPr>
            <w:tcW w:type="dxa" w:w="6912"/>
            <w:vAlign w:val="top"/>
            <w:tcMar>
              <w:top w:w="80" w:type="dxa"/>
              <w:start w:w="100" w:type="dxa"/>
              <w:bottom w:w="80" w:type="dxa"/>
              <w:end w:w="100" w:type="dxa"/>
            </w:tcMar>
          </w:tcPr>
          <w:p>
            <w:r>
              <w:rPr>
                <w:sz w:val="20"/>
              </w:rPr>
              <w:t>stimme eher nicht zu</w:t>
            </w:r>
          </w:p>
        </w:tc>
      </w:tr>
      <w:tr>
        <w:tc>
          <w:tcPr>
            <w:tcW w:type="dxa" w:w="1440"/>
            <w:vAlign w:val="top"/>
            <w:tcMar>
              <w:top w:w="80" w:type="dxa"/>
              <w:start w:w="100" w:type="dxa"/>
              <w:bottom w:w="80" w:type="dxa"/>
              <w:end w:w="100" w:type="dxa"/>
            </w:tcMar>
          </w:tcPr>
          <w:p>
            <w:r>
              <w:rPr>
                <w:sz w:val="20"/>
              </w:rPr>
              <w:t>0</w:t>
            </w:r>
          </w:p>
        </w:tc>
        <w:tc>
          <w:tcPr>
            <w:tcW w:type="dxa" w:w="6912"/>
            <w:vAlign w:val="top"/>
            <w:tcMar>
              <w:top w:w="80" w:type="dxa"/>
              <w:start w:w="100" w:type="dxa"/>
              <w:bottom w:w="80" w:type="dxa"/>
              <w:end w:w="100" w:type="dxa"/>
            </w:tcMar>
          </w:tcPr>
          <w:p>
            <w:r>
              <w:rPr>
                <w:sz w:val="20"/>
              </w:rPr>
              <w:t>unentschieden</w:t>
            </w:r>
          </w:p>
        </w:tc>
      </w:tr>
      <w:tr>
        <w:tc>
          <w:tcPr>
            <w:tcW w:type="dxa" w:w="1440"/>
            <w:vAlign w:val="top"/>
            <w:tcMar>
              <w:top w:w="80" w:type="dxa"/>
              <w:start w:w="100" w:type="dxa"/>
              <w:bottom w:w="80" w:type="dxa"/>
              <w:end w:w="100" w:type="dxa"/>
            </w:tcMar>
          </w:tcPr>
          <w:p>
            <w:r>
              <w:rPr>
                <w:sz w:val="20"/>
              </w:rPr>
              <w:t>1</w:t>
            </w:r>
          </w:p>
        </w:tc>
        <w:tc>
          <w:tcPr>
            <w:tcW w:type="dxa" w:w="6912"/>
            <w:vAlign w:val="top"/>
            <w:tcMar>
              <w:top w:w="80" w:type="dxa"/>
              <w:start w:w="100" w:type="dxa"/>
              <w:bottom w:w="80" w:type="dxa"/>
              <w:end w:w="100" w:type="dxa"/>
            </w:tcMar>
          </w:tcPr>
          <w:p>
            <w:r>
              <w:rPr>
                <w:sz w:val="20"/>
              </w:rPr>
              <w:t>stimme eher zu</w:t>
            </w:r>
          </w:p>
        </w:tc>
      </w:tr>
      <w:tr>
        <w:tc>
          <w:tcPr>
            <w:tcW w:type="dxa" w:w="1440"/>
            <w:vAlign w:val="top"/>
            <w:tcMar>
              <w:top w:w="80" w:type="dxa"/>
              <w:start w:w="100" w:type="dxa"/>
              <w:bottom w:w="80" w:type="dxa"/>
              <w:end w:w="100" w:type="dxa"/>
            </w:tcMar>
          </w:tcPr>
          <w:p>
            <w:r>
              <w:rPr>
                <w:sz w:val="20"/>
              </w:rPr>
              <w:t>2</w:t>
            </w:r>
          </w:p>
        </w:tc>
        <w:tc>
          <w:tcPr>
            <w:tcW w:type="dxa" w:w="6912"/>
            <w:vAlign w:val="top"/>
            <w:tcMar>
              <w:top w:w="80" w:type="dxa"/>
              <w:start w:w="100" w:type="dxa"/>
              <w:bottom w:w="80" w:type="dxa"/>
              <w:end w:w="100" w:type="dxa"/>
            </w:tcMar>
          </w:tcPr>
          <w:p>
            <w:r>
              <w:rPr>
                <w:sz w:val="20"/>
              </w:rPr>
              <w:t>stimme vollständig zu</w:t>
            </w:r>
          </w:p>
        </w:tc>
      </w:tr>
      <w:tr>
        <w:tc>
          <w:tcPr>
            <w:tcW w:type="dxa" w:w="1440"/>
            <w:vAlign w:val="top"/>
            <w:tcMar>
              <w:top w:w="80" w:type="dxa"/>
              <w:start w:w="100" w:type="dxa"/>
              <w:bottom w:w="80" w:type="dxa"/>
              <w:end w:w="100" w:type="dxa"/>
            </w:tcMar>
          </w:tcPr>
          <w:p>
            <w:r>
              <w:rPr>
                <w:sz w:val="20"/>
              </w:rPr>
              <w:t>–</w:t>
            </w:r>
          </w:p>
        </w:tc>
        <w:tc>
          <w:tcPr>
            <w:tcW w:type="dxa" w:w="6912"/>
            <w:vAlign w:val="top"/>
            <w:tcMar>
              <w:top w:w="80" w:type="dxa"/>
              <w:start w:w="100" w:type="dxa"/>
              <w:bottom w:w="80" w:type="dxa"/>
              <w:end w:w="100" w:type="dxa"/>
            </w:tcMar>
          </w:tcPr>
          <w:p>
            <w:r>
              <w:rPr>
                <w:sz w:val="20"/>
              </w:rPr>
              <w:t>unsicher oder übersprungen</w:t>
            </w:r>
          </w:p>
        </w:tc>
      </w:tr>
    </w:tbl>
    <w:p/>
    <w:p>
      <w:pPr>
        <w:pStyle w:val="Heading2"/>
      </w:pPr>
      <w:r>
        <w:t>6.2 Persönliche Wichtigkeit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1440"/>
            <w:shd w:fill="DCEAE5"/>
            <w:vAlign w:val="center"/>
            <w:tcMar>
              <w:top w:w="80" w:type="dxa"/>
              <w:start w:w="100" w:type="dxa"/>
              <w:bottom w:w="80" w:type="dxa"/>
              <w:end w:w="100" w:type="dxa"/>
            </w:tcMar>
          </w:tcPr>
          <w:p>
            <w:r>
              <w:rPr>
                <w:b/>
                <w:sz w:val="20"/>
              </w:rPr>
              <w:t>Gewicht</w:t>
            </w:r>
          </w:p>
        </w:tc>
        <w:tc>
          <w:tcPr>
            <w:tcW w:type="dxa" w:w="6912"/>
            <w:shd w:fill="DCEAE5"/>
            <w:vAlign w:val="center"/>
            <w:tcMar>
              <w:top w:w="80" w:type="dxa"/>
              <w:start w:w="100" w:type="dxa"/>
              <w:bottom w:w="80" w:type="dxa"/>
              <w:end w:w="100" w:type="dxa"/>
            </w:tcMar>
          </w:tcPr>
          <w:p>
            <w:r>
              <w:rPr>
                <w:b/>
                <w:sz w:val="20"/>
              </w:rPr>
              <w:t>Bedeutung</w:t>
            </w:r>
          </w:p>
        </w:tc>
      </w:tr>
      <w:tr>
        <w:tc>
          <w:tcPr>
            <w:tcW w:type="dxa" w:w="1440"/>
            <w:vAlign w:val="top"/>
            <w:tcMar>
              <w:top w:w="80" w:type="dxa"/>
              <w:start w:w="100" w:type="dxa"/>
              <w:bottom w:w="80" w:type="dxa"/>
              <w:end w:w="100" w:type="dxa"/>
            </w:tcMar>
          </w:tcPr>
          <w:p>
            <w:r>
              <w:rPr>
                <w:sz w:val="20"/>
              </w:rPr>
              <w:t>0</w:t>
            </w:r>
          </w:p>
        </w:tc>
        <w:tc>
          <w:tcPr>
            <w:tcW w:type="dxa" w:w="6912"/>
            <w:vAlign w:val="top"/>
            <w:tcMar>
              <w:top w:w="80" w:type="dxa"/>
              <w:start w:w="100" w:type="dxa"/>
              <w:bottom w:w="80" w:type="dxa"/>
              <w:end w:w="100" w:type="dxa"/>
            </w:tcMar>
          </w:tcPr>
          <w:p>
            <w:r>
              <w:rPr>
                <w:sz w:val="20"/>
              </w:rPr>
              <w:t>für mich nicht relevant</w:t>
            </w:r>
          </w:p>
        </w:tc>
      </w:tr>
      <w:tr>
        <w:tc>
          <w:tcPr>
            <w:tcW w:type="dxa" w:w="1440"/>
            <w:vAlign w:val="top"/>
            <w:tcMar>
              <w:top w:w="80" w:type="dxa"/>
              <w:start w:w="100" w:type="dxa"/>
              <w:bottom w:w="80" w:type="dxa"/>
              <w:end w:w="100" w:type="dxa"/>
            </w:tcMar>
          </w:tcPr>
          <w:p>
            <w:r>
              <w:rPr>
                <w:sz w:val="20"/>
              </w:rPr>
              <w:t>1</w:t>
            </w:r>
          </w:p>
        </w:tc>
        <w:tc>
          <w:tcPr>
            <w:tcW w:type="dxa" w:w="6912"/>
            <w:vAlign w:val="top"/>
            <w:tcMar>
              <w:top w:w="80" w:type="dxa"/>
              <w:start w:w="100" w:type="dxa"/>
              <w:bottom w:w="80" w:type="dxa"/>
              <w:end w:w="100" w:type="dxa"/>
            </w:tcMar>
          </w:tcPr>
          <w:p>
            <w:r>
              <w:rPr>
                <w:sz w:val="20"/>
              </w:rPr>
              <w:t>eher nachrangig</w:t>
            </w:r>
          </w:p>
        </w:tc>
      </w:tr>
      <w:tr>
        <w:tc>
          <w:tcPr>
            <w:tcW w:type="dxa" w:w="1440"/>
            <w:vAlign w:val="top"/>
            <w:tcMar>
              <w:top w:w="80" w:type="dxa"/>
              <w:start w:w="100" w:type="dxa"/>
              <w:bottom w:w="80" w:type="dxa"/>
              <w:end w:w="100" w:type="dxa"/>
            </w:tcMar>
          </w:tcPr>
          <w:p>
            <w:r>
              <w:rPr>
                <w:sz w:val="20"/>
              </w:rPr>
              <w:t>2</w:t>
            </w:r>
          </w:p>
        </w:tc>
        <w:tc>
          <w:tcPr>
            <w:tcW w:type="dxa" w:w="6912"/>
            <w:vAlign w:val="top"/>
            <w:tcMar>
              <w:top w:w="80" w:type="dxa"/>
              <w:start w:w="100" w:type="dxa"/>
              <w:bottom w:w="80" w:type="dxa"/>
              <w:end w:w="100" w:type="dxa"/>
            </w:tcMar>
          </w:tcPr>
          <w:p>
            <w:r>
              <w:rPr>
                <w:sz w:val="20"/>
              </w:rPr>
              <w:t>wichtig</w:t>
            </w:r>
          </w:p>
        </w:tc>
      </w:tr>
      <w:tr>
        <w:tc>
          <w:tcPr>
            <w:tcW w:type="dxa" w:w="1440"/>
            <w:vAlign w:val="top"/>
            <w:tcMar>
              <w:top w:w="80" w:type="dxa"/>
              <w:start w:w="100" w:type="dxa"/>
              <w:bottom w:w="80" w:type="dxa"/>
              <w:end w:w="100" w:type="dxa"/>
            </w:tcMar>
          </w:tcPr>
          <w:p>
            <w:r>
              <w:rPr>
                <w:sz w:val="20"/>
              </w:rPr>
              <w:t>3</w:t>
            </w:r>
          </w:p>
        </w:tc>
        <w:tc>
          <w:tcPr>
            <w:tcW w:type="dxa" w:w="6912"/>
            <w:vAlign w:val="top"/>
            <w:tcMar>
              <w:top w:w="80" w:type="dxa"/>
              <w:start w:w="100" w:type="dxa"/>
              <w:bottom w:w="80" w:type="dxa"/>
              <w:end w:w="100" w:type="dxa"/>
            </w:tcMar>
          </w:tcPr>
          <w:p>
            <w:r>
              <w:rPr>
                <w:sz w:val="20"/>
              </w:rPr>
              <w:t>sehr wichtig</w:t>
            </w:r>
          </w:p>
        </w:tc>
      </w:tr>
    </w:tbl>
    <w:p/>
    <w:p>
      <w:pPr>
        <w:pStyle w:val="Heading2"/>
      </w:pPr>
      <w:r>
        <w:t>6.3 Positionale Nähe</w:t>
      </w:r>
    </w:p>
    <w:p>
      <w:r>
        <w:t>Die positionale Nähe wird nur auf beantwortete Fragen berechnet. Sie vergleicht die Nutzerantwort mit der autorisierten oder redaktionell belegten Parteiposition. Die persönliche Wichtigkeit wirkt als Gewicht. Unsichere oder übersprungene Antworten werden nicht als neutral gezählt, sondern aus dem Nenner entfernt.</w:t>
      </w:r>
    </w:p>
    <w:p>
      <w:r>
        <w:t>Empfohlene interne Formel je Frage: Nähe = 1 - |Nutzerwert - Parteiwert| / 4. Das Ergebnis liegt zwischen 0 und 1. Es darf in der Oberfläche themenbezogen qualitativ dargestellt werden, beispielsweise „hoch“, „mittel“, „gering“ oder „gegensätzlich“. Eine parteiübergreifende Gesamtprozentzahl wird nicht angezeigt.</w:t>
      </w:r>
    </w:p>
    <w:p>
      <w:pPr>
        <w:pStyle w:val="Heading2"/>
      </w:pPr>
      <w:r>
        <w:t>6.4 Wirkungspotenzial</w:t>
      </w:r>
    </w:p>
    <w:p>
      <w:r>
        <w:t>Wirkungspotenziale werden nicht aus Nutzerantworten berechnet. Sie stammen aus einer redaktionell und wissenschaftlich geprüften Wirkungsanalyse politischer Optionen. Für den Prototyp werden ausschließlich Demo-Werte genutzt.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16"/>
            <w:shd w:fill="DCEAE5"/>
            <w:vAlign w:val="center"/>
            <w:tcMar>
              <w:top w:w="80" w:type="dxa"/>
              <w:start w:w="100" w:type="dxa"/>
              <w:bottom w:w="80" w:type="dxa"/>
              <w:end w:w="100" w:type="dxa"/>
            </w:tcMar>
          </w:tcPr>
          <w:p>
            <w:r>
              <w:rPr>
                <w:b/>
                <w:sz w:val="18"/>
              </w:rPr>
              <w:t>Feld</w:t>
            </w:r>
          </w:p>
        </w:tc>
        <w:tc>
          <w:tcPr>
            <w:tcW w:type="dxa" w:w="1872"/>
            <w:shd w:fill="DCEAE5"/>
            <w:vAlign w:val="center"/>
            <w:tcMar>
              <w:top w:w="80" w:type="dxa"/>
              <w:start w:w="100" w:type="dxa"/>
              <w:bottom w:w="80" w:type="dxa"/>
              <w:end w:w="100" w:type="dxa"/>
            </w:tcMar>
          </w:tcPr>
          <w:p>
            <w:r>
              <w:rPr>
                <w:b/>
                <w:sz w:val="18"/>
              </w:rPr>
              <w:t>Wertebereich</w:t>
            </w:r>
          </w:p>
        </w:tc>
        <w:tc>
          <w:tcPr>
            <w:tcW w:type="dxa" w:w="4896"/>
            <w:shd w:fill="DCEAE5"/>
            <w:vAlign w:val="center"/>
            <w:tcMar>
              <w:top w:w="80" w:type="dxa"/>
              <w:start w:w="100" w:type="dxa"/>
              <w:bottom w:w="80" w:type="dxa"/>
              <w:end w:w="100" w:type="dxa"/>
            </w:tcMar>
          </w:tcPr>
          <w:p>
            <w:r>
              <w:rPr>
                <w:b/>
                <w:sz w:val="18"/>
              </w:rPr>
              <w:t>Bedeutung</w:t>
            </w:r>
          </w:p>
        </w:tc>
      </w:tr>
      <w:tr>
        <w:tc>
          <w:tcPr>
            <w:tcW w:type="dxa" w:w="2016"/>
            <w:vAlign w:val="top"/>
            <w:tcMar>
              <w:top w:w="80" w:type="dxa"/>
              <w:start w:w="100" w:type="dxa"/>
              <w:bottom w:w="80" w:type="dxa"/>
              <w:end w:w="100" w:type="dxa"/>
            </w:tcMar>
          </w:tcPr>
          <w:p>
            <w:r>
              <w:rPr>
                <w:sz w:val="18"/>
              </w:rPr>
              <w:t>Richtung</w:t>
            </w:r>
          </w:p>
        </w:tc>
        <w:tc>
          <w:tcPr>
            <w:tcW w:type="dxa" w:w="1872"/>
            <w:vAlign w:val="top"/>
            <w:tcMar>
              <w:top w:w="80" w:type="dxa"/>
              <w:start w:w="100" w:type="dxa"/>
              <w:bottom w:w="80" w:type="dxa"/>
              <w:end w:w="100" w:type="dxa"/>
            </w:tcMar>
          </w:tcPr>
          <w:p>
            <w:r>
              <w:rPr>
                <w:sz w:val="18"/>
              </w:rPr>
              <w:t>-3 bis +3</w:t>
            </w:r>
          </w:p>
        </w:tc>
        <w:tc>
          <w:tcPr>
            <w:tcW w:type="dxa" w:w="4896"/>
            <w:vAlign w:val="top"/>
            <w:tcMar>
              <w:top w:w="80" w:type="dxa"/>
              <w:start w:w="100" w:type="dxa"/>
              <w:bottom w:w="80" w:type="dxa"/>
              <w:end w:w="100" w:type="dxa"/>
            </w:tcMar>
          </w:tcPr>
          <w:p>
            <w:r>
              <w:rPr>
                <w:sz w:val="18"/>
              </w:rPr>
              <w:t>von stark negativ bis stark positiv</w:t>
            </w:r>
          </w:p>
        </w:tc>
      </w:tr>
      <w:tr>
        <w:tc>
          <w:tcPr>
            <w:tcW w:type="dxa" w:w="2016"/>
            <w:vAlign w:val="top"/>
            <w:tcMar>
              <w:top w:w="80" w:type="dxa"/>
              <w:start w:w="100" w:type="dxa"/>
              <w:bottom w:w="80" w:type="dxa"/>
              <w:end w:w="100" w:type="dxa"/>
            </w:tcMar>
          </w:tcPr>
          <w:p>
            <w:r>
              <w:rPr>
                <w:sz w:val="18"/>
              </w:rPr>
              <w:t>Evidenz</w:t>
            </w:r>
          </w:p>
        </w:tc>
        <w:tc>
          <w:tcPr>
            <w:tcW w:type="dxa" w:w="1872"/>
            <w:vAlign w:val="top"/>
            <w:tcMar>
              <w:top w:w="80" w:type="dxa"/>
              <w:start w:w="100" w:type="dxa"/>
              <w:bottom w:w="80" w:type="dxa"/>
              <w:end w:w="100" w:type="dxa"/>
            </w:tcMar>
          </w:tcPr>
          <w:p>
            <w:r>
              <w:rPr>
                <w:sz w:val="18"/>
              </w:rPr>
              <w:t>niedrig / mittel / hoch</w:t>
            </w:r>
          </w:p>
        </w:tc>
        <w:tc>
          <w:tcPr>
            <w:tcW w:type="dxa" w:w="4896"/>
            <w:vAlign w:val="top"/>
            <w:tcMar>
              <w:top w:w="80" w:type="dxa"/>
              <w:start w:w="100" w:type="dxa"/>
              <w:bottom w:w="80" w:type="dxa"/>
              <w:end w:w="100" w:type="dxa"/>
            </w:tcMar>
          </w:tcPr>
          <w:p>
            <w:r>
              <w:rPr>
                <w:sz w:val="18"/>
              </w:rPr>
              <w:t>Belastbarkeit der zugrunde liegenden Erkenntnisse</w:t>
            </w:r>
          </w:p>
        </w:tc>
      </w:tr>
      <w:tr>
        <w:tc>
          <w:tcPr>
            <w:tcW w:type="dxa" w:w="2016"/>
            <w:vAlign w:val="top"/>
            <w:tcMar>
              <w:top w:w="80" w:type="dxa"/>
              <w:start w:w="100" w:type="dxa"/>
              <w:bottom w:w="80" w:type="dxa"/>
              <w:end w:w="100" w:type="dxa"/>
            </w:tcMar>
          </w:tcPr>
          <w:p>
            <w:r>
              <w:rPr>
                <w:sz w:val="18"/>
              </w:rPr>
              <w:t>Unsicherheit</w:t>
            </w:r>
          </w:p>
        </w:tc>
        <w:tc>
          <w:tcPr>
            <w:tcW w:type="dxa" w:w="1872"/>
            <w:vAlign w:val="top"/>
            <w:tcMar>
              <w:top w:w="80" w:type="dxa"/>
              <w:start w:w="100" w:type="dxa"/>
              <w:bottom w:w="80" w:type="dxa"/>
              <w:end w:w="100" w:type="dxa"/>
            </w:tcMar>
          </w:tcPr>
          <w:p>
            <w:r>
              <w:rPr>
                <w:sz w:val="18"/>
              </w:rPr>
              <w:t>niedrig / mittel / hoch</w:t>
            </w:r>
          </w:p>
        </w:tc>
        <w:tc>
          <w:tcPr>
            <w:tcW w:type="dxa" w:w="4896"/>
            <w:vAlign w:val="top"/>
            <w:tcMar>
              <w:top w:w="80" w:type="dxa"/>
              <w:start w:w="100" w:type="dxa"/>
              <w:bottom w:w="80" w:type="dxa"/>
              <w:end w:w="100" w:type="dxa"/>
            </w:tcMar>
          </w:tcPr>
          <w:p>
            <w:r>
              <w:rPr>
                <w:sz w:val="18"/>
              </w:rPr>
              <w:t>Bandbreite und offene Annahmen</w:t>
            </w:r>
          </w:p>
        </w:tc>
      </w:tr>
      <w:tr>
        <w:tc>
          <w:tcPr>
            <w:tcW w:type="dxa" w:w="2016"/>
            <w:vAlign w:val="top"/>
            <w:tcMar>
              <w:top w:w="80" w:type="dxa"/>
              <w:start w:w="100" w:type="dxa"/>
              <w:bottom w:w="80" w:type="dxa"/>
              <w:end w:w="100" w:type="dxa"/>
            </w:tcMar>
          </w:tcPr>
          <w:p>
            <w:r>
              <w:rPr>
                <w:sz w:val="18"/>
              </w:rPr>
              <w:t>Zeithorizont</w:t>
            </w:r>
          </w:p>
        </w:tc>
        <w:tc>
          <w:tcPr>
            <w:tcW w:type="dxa" w:w="1872"/>
            <w:vAlign w:val="top"/>
            <w:tcMar>
              <w:top w:w="80" w:type="dxa"/>
              <w:start w:w="100" w:type="dxa"/>
              <w:bottom w:w="80" w:type="dxa"/>
              <w:end w:w="100" w:type="dxa"/>
            </w:tcMar>
          </w:tcPr>
          <w:p>
            <w:r>
              <w:rPr>
                <w:sz w:val="18"/>
              </w:rPr>
              <w:t>kurz / mittel / lang</w:t>
            </w:r>
          </w:p>
        </w:tc>
        <w:tc>
          <w:tcPr>
            <w:tcW w:type="dxa" w:w="4896"/>
            <w:vAlign w:val="top"/>
            <w:tcMar>
              <w:top w:w="80" w:type="dxa"/>
              <w:start w:w="100" w:type="dxa"/>
              <w:bottom w:w="80" w:type="dxa"/>
              <w:end w:w="100" w:type="dxa"/>
            </w:tcMar>
          </w:tcPr>
          <w:p>
            <w:r>
              <w:rPr>
                <w:sz w:val="18"/>
              </w:rPr>
              <w:t>Zeitpunkt des erwartbaren Eintritts</w:t>
            </w:r>
          </w:p>
        </w:tc>
      </w:tr>
      <w:tr>
        <w:tc>
          <w:tcPr>
            <w:tcW w:type="dxa" w:w="2016"/>
            <w:vAlign w:val="top"/>
            <w:tcMar>
              <w:top w:w="80" w:type="dxa"/>
              <w:start w:w="100" w:type="dxa"/>
              <w:bottom w:w="80" w:type="dxa"/>
              <w:end w:w="100" w:type="dxa"/>
            </w:tcMar>
          </w:tcPr>
          <w:p>
            <w:r>
              <w:rPr>
                <w:sz w:val="18"/>
              </w:rPr>
              <w:t>Status</w:t>
            </w:r>
          </w:p>
        </w:tc>
        <w:tc>
          <w:tcPr>
            <w:tcW w:type="dxa" w:w="1872"/>
            <w:vAlign w:val="top"/>
            <w:tcMar>
              <w:top w:w="80" w:type="dxa"/>
              <w:start w:w="100" w:type="dxa"/>
              <w:bottom w:w="80" w:type="dxa"/>
              <w:end w:w="100" w:type="dxa"/>
            </w:tcMar>
          </w:tcPr>
          <w:p>
            <w:r>
              <w:rPr>
                <w:sz w:val="18"/>
              </w:rPr>
              <w:t>Potenzial / beobachtete Wirkung</w:t>
            </w:r>
          </w:p>
        </w:tc>
        <w:tc>
          <w:tcPr>
            <w:tcW w:type="dxa" w:w="4896"/>
            <w:vAlign w:val="top"/>
            <w:tcMar>
              <w:top w:w="80" w:type="dxa"/>
              <w:start w:w="100" w:type="dxa"/>
              <w:bottom w:w="80" w:type="dxa"/>
              <w:end w:w="100" w:type="dxa"/>
            </w:tcMar>
          </w:tcPr>
          <w:p>
            <w:r>
              <w:rPr>
                <w:sz w:val="18"/>
              </w:rPr>
              <w:t>Prognose oder empirischer Befund</w:t>
            </w:r>
          </w:p>
        </w:tc>
      </w:tr>
    </w:tbl>
    <w:p/>
    <w:p>
      <w:pPr>
        <w:pStyle w:val="Heading2"/>
      </w:pPr>
      <w:r>
        <w:t>6.5 Nichtkompensationsprinzip</w:t>
      </w:r>
    </w:p>
    <w:p>
      <w:r>
        <w:t>Schwere negative Wirkungen in zentralen Mindestbereichen dürfen nicht durch positive Werte in anderen Bereichen verdeckt werden. Sie werden nicht in einen Durchschnitt eingerechnet, sondern separat ausgewiesen.</w:t>
      </w:r>
    </w:p>
    <w:p>
      <w:pPr>
        <w:pStyle w:val="ListBullet"/>
      </w:pPr>
      <w:r>
        <w:t>Menschenwürde und elementare Grundrechte</w:t>
      </w:r>
    </w:p>
    <w:p>
      <w:pPr>
        <w:pStyle w:val="ListBullet"/>
      </w:pPr>
      <w:r>
        <w:t>Kinder- und Zwangsarbeit</w:t>
      </w:r>
    </w:p>
    <w:p>
      <w:pPr>
        <w:pStyle w:val="ListBullet"/>
      </w:pPr>
      <w:r>
        <w:t>schwere oder irreversible ökologische Schäden</w:t>
      </w:r>
    </w:p>
    <w:p>
      <w:pPr>
        <w:pStyle w:val="ListBullet"/>
      </w:pPr>
      <w:r>
        <w:t>erhebliche Gesundheits- und Sicherheitsrisiken</w:t>
      </w:r>
    </w:p>
    <w:p>
      <w:pPr>
        <w:pStyle w:val="ListBullet"/>
      </w:pPr>
      <w:r>
        <w:t>systematische Schwächung von Rechtsstaatlichkeit, freien Wahlen oder demokratischer Kontrolle</w:t>
      </w:r>
    </w:p>
    <w:p>
      <w:pPr>
        <w:pStyle w:val="ListBullet"/>
      </w:pPr>
      <w:r>
        <w:t>gezielte Desinformation oder institutionelle Unterwanderung mit erheblichem Destabilisierungspotenzial</w:t>
      </w:r>
    </w:p>
    <w:p>
      <w:pPr>
        <w:pStyle w:val="Heading1"/>
      </w:pPr>
      <w:r>
        <w:t>7. Wirkungsdimensionen und Darstellungslogik</w:t>
      </w:r>
    </w:p>
    <w:p>
      <w:r>
        <w:t>Für den Prototyp werden acht verständliche Wirkungsdimensionen verwendet. Sie sind eine nutzerfreundliche Aggregation des umfassenderen Referenzrahmens und müssen später auf SDGs, SDG+ und Indikatoren zurückführbar sein.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160"/>
            <w:shd w:fill="DCEAE5"/>
            <w:vAlign w:val="center"/>
            <w:tcMar>
              <w:top w:w="80" w:type="dxa"/>
              <w:start w:w="100" w:type="dxa"/>
              <w:bottom w:w="80" w:type="dxa"/>
              <w:end w:w="100" w:type="dxa"/>
            </w:tcMar>
          </w:tcPr>
          <w:p>
            <w:r>
              <w:rPr>
                <w:b/>
                <w:sz w:val="17"/>
              </w:rPr>
              <w:t>Dimension</w:t>
            </w:r>
          </w:p>
        </w:tc>
        <w:tc>
          <w:tcPr>
            <w:tcW w:type="dxa" w:w="3168"/>
            <w:shd w:fill="DCEAE5"/>
            <w:vAlign w:val="center"/>
            <w:tcMar>
              <w:top w:w="80" w:type="dxa"/>
              <w:start w:w="100" w:type="dxa"/>
              <w:bottom w:w="80" w:type="dxa"/>
              <w:end w:w="100" w:type="dxa"/>
            </w:tcMar>
          </w:tcPr>
          <w:p>
            <w:r>
              <w:rPr>
                <w:b/>
                <w:sz w:val="17"/>
              </w:rPr>
              <w:t>Leitfrage</w:t>
            </w:r>
          </w:p>
        </w:tc>
        <w:tc>
          <w:tcPr>
            <w:tcW w:type="dxa" w:w="3600"/>
            <w:shd w:fill="DCEAE5"/>
            <w:vAlign w:val="center"/>
            <w:tcMar>
              <w:top w:w="80" w:type="dxa"/>
              <w:start w:w="100" w:type="dxa"/>
              <w:bottom w:w="80" w:type="dxa"/>
              <w:end w:w="100" w:type="dxa"/>
            </w:tcMar>
          </w:tcPr>
          <w:p>
            <w:r>
              <w:rPr>
                <w:b/>
                <w:sz w:val="17"/>
              </w:rPr>
              <w:t>Beispiele</w:t>
            </w:r>
          </w:p>
        </w:tc>
      </w:tr>
      <w:tr>
        <w:tc>
          <w:tcPr>
            <w:tcW w:type="dxa" w:w="2160"/>
            <w:vAlign w:val="top"/>
            <w:tcMar>
              <w:top w:w="80" w:type="dxa"/>
              <w:start w:w="100" w:type="dxa"/>
              <w:bottom w:w="80" w:type="dxa"/>
              <w:end w:w="100" w:type="dxa"/>
            </w:tcMar>
          </w:tcPr>
          <w:p>
            <w:r>
              <w:rPr>
                <w:sz w:val="17"/>
              </w:rPr>
              <w:t>Soziale Sicherheit und Fairness</w:t>
            </w:r>
          </w:p>
        </w:tc>
        <w:tc>
          <w:tcPr>
            <w:tcW w:type="dxa" w:w="3168"/>
            <w:vAlign w:val="top"/>
            <w:tcMar>
              <w:top w:w="80" w:type="dxa"/>
              <w:start w:w="100" w:type="dxa"/>
              <w:bottom w:w="80" w:type="dxa"/>
              <w:end w:w="100" w:type="dxa"/>
            </w:tcMar>
          </w:tcPr>
          <w:p>
            <w:r>
              <w:rPr>
                <w:sz w:val="17"/>
              </w:rPr>
              <w:t>Stärkt die Option materielle Sicherheit und faire Verteilung?</w:t>
            </w:r>
          </w:p>
        </w:tc>
        <w:tc>
          <w:tcPr>
            <w:tcW w:type="dxa" w:w="3600"/>
            <w:vAlign w:val="top"/>
            <w:tcMar>
              <w:top w:w="80" w:type="dxa"/>
              <w:start w:w="100" w:type="dxa"/>
              <w:bottom w:w="80" w:type="dxa"/>
              <w:end w:w="100" w:type="dxa"/>
            </w:tcMar>
          </w:tcPr>
          <w:p>
            <w:r>
              <w:rPr>
                <w:sz w:val="17"/>
              </w:rPr>
              <w:t>Einkommen, Armut, Arbeit, Wohnen</w:t>
            </w:r>
          </w:p>
        </w:tc>
      </w:tr>
      <w:tr>
        <w:tc>
          <w:tcPr>
            <w:tcW w:type="dxa" w:w="2160"/>
            <w:vAlign w:val="top"/>
            <w:tcMar>
              <w:top w:w="80" w:type="dxa"/>
              <w:start w:w="100" w:type="dxa"/>
              <w:bottom w:w="80" w:type="dxa"/>
              <w:end w:w="100" w:type="dxa"/>
            </w:tcMar>
          </w:tcPr>
          <w:p>
            <w:r>
              <w:rPr>
                <w:sz w:val="17"/>
              </w:rPr>
              <w:t>Gesundheit, Bildung und Teilhabe</w:t>
            </w:r>
          </w:p>
        </w:tc>
        <w:tc>
          <w:tcPr>
            <w:tcW w:type="dxa" w:w="3168"/>
            <w:vAlign w:val="top"/>
            <w:tcMar>
              <w:top w:w="80" w:type="dxa"/>
              <w:start w:w="100" w:type="dxa"/>
              <w:bottom w:w="80" w:type="dxa"/>
              <w:end w:w="100" w:type="dxa"/>
            </w:tcMar>
          </w:tcPr>
          <w:p>
            <w:r>
              <w:rPr>
                <w:sz w:val="17"/>
              </w:rPr>
              <w:t>Verbessert sie Lebensqualität und Zugangschancen?</w:t>
            </w:r>
          </w:p>
        </w:tc>
        <w:tc>
          <w:tcPr>
            <w:tcW w:type="dxa" w:w="3600"/>
            <w:vAlign w:val="top"/>
            <w:tcMar>
              <w:top w:w="80" w:type="dxa"/>
              <w:start w:w="100" w:type="dxa"/>
              <w:bottom w:w="80" w:type="dxa"/>
              <w:end w:w="100" w:type="dxa"/>
            </w:tcMar>
          </w:tcPr>
          <w:p>
            <w:r>
              <w:rPr>
                <w:sz w:val="17"/>
              </w:rPr>
              <w:t>Prävention, Pflege, Schulen, Barrierefreiheit</w:t>
            </w:r>
          </w:p>
        </w:tc>
      </w:tr>
      <w:tr>
        <w:tc>
          <w:tcPr>
            <w:tcW w:type="dxa" w:w="2160"/>
            <w:vAlign w:val="top"/>
            <w:tcMar>
              <w:top w:w="80" w:type="dxa"/>
              <w:start w:w="100" w:type="dxa"/>
              <w:bottom w:w="80" w:type="dxa"/>
              <w:end w:w="100" w:type="dxa"/>
            </w:tcMar>
          </w:tcPr>
          <w:p>
            <w:r>
              <w:rPr>
                <w:sz w:val="17"/>
              </w:rPr>
              <w:t>Freiheit und Selbstbestimmung</w:t>
            </w:r>
          </w:p>
        </w:tc>
        <w:tc>
          <w:tcPr>
            <w:tcW w:type="dxa" w:w="3168"/>
            <w:vAlign w:val="top"/>
            <w:tcMar>
              <w:top w:w="80" w:type="dxa"/>
              <w:start w:w="100" w:type="dxa"/>
              <w:bottom w:w="80" w:type="dxa"/>
              <w:end w:w="100" w:type="dxa"/>
            </w:tcMar>
          </w:tcPr>
          <w:p>
            <w:r>
              <w:rPr>
                <w:sz w:val="17"/>
              </w:rPr>
              <w:t>Schützt sie individuelle Handlungs- und Lebensfreiheit?</w:t>
            </w:r>
          </w:p>
        </w:tc>
        <w:tc>
          <w:tcPr>
            <w:tcW w:type="dxa" w:w="3600"/>
            <w:vAlign w:val="top"/>
            <w:tcMar>
              <w:top w:w="80" w:type="dxa"/>
              <w:start w:w="100" w:type="dxa"/>
              <w:bottom w:w="80" w:type="dxa"/>
              <w:end w:w="100" w:type="dxa"/>
            </w:tcMar>
          </w:tcPr>
          <w:p>
            <w:r>
              <w:rPr>
                <w:sz w:val="17"/>
              </w:rPr>
              <w:t>Privatsphäre, Gleichberechtigung, Wahlmöglichkeiten</w:t>
            </w:r>
          </w:p>
        </w:tc>
      </w:tr>
      <w:tr>
        <w:tc>
          <w:tcPr>
            <w:tcW w:type="dxa" w:w="2160"/>
            <w:vAlign w:val="top"/>
            <w:tcMar>
              <w:top w:w="80" w:type="dxa"/>
              <w:start w:w="100" w:type="dxa"/>
              <w:bottom w:w="80" w:type="dxa"/>
              <w:end w:w="100" w:type="dxa"/>
            </w:tcMar>
          </w:tcPr>
          <w:p>
            <w:r>
              <w:rPr>
                <w:sz w:val="17"/>
              </w:rPr>
              <w:t>Klima und Energie</w:t>
            </w:r>
          </w:p>
        </w:tc>
        <w:tc>
          <w:tcPr>
            <w:tcW w:type="dxa" w:w="3168"/>
            <w:vAlign w:val="top"/>
            <w:tcMar>
              <w:top w:w="80" w:type="dxa"/>
              <w:start w:w="100" w:type="dxa"/>
              <w:bottom w:w="80" w:type="dxa"/>
              <w:end w:w="100" w:type="dxa"/>
            </w:tcMar>
          </w:tcPr>
          <w:p>
            <w:r>
              <w:rPr>
                <w:sz w:val="17"/>
              </w:rPr>
              <w:t>Stabilisiert sie Klima und Versorgung?</w:t>
            </w:r>
          </w:p>
        </w:tc>
        <w:tc>
          <w:tcPr>
            <w:tcW w:type="dxa" w:w="3600"/>
            <w:vAlign w:val="top"/>
            <w:tcMar>
              <w:top w:w="80" w:type="dxa"/>
              <w:start w:w="100" w:type="dxa"/>
              <w:bottom w:w="80" w:type="dxa"/>
              <w:end w:w="100" w:type="dxa"/>
            </w:tcMar>
          </w:tcPr>
          <w:p>
            <w:r>
              <w:rPr>
                <w:sz w:val="17"/>
              </w:rPr>
              <w:t>Emissionen, Energiesystem, Abhängigkeiten</w:t>
            </w:r>
          </w:p>
        </w:tc>
      </w:tr>
      <w:tr>
        <w:tc>
          <w:tcPr>
            <w:tcW w:type="dxa" w:w="2160"/>
            <w:vAlign w:val="top"/>
            <w:tcMar>
              <w:top w:w="80" w:type="dxa"/>
              <w:start w:w="100" w:type="dxa"/>
              <w:bottom w:w="80" w:type="dxa"/>
              <w:end w:w="100" w:type="dxa"/>
            </w:tcMar>
          </w:tcPr>
          <w:p>
            <w:r>
              <w:rPr>
                <w:sz w:val="17"/>
              </w:rPr>
              <w:t>Ressourcen und Biodiversität</w:t>
            </w:r>
          </w:p>
        </w:tc>
        <w:tc>
          <w:tcPr>
            <w:tcW w:type="dxa" w:w="3168"/>
            <w:vAlign w:val="top"/>
            <w:tcMar>
              <w:top w:w="80" w:type="dxa"/>
              <w:start w:w="100" w:type="dxa"/>
              <w:bottom w:w="80" w:type="dxa"/>
              <w:end w:w="100" w:type="dxa"/>
            </w:tcMar>
          </w:tcPr>
          <w:p>
            <w:r>
              <w:rPr>
                <w:sz w:val="17"/>
              </w:rPr>
              <w:t>Schont oder regeneriert sie natürliche Systeme?</w:t>
            </w:r>
          </w:p>
        </w:tc>
        <w:tc>
          <w:tcPr>
            <w:tcW w:type="dxa" w:w="3600"/>
            <w:vAlign w:val="top"/>
            <w:tcMar>
              <w:top w:w="80" w:type="dxa"/>
              <w:start w:w="100" w:type="dxa"/>
              <w:bottom w:w="80" w:type="dxa"/>
              <w:end w:w="100" w:type="dxa"/>
            </w:tcMar>
          </w:tcPr>
          <w:p>
            <w:r>
              <w:rPr>
                <w:sz w:val="17"/>
              </w:rPr>
              <w:t>Wasser, Boden, Kreisläufe, Artenvielfalt</w:t>
            </w:r>
          </w:p>
        </w:tc>
      </w:tr>
      <w:tr>
        <w:tc>
          <w:tcPr>
            <w:tcW w:type="dxa" w:w="2160"/>
            <w:vAlign w:val="top"/>
            <w:tcMar>
              <w:top w:w="80" w:type="dxa"/>
              <w:start w:w="100" w:type="dxa"/>
              <w:bottom w:w="80" w:type="dxa"/>
              <w:end w:w="100" w:type="dxa"/>
            </w:tcMar>
          </w:tcPr>
          <w:p>
            <w:r>
              <w:rPr>
                <w:sz w:val="17"/>
              </w:rPr>
              <w:t>Resilienz und Generationengerechtigkeit</w:t>
            </w:r>
          </w:p>
        </w:tc>
        <w:tc>
          <w:tcPr>
            <w:tcW w:type="dxa" w:w="3168"/>
            <w:vAlign w:val="top"/>
            <w:tcMar>
              <w:top w:w="80" w:type="dxa"/>
              <w:start w:w="100" w:type="dxa"/>
              <w:bottom w:w="80" w:type="dxa"/>
              <w:end w:w="100" w:type="dxa"/>
            </w:tcMar>
          </w:tcPr>
          <w:p>
            <w:r>
              <w:rPr>
                <w:sz w:val="17"/>
              </w:rPr>
              <w:t>Macht sie Systeme langfristig widerstandsfähiger?</w:t>
            </w:r>
          </w:p>
        </w:tc>
        <w:tc>
          <w:tcPr>
            <w:tcW w:type="dxa" w:w="3600"/>
            <w:vAlign w:val="top"/>
            <w:tcMar>
              <w:top w:w="80" w:type="dxa"/>
              <w:start w:w="100" w:type="dxa"/>
              <w:bottom w:w="80" w:type="dxa"/>
              <w:end w:w="100" w:type="dxa"/>
            </w:tcMar>
          </w:tcPr>
          <w:p>
            <w:r>
              <w:rPr>
                <w:sz w:val="17"/>
              </w:rPr>
              <w:t>Vorsorge, Infrastruktur, Zukunftskosten</w:t>
            </w:r>
          </w:p>
        </w:tc>
      </w:tr>
      <w:tr>
        <w:tc>
          <w:tcPr>
            <w:tcW w:type="dxa" w:w="2160"/>
            <w:vAlign w:val="top"/>
            <w:tcMar>
              <w:top w:w="80" w:type="dxa"/>
              <w:start w:w="100" w:type="dxa"/>
              <w:bottom w:w="80" w:type="dxa"/>
              <w:end w:w="100" w:type="dxa"/>
            </w:tcMar>
          </w:tcPr>
          <w:p>
            <w:r>
              <w:rPr>
                <w:sz w:val="17"/>
              </w:rPr>
              <w:t>Rechtsstaat und Grundrechte</w:t>
            </w:r>
          </w:p>
        </w:tc>
        <w:tc>
          <w:tcPr>
            <w:tcW w:type="dxa" w:w="3168"/>
            <w:vAlign w:val="top"/>
            <w:tcMar>
              <w:top w:w="80" w:type="dxa"/>
              <w:start w:w="100" w:type="dxa"/>
              <w:bottom w:w="80" w:type="dxa"/>
              <w:end w:w="100" w:type="dxa"/>
            </w:tcMar>
          </w:tcPr>
          <w:p>
            <w:r>
              <w:rPr>
                <w:sz w:val="17"/>
              </w:rPr>
              <w:t>Stärkt sie unabhängige Institutionen und Schutzrechte?</w:t>
            </w:r>
          </w:p>
        </w:tc>
        <w:tc>
          <w:tcPr>
            <w:tcW w:type="dxa" w:w="3600"/>
            <w:vAlign w:val="top"/>
            <w:tcMar>
              <w:top w:w="80" w:type="dxa"/>
              <w:start w:w="100" w:type="dxa"/>
              <w:bottom w:w="80" w:type="dxa"/>
              <w:end w:w="100" w:type="dxa"/>
            </w:tcMar>
          </w:tcPr>
          <w:p>
            <w:r>
              <w:rPr>
                <w:sz w:val="17"/>
              </w:rPr>
              <w:t>Justiz, Gewaltenteilung, Minderheitenschutz</w:t>
            </w:r>
          </w:p>
        </w:tc>
      </w:tr>
      <w:tr>
        <w:tc>
          <w:tcPr>
            <w:tcW w:type="dxa" w:w="2160"/>
            <w:vAlign w:val="top"/>
            <w:tcMar>
              <w:top w:w="80" w:type="dxa"/>
              <w:start w:w="100" w:type="dxa"/>
              <w:bottom w:w="80" w:type="dxa"/>
              <w:end w:w="100" w:type="dxa"/>
            </w:tcMar>
          </w:tcPr>
          <w:p>
            <w:r>
              <w:rPr>
                <w:sz w:val="17"/>
              </w:rPr>
              <w:t>Informationsqualität und demokratischer Zusammenhalt</w:t>
            </w:r>
          </w:p>
        </w:tc>
        <w:tc>
          <w:tcPr>
            <w:tcW w:type="dxa" w:w="3168"/>
            <w:vAlign w:val="top"/>
            <w:tcMar>
              <w:top w:w="80" w:type="dxa"/>
              <w:start w:w="100" w:type="dxa"/>
              <w:bottom w:w="80" w:type="dxa"/>
              <w:end w:w="100" w:type="dxa"/>
            </w:tcMar>
          </w:tcPr>
          <w:p>
            <w:r>
              <w:rPr>
                <w:sz w:val="17"/>
              </w:rPr>
              <w:t>Verbessert sie Wahrheit, Diskurs und Vertrauen?</w:t>
            </w:r>
          </w:p>
        </w:tc>
        <w:tc>
          <w:tcPr>
            <w:tcW w:type="dxa" w:w="3600"/>
            <w:vAlign w:val="top"/>
            <w:tcMar>
              <w:top w:w="80" w:type="dxa"/>
              <w:start w:w="100" w:type="dxa"/>
              <w:bottom w:w="80" w:type="dxa"/>
              <w:end w:w="100" w:type="dxa"/>
            </w:tcMar>
          </w:tcPr>
          <w:p>
            <w:r>
              <w:rPr>
                <w:sz w:val="17"/>
              </w:rPr>
              <w:t>Medien, Transparenz, Desinformation, Beteiligung</w:t>
            </w:r>
          </w:p>
        </w:tc>
      </w:tr>
    </w:tbl>
    <w:p/>
    <w:p>
      <w:pPr>
        <w:pStyle w:val="Heading2"/>
      </w:pPr>
      <w:r>
        <w:t>7.1 Darstellungsregeln</w:t>
      </w:r>
    </w:p>
    <w:p>
      <w:pPr>
        <w:pStyle w:val="ListBullet"/>
      </w:pPr>
      <w:r>
        <w:t>Ein persönliches Radar zeigt Wichtigkeit, nicht Güte.</w:t>
      </w:r>
    </w:p>
    <w:p>
      <w:pPr>
        <w:pStyle w:val="ListBullet"/>
      </w:pPr>
      <w:r>
        <w:t>Parteiprofile werden als Small Multiples, nicht als sieben überlagerte Linien dargestellt.</w:t>
      </w:r>
    </w:p>
    <w:p>
      <w:pPr>
        <w:pStyle w:val="ListBullet"/>
      </w:pPr>
      <w:r>
        <w:t>Die Vergleichsmatrix ist die primäre Übersicht.</w:t>
      </w:r>
    </w:p>
    <w:p>
      <w:pPr>
        <w:pStyle w:val="ListBullet"/>
      </w:pPr>
      <w:r>
        <w:t>Unsicherheit wird sichtbar und nicht still eingerechnet.</w:t>
      </w:r>
    </w:p>
    <w:p>
      <w:pPr>
        <w:pStyle w:val="ListBullet"/>
      </w:pPr>
      <w:r>
        <w:t>Positive und negative Wirkung wird nie ausschließlich über Farbe vermittelt.</w:t>
      </w:r>
    </w:p>
    <w:p>
      <w:pPr>
        <w:pStyle w:val="ListBullet"/>
      </w:pPr>
      <w:r>
        <w:t>Demokratische Mindestbedingungen werden nicht mit Klima- oder Wirtschaftswerten verrechnet.</w:t>
      </w:r>
    </w:p>
    <w:p>
      <w:pPr>
        <w:pStyle w:val="Heading1"/>
      </w:pPr>
      <w:r>
        <w:t>8. Fragenarchitektur</w:t>
      </w:r>
    </w:p>
    <w:p>
      <w:r>
        <w:t>Jede Frage soll ein politisches Prinzip oder eine konkrete Option so formulieren, dass Wirkung, Zielkonflikt und Ausgestaltung sichtbar werden. Reine Schlagwortfragen sind zu vermeiden.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shd w:fill="DCEAE5"/>
            <w:vAlign w:val="center"/>
            <w:tcMar>
              <w:top w:w="80" w:type="dxa"/>
              <w:start w:w="100" w:type="dxa"/>
              <w:bottom w:w="80" w:type="dxa"/>
              <w:end w:w="100" w:type="dxa"/>
            </w:tcMar>
          </w:tcPr>
          <w:p>
            <w:r>
              <w:rPr>
                <w:b/>
                <w:sz w:val="18"/>
              </w:rPr>
              <w:t>Pflichtfeld</w:t>
            </w:r>
          </w:p>
        </w:tc>
        <w:tc>
          <w:tcPr>
            <w:tcW w:type="dxa" w:w="6624"/>
            <w:shd w:fill="DCEAE5"/>
            <w:vAlign w:val="center"/>
            <w:tcMar>
              <w:top w:w="80" w:type="dxa"/>
              <w:start w:w="100" w:type="dxa"/>
              <w:bottom w:w="80" w:type="dxa"/>
              <w:end w:w="100" w:type="dxa"/>
            </w:tcMar>
          </w:tcPr>
          <w:p>
            <w:r>
              <w:rPr>
                <w:b/>
                <w:sz w:val="18"/>
              </w:rPr>
              <w:t>Beschreibung</w:t>
            </w:r>
          </w:p>
        </w:tc>
      </w:tr>
      <w:tr>
        <w:tc>
          <w:tcPr>
            <w:tcW w:type="dxa" w:w="2448"/>
            <w:vAlign w:val="top"/>
            <w:tcMar>
              <w:top w:w="80" w:type="dxa"/>
              <w:start w:w="100" w:type="dxa"/>
              <w:bottom w:w="80" w:type="dxa"/>
              <w:end w:w="100" w:type="dxa"/>
            </w:tcMar>
          </w:tcPr>
          <w:p>
            <w:r>
              <w:rPr>
                <w:sz w:val="18"/>
              </w:rPr>
              <w:t>question_id</w:t>
            </w:r>
          </w:p>
        </w:tc>
        <w:tc>
          <w:tcPr>
            <w:tcW w:type="dxa" w:w="6624"/>
            <w:vAlign w:val="top"/>
            <w:tcMar>
              <w:top w:w="80" w:type="dxa"/>
              <w:start w:w="100" w:type="dxa"/>
              <w:bottom w:w="80" w:type="dxa"/>
              <w:end w:w="100" w:type="dxa"/>
            </w:tcMar>
          </w:tcPr>
          <w:p>
            <w:r>
              <w:rPr>
                <w:sz w:val="18"/>
              </w:rPr>
              <w:t>stabile maschinenlesbare Kennung</w:t>
            </w:r>
          </w:p>
        </w:tc>
      </w:tr>
      <w:tr>
        <w:tc>
          <w:tcPr>
            <w:tcW w:type="dxa" w:w="2448"/>
            <w:vAlign w:val="top"/>
            <w:tcMar>
              <w:top w:w="80" w:type="dxa"/>
              <w:start w:w="100" w:type="dxa"/>
              <w:bottom w:w="80" w:type="dxa"/>
              <w:end w:w="100" w:type="dxa"/>
            </w:tcMar>
          </w:tcPr>
          <w:p>
            <w:r>
              <w:rPr>
                <w:sz w:val="18"/>
              </w:rPr>
              <w:t>topic</w:t>
            </w:r>
          </w:p>
        </w:tc>
        <w:tc>
          <w:tcPr>
            <w:tcW w:type="dxa" w:w="6624"/>
            <w:vAlign w:val="top"/>
            <w:tcMar>
              <w:top w:w="80" w:type="dxa"/>
              <w:start w:w="100" w:type="dxa"/>
              <w:bottom w:w="80" w:type="dxa"/>
              <w:end w:w="100" w:type="dxa"/>
            </w:tcMar>
          </w:tcPr>
          <w:p>
            <w:r>
              <w:rPr>
                <w:sz w:val="18"/>
              </w:rPr>
              <w:t>Themenbereich</w:t>
            </w:r>
          </w:p>
        </w:tc>
      </w:tr>
      <w:tr>
        <w:tc>
          <w:tcPr>
            <w:tcW w:type="dxa" w:w="2448"/>
            <w:vAlign w:val="top"/>
            <w:tcMar>
              <w:top w:w="80" w:type="dxa"/>
              <w:start w:w="100" w:type="dxa"/>
              <w:bottom w:w="80" w:type="dxa"/>
              <w:end w:w="100" w:type="dxa"/>
            </w:tcMar>
          </w:tcPr>
          <w:p>
            <w:r>
              <w:rPr>
                <w:sz w:val="18"/>
              </w:rPr>
              <w:t>statement</w:t>
            </w:r>
          </w:p>
        </w:tc>
        <w:tc>
          <w:tcPr>
            <w:tcW w:type="dxa" w:w="6624"/>
            <w:vAlign w:val="top"/>
            <w:tcMar>
              <w:top w:w="80" w:type="dxa"/>
              <w:start w:w="100" w:type="dxa"/>
              <w:bottom w:w="80" w:type="dxa"/>
              <w:end w:w="100" w:type="dxa"/>
            </w:tcMar>
          </w:tcPr>
          <w:p>
            <w:r>
              <w:rPr>
                <w:sz w:val="18"/>
              </w:rPr>
              <w:t>neutral formulierte These</w:t>
            </w:r>
          </w:p>
        </w:tc>
      </w:tr>
      <w:tr>
        <w:tc>
          <w:tcPr>
            <w:tcW w:type="dxa" w:w="2448"/>
            <w:vAlign w:val="top"/>
            <w:tcMar>
              <w:top w:w="80" w:type="dxa"/>
              <w:start w:w="100" w:type="dxa"/>
              <w:bottom w:w="80" w:type="dxa"/>
              <w:end w:w="100" w:type="dxa"/>
            </w:tcMar>
          </w:tcPr>
          <w:p>
            <w:r>
              <w:rPr>
                <w:sz w:val="18"/>
              </w:rPr>
              <w:t>short_explanation</w:t>
            </w:r>
          </w:p>
        </w:tc>
        <w:tc>
          <w:tcPr>
            <w:tcW w:type="dxa" w:w="6624"/>
            <w:vAlign w:val="top"/>
            <w:tcMar>
              <w:top w:w="80" w:type="dxa"/>
              <w:start w:w="100" w:type="dxa"/>
              <w:bottom w:w="80" w:type="dxa"/>
              <w:end w:w="100" w:type="dxa"/>
            </w:tcMar>
          </w:tcPr>
          <w:p>
            <w:r>
              <w:rPr>
                <w:sz w:val="18"/>
              </w:rPr>
              <w:t>verständliche Einordnung</w:t>
            </w:r>
          </w:p>
        </w:tc>
      </w:tr>
      <w:tr>
        <w:tc>
          <w:tcPr>
            <w:tcW w:type="dxa" w:w="2448"/>
            <w:vAlign w:val="top"/>
            <w:tcMar>
              <w:top w:w="80" w:type="dxa"/>
              <w:start w:w="100" w:type="dxa"/>
              <w:bottom w:w="80" w:type="dxa"/>
              <w:end w:w="100" w:type="dxa"/>
            </w:tcMar>
          </w:tcPr>
          <w:p>
            <w:r>
              <w:rPr>
                <w:sz w:val="18"/>
              </w:rPr>
              <w:t>why_asked</w:t>
            </w:r>
          </w:p>
        </w:tc>
        <w:tc>
          <w:tcPr>
            <w:tcW w:type="dxa" w:w="6624"/>
            <w:vAlign w:val="top"/>
            <w:tcMar>
              <w:top w:w="80" w:type="dxa"/>
              <w:start w:w="100" w:type="dxa"/>
              <w:bottom w:w="80" w:type="dxa"/>
              <w:end w:w="100" w:type="dxa"/>
            </w:tcMar>
          </w:tcPr>
          <w:p>
            <w:r>
              <w:rPr>
                <w:sz w:val="18"/>
              </w:rPr>
              <w:t>warum die Frage wirkungsrelevant ist</w:t>
            </w:r>
          </w:p>
        </w:tc>
      </w:tr>
      <w:tr>
        <w:tc>
          <w:tcPr>
            <w:tcW w:type="dxa" w:w="2448"/>
            <w:vAlign w:val="top"/>
            <w:tcMar>
              <w:top w:w="80" w:type="dxa"/>
              <w:start w:w="100" w:type="dxa"/>
              <w:bottom w:w="80" w:type="dxa"/>
              <w:end w:w="100" w:type="dxa"/>
            </w:tcMar>
          </w:tcPr>
          <w:p>
            <w:r>
              <w:rPr>
                <w:sz w:val="18"/>
              </w:rPr>
              <w:t>dimensions</w:t>
            </w:r>
          </w:p>
        </w:tc>
        <w:tc>
          <w:tcPr>
            <w:tcW w:type="dxa" w:w="6624"/>
            <w:vAlign w:val="top"/>
            <w:tcMar>
              <w:top w:w="80" w:type="dxa"/>
              <w:start w:w="100" w:type="dxa"/>
              <w:bottom w:w="80" w:type="dxa"/>
              <w:end w:w="100" w:type="dxa"/>
            </w:tcMar>
          </w:tcPr>
          <w:p>
            <w:r>
              <w:rPr>
                <w:sz w:val="18"/>
              </w:rPr>
              <w:t>betroffene Wirkungsdimensionen</w:t>
            </w:r>
          </w:p>
        </w:tc>
      </w:tr>
      <w:tr>
        <w:tc>
          <w:tcPr>
            <w:tcW w:type="dxa" w:w="2448"/>
            <w:vAlign w:val="top"/>
            <w:tcMar>
              <w:top w:w="80" w:type="dxa"/>
              <w:start w:w="100" w:type="dxa"/>
              <w:bottom w:w="80" w:type="dxa"/>
              <w:end w:w="100" w:type="dxa"/>
            </w:tcMar>
          </w:tcPr>
          <w:p>
            <w:r>
              <w:rPr>
                <w:sz w:val="18"/>
              </w:rPr>
              <w:t>answer_scale</w:t>
            </w:r>
          </w:p>
        </w:tc>
        <w:tc>
          <w:tcPr>
            <w:tcW w:type="dxa" w:w="6624"/>
            <w:vAlign w:val="top"/>
            <w:tcMar>
              <w:top w:w="80" w:type="dxa"/>
              <w:start w:w="100" w:type="dxa"/>
              <w:bottom w:w="80" w:type="dxa"/>
              <w:end w:w="100" w:type="dxa"/>
            </w:tcMar>
          </w:tcPr>
          <w:p>
            <w:r>
              <w:rPr>
                <w:sz w:val="18"/>
              </w:rPr>
              <w:t>fünfstufig plus unsicher/überspringen</w:t>
            </w:r>
          </w:p>
        </w:tc>
      </w:tr>
      <w:tr>
        <w:tc>
          <w:tcPr>
            <w:tcW w:type="dxa" w:w="2448"/>
            <w:vAlign w:val="top"/>
            <w:tcMar>
              <w:top w:w="80" w:type="dxa"/>
              <w:start w:w="100" w:type="dxa"/>
              <w:bottom w:w="80" w:type="dxa"/>
              <w:end w:w="100" w:type="dxa"/>
            </w:tcMar>
          </w:tcPr>
          <w:p>
            <w:r>
              <w:rPr>
                <w:sz w:val="18"/>
              </w:rPr>
              <w:t>importance_enabled</w:t>
            </w:r>
          </w:p>
        </w:tc>
        <w:tc>
          <w:tcPr>
            <w:tcW w:type="dxa" w:w="6624"/>
            <w:vAlign w:val="top"/>
            <w:tcMar>
              <w:top w:w="80" w:type="dxa"/>
              <w:start w:w="100" w:type="dxa"/>
              <w:bottom w:w="80" w:type="dxa"/>
              <w:end w:w="100" w:type="dxa"/>
            </w:tcMar>
          </w:tcPr>
          <w:p>
            <w:r>
              <w:rPr>
                <w:sz w:val="18"/>
              </w:rPr>
              <w:t>persönliche Gewichtung ja/nein</w:t>
            </w:r>
          </w:p>
        </w:tc>
      </w:tr>
      <w:tr>
        <w:tc>
          <w:tcPr>
            <w:tcW w:type="dxa" w:w="2448"/>
            <w:vAlign w:val="top"/>
            <w:tcMar>
              <w:top w:w="80" w:type="dxa"/>
              <w:start w:w="100" w:type="dxa"/>
              <w:bottom w:w="80" w:type="dxa"/>
              <w:end w:w="100" w:type="dxa"/>
            </w:tcMar>
          </w:tcPr>
          <w:p>
            <w:r>
              <w:rPr>
                <w:sz w:val="18"/>
              </w:rPr>
              <w:t>policy_option_ids</w:t>
            </w:r>
          </w:p>
        </w:tc>
        <w:tc>
          <w:tcPr>
            <w:tcW w:type="dxa" w:w="6624"/>
            <w:vAlign w:val="top"/>
            <w:tcMar>
              <w:top w:w="80" w:type="dxa"/>
              <w:start w:w="100" w:type="dxa"/>
              <w:bottom w:w="80" w:type="dxa"/>
              <w:end w:w="100" w:type="dxa"/>
            </w:tcMar>
          </w:tcPr>
          <w:p>
            <w:r>
              <w:rPr>
                <w:sz w:val="18"/>
              </w:rPr>
              <w:t>verknüpfte politische Optionen</w:t>
            </w:r>
          </w:p>
        </w:tc>
      </w:tr>
      <w:tr>
        <w:tc>
          <w:tcPr>
            <w:tcW w:type="dxa" w:w="2448"/>
            <w:vAlign w:val="top"/>
            <w:tcMar>
              <w:top w:w="80" w:type="dxa"/>
              <w:start w:w="100" w:type="dxa"/>
              <w:bottom w:w="80" w:type="dxa"/>
              <w:end w:w="100" w:type="dxa"/>
            </w:tcMar>
          </w:tcPr>
          <w:p>
            <w:r>
              <w:rPr>
                <w:sz w:val="18"/>
              </w:rPr>
              <w:t>source_ids</w:t>
            </w:r>
          </w:p>
        </w:tc>
        <w:tc>
          <w:tcPr>
            <w:tcW w:type="dxa" w:w="6624"/>
            <w:vAlign w:val="top"/>
            <w:tcMar>
              <w:top w:w="80" w:type="dxa"/>
              <w:start w:w="100" w:type="dxa"/>
              <w:bottom w:w="80" w:type="dxa"/>
              <w:end w:w="100" w:type="dxa"/>
            </w:tcMar>
          </w:tcPr>
          <w:p>
            <w:r>
              <w:rPr>
                <w:sz w:val="18"/>
              </w:rPr>
              <w:t>Quellen zur späteren realen Version</w:t>
            </w:r>
          </w:p>
        </w:tc>
      </w:tr>
    </w:tbl>
    <w:p/>
    <w:p>
      <w:pPr>
        <w:pStyle w:val="Heading2"/>
      </w:pPr>
      <w:r>
        <w:t>8.1 Qualitätsregeln für Fragen</w:t>
      </w:r>
    </w:p>
    <w:p>
      <w:pPr>
        <w:pStyle w:val="ListBullet"/>
      </w:pPr>
      <w:r>
        <w:t>Keine Doppelfrage, sofern zwei Aspekte nicht untrennbar zur Wirkungslogik gehören.</w:t>
      </w:r>
    </w:p>
    <w:p>
      <w:pPr>
        <w:pStyle w:val="ListBullet"/>
      </w:pPr>
      <w:r>
        <w:t>Keine parteipolitischen Schlüsselwörter im Fragetext.</w:t>
      </w:r>
    </w:p>
    <w:p>
      <w:pPr>
        <w:pStyle w:val="ListBullet"/>
      </w:pPr>
      <w:r>
        <w:t>Keine moralische Vorbewertung.</w:t>
      </w:r>
    </w:p>
    <w:p>
      <w:pPr>
        <w:pStyle w:val="ListBullet"/>
      </w:pPr>
      <w:r>
        <w:t>Ausgestaltung nennen, wenn sie die Wirkung wesentlich verändert.</w:t>
      </w:r>
    </w:p>
    <w:p>
      <w:pPr>
        <w:pStyle w:val="ListBullet"/>
      </w:pPr>
      <w:r>
        <w:t>Kurz- und Langfristfolgen nicht gegeneinander verstecken.</w:t>
      </w:r>
    </w:p>
    <w:p>
      <w:pPr>
        <w:pStyle w:val="ListBullet"/>
      </w:pPr>
      <w:r>
        <w:t>Bei komplexen Themen eine kurze Erläuterung anbieten.</w:t>
      </w:r>
    </w:p>
    <w:p>
      <w:pPr>
        <w:pStyle w:val="ListBullet"/>
      </w:pPr>
      <w:r>
        <w:t>Antwort „unsicher“ muss möglich sein.</w:t>
      </w:r>
    </w:p>
    <w:p>
      <w:pPr>
        <w:pStyle w:val="ListBullet"/>
      </w:pPr>
      <w:r>
        <w:t>Fragen sollen mehrere politische Lager differenzieren, ohne eines gezielt zu bevorzugen.</w:t>
      </w:r>
    </w:p>
    <w:p>
      <w:pPr>
        <w:pStyle w:val="Heading1"/>
      </w:pPr>
      <w:r>
        <w:t>9. Demo-Fragenset für den Prototyp</w:t>
      </w:r>
    </w:p>
    <w:p>
      <w:r>
        <w:t>Die folgenden zwölf Fragen sind für den UX-Prototyp bestimmt. Sie dienen der Erprobung von Nutzerfluss, Visualisierung und Datenmodell. Sie sind noch keine abschließend validierte Wahlversion.</w:t>
      </w:r>
    </w:p>
    <w:p>
      <w:pPr>
        <w:pStyle w:val="Heading2"/>
      </w:pPr>
      <w:r>
        <w:t>Q01 – Preise und Folgekosten</w:t>
      </w:r>
    </w:p>
    <w:p>
      <w:r>
        <w:rPr>
          <w:b/>
        </w:rPr>
        <w:t>Klimatische, gesundheitliche und soziale Folgekosten sollen schrittweise in die Preise der verursachenden Produkte einfließen. Haushalte mit geringem Einkommen sollen gezielt entlastet werden.</w:t>
      </w:r>
    </w:p>
    <w:p>
      <w:r>
        <w:t>Warum diese Frage? Verbindet Internalisierung mit sozialem Ausgleich.</w:t>
      </w:r>
    </w:p>
    <w:p>
      <w:r>
        <w:t>Betroffene Dimensionen: Klima; soziale Fairness; Resilienz</w:t>
      </w:r>
    </w:p>
    <w:p>
      <w:r>
        <w:t>Antwort: stimme gar nicht zu | stimme eher nicht zu | unentschieden | stimme eher zu | stimme vollständig zu | unsicher | überspringen</w:t>
      </w:r>
    </w:p>
    <w:p>
      <w:r>
        <w:t>Persönliche Wichtigkeit: nicht relevant | eher nachrangig | wichtig | sehr wichtig</w:t>
      </w:r>
    </w:p>
    <w:p>
      <w:pPr>
        <w:pStyle w:val="Heading2"/>
      </w:pPr>
      <w:r>
        <w:t>Q02 – Energieentscheidungen</w:t>
      </w:r>
    </w:p>
    <w:p>
      <w:r>
        <w:rPr>
          <w:b/>
        </w:rPr>
        <w:t>Bei neuen Energieprojekten sollen nicht nur Erzeugungskosten, sondern auch Bauzeit, Systemkosten, Importabhängigkeit, Sicherheitsrisiken, Abfälle und langfristige Folgekosten bewertet werden.</w:t>
      </w:r>
    </w:p>
    <w:p>
      <w:r>
        <w:t>Warum diese Frage? Verhindert verkürzte Technologievergleiche.</w:t>
      </w:r>
    </w:p>
    <w:p>
      <w:r>
        <w:t>Betroffene Dimensionen: Klima; Resilienz; Generationengerechtigkeit</w:t>
      </w:r>
    </w:p>
    <w:p>
      <w:r>
        <w:t>Antwort: stimme gar nicht zu | stimme eher nicht zu | unentschieden | stimme eher zu | stimme vollständig zu | unsicher | überspringen</w:t>
      </w:r>
    </w:p>
    <w:p>
      <w:r>
        <w:t>Persönliche Wichtigkeit: nicht relevant | eher nachrangig | wichtig | sehr wichtig</w:t>
      </w:r>
    </w:p>
    <w:p>
      <w:pPr>
        <w:pStyle w:val="Heading2"/>
      </w:pPr>
      <w:r>
        <w:t>Q03 – Prävention</w:t>
      </w:r>
    </w:p>
    <w:p>
      <w:r>
        <w:rPr>
          <w:b/>
        </w:rPr>
        <w:t>Der Staat soll stärker in Prävention investieren, auch wenn dadurch heute höhere Ausgaben entstehen, sofern spätere Gesundheits-, Klima- oder Sozialschäden voraussichtlich deutlich sinken.</w:t>
      </w:r>
    </w:p>
    <w:p>
      <w:r>
        <w:t>Warum diese Frage? Macht Zeitwirkung und Vorgriffswohlstand sichtbar.</w:t>
      </w:r>
    </w:p>
    <w:p>
      <w:r>
        <w:t>Betroffene Dimensionen: Gesundheit; soziale Sicherheit; Resilienz</w:t>
      </w:r>
    </w:p>
    <w:p>
      <w:r>
        <w:t>Antwort: stimme gar nicht zu | stimme eher nicht zu | unentschieden | stimme eher zu | stimme vollständig zu | unsicher | überspringen</w:t>
      </w:r>
    </w:p>
    <w:p>
      <w:r>
        <w:t>Persönliche Wichtigkeit: nicht relevant | eher nachrangig | wichtig | sehr wichtig</w:t>
      </w:r>
    </w:p>
    <w:p>
      <w:pPr>
        <w:pStyle w:val="Heading2"/>
      </w:pPr>
      <w:r>
        <w:t>Q04 – Soziale Sicherung</w:t>
      </w:r>
    </w:p>
    <w:p>
      <w:r>
        <w:rPr>
          <w:b/>
        </w:rPr>
        <w:t>Soziale Leistungen sollen stärker danach gestaltet werden, ob sie Menschen dauerhaft zu Sicherheit, Teilhabe und Selbstwirksamkeit befähigen, statt nur kurzfristige Notlagen zu verwalten.</w:t>
      </w:r>
    </w:p>
    <w:p>
      <w:r>
        <w:t>Warum diese Frage? Unterscheidet Output von tatsächlicher Wirkung.</w:t>
      </w:r>
    </w:p>
    <w:p>
      <w:r>
        <w:t>Betroffene Dimensionen: Soziale Sicherheit; Teilhabe; Freiheit</w:t>
      </w:r>
    </w:p>
    <w:p>
      <w:r>
        <w:t>Antwort: stimme gar nicht zu | stimme eher nicht zu | unentschieden | stimme eher zu | stimme vollständig zu | unsicher | überspringen</w:t>
      </w:r>
    </w:p>
    <w:p>
      <w:r>
        <w:t>Persönliche Wichtigkeit: nicht relevant | eher nachrangig | wichtig | sehr wichtig</w:t>
      </w:r>
    </w:p>
    <w:p>
      <w:pPr>
        <w:pStyle w:val="Heading2"/>
      </w:pPr>
      <w:r>
        <w:t>Q05 – Arbeit und Einkommen</w:t>
      </w:r>
    </w:p>
    <w:p>
      <w:r>
        <w:rPr>
          <w:b/>
        </w:rPr>
        <w:t>Steuern und Abgaben sollen Tätigkeiten mit hoher positiver Wirkung für Pflege, Bildung, Klima oder gesellschaftliche Stabilität stärker entlasten als Tätigkeiten mit hohen Folgeschäden.</w:t>
      </w:r>
    </w:p>
    <w:p>
      <w:r>
        <w:t>Warum diese Frage? Prüft Wirkung statt bloßer Einkommenshöhe.</w:t>
      </w:r>
    </w:p>
    <w:p>
      <w:r>
        <w:t>Betroffene Dimensionen: Arbeit; Fairness; Klima; Demokratie</w:t>
      </w:r>
    </w:p>
    <w:p>
      <w:r>
        <w:t>Antwort: stimme gar nicht zu | stimme eher nicht zu | unentschieden | stimme eher zu | stimme vollständig zu | unsicher | überspringen</w:t>
      </w:r>
    </w:p>
    <w:p>
      <w:r>
        <w:t>Persönliche Wichtigkeit: nicht relevant | eher nachrangig | wichtig | sehr wichtig</w:t>
      </w:r>
    </w:p>
    <w:p>
      <w:pPr>
        <w:pStyle w:val="Heading2"/>
      </w:pPr>
      <w:r>
        <w:t>Q06 – Wohnen</w:t>
      </w:r>
    </w:p>
    <w:p>
      <w:r>
        <w:rPr>
          <w:b/>
        </w:rPr>
        <w:t>Wohnungs- und Steuerpolitik soll bezahlbare, energieeffiziente und dauerhaft genutzte Wohnungen gegenüber spekulativem Leerstand und kurzfristiger Renditemaximierung begünstigen.</w:t>
      </w:r>
    </w:p>
    <w:p>
      <w:r>
        <w:t>Warum diese Frage? Verbindet soziale und ökologische Wohnwirkung.</w:t>
      </w:r>
    </w:p>
    <w:p>
      <w:r>
        <w:t>Betroffene Dimensionen: Wohnen; Klima; soziale Stabilität</w:t>
      </w:r>
    </w:p>
    <w:p>
      <w:r>
        <w:t>Antwort: stimme gar nicht zu | stimme eher nicht zu | unentschieden | stimme eher zu | stimme vollständig zu | unsicher | überspringen</w:t>
      </w:r>
    </w:p>
    <w:p>
      <w:r>
        <w:t>Persönliche Wichtigkeit: nicht relevant | eher nachrangig | wichtig | sehr wichtig</w:t>
      </w:r>
    </w:p>
    <w:p>
      <w:pPr>
        <w:pStyle w:val="Heading2"/>
      </w:pPr>
      <w:r>
        <w:t>Q07 – Demokratische Mindestbedingungen</w:t>
      </w:r>
    </w:p>
    <w:p>
      <w:r>
        <w:rPr>
          <w:b/>
        </w:rPr>
        <w:t>Politische Maßnahmen, die unabhängige Gerichte, freie Medien, faire Wahlen oder den Schutz von Minderheiten schwächen, dürfen nicht durch wirtschaftliche oder soziale Vorteile an anderer Stelle aufgewogen werden.</w:t>
      </w:r>
    </w:p>
    <w:p>
      <w:r>
        <w:t>Warum diese Frage? Operationalisiert das Nichtkompensationsprinzip.</w:t>
      </w:r>
    </w:p>
    <w:p>
      <w:r>
        <w:t>Betroffene Dimensionen: Rechtsstaat; Grundrechte; Demokratie</w:t>
      </w:r>
    </w:p>
    <w:p>
      <w:r>
        <w:t>Antwort: stimme gar nicht zu | stimme eher nicht zu | unentschieden | stimme eher zu | stimme vollständig zu | unsicher | überspringen</w:t>
      </w:r>
    </w:p>
    <w:p>
      <w:r>
        <w:t>Persönliche Wichtigkeit: nicht relevant | eher nachrangig | wichtig | sehr wichtig</w:t>
      </w:r>
    </w:p>
    <w:p>
      <w:pPr>
        <w:pStyle w:val="Heading2"/>
      </w:pPr>
      <w:r>
        <w:t>Q08 – Informationsordnung</w:t>
      </w:r>
    </w:p>
    <w:p>
      <w:r>
        <w:rPr>
          <w:b/>
        </w:rPr>
        <w:t>Digitale Plattformen sollen verpflichtet werden, Empfehlungsalgorithmen, politische Werbung und den Umgang mit nachweislich falschen reichweitenstarken Inhalten transparent zu machen.</w:t>
      </w:r>
    </w:p>
    <w:p>
      <w:r>
        <w:t>Warum diese Frage? Betrachtet Informationsqualität als Infrastruktur.</w:t>
      </w:r>
    </w:p>
    <w:p>
      <w:r>
        <w:t>Betroffene Dimensionen: Informationsqualität; Freiheit; Demokratie</w:t>
      </w:r>
    </w:p>
    <w:p>
      <w:r>
        <w:t>Antwort: stimme gar nicht zu | stimme eher nicht zu | unentschieden | stimme eher zu | stimme vollständig zu | unsicher | überspringen</w:t>
      </w:r>
    </w:p>
    <w:p>
      <w:r>
        <w:t>Persönliche Wichtigkeit: nicht relevant | eher nachrangig | wichtig | sehr wichtig</w:t>
      </w:r>
    </w:p>
    <w:p>
      <w:pPr>
        <w:pStyle w:val="Heading2"/>
      </w:pPr>
      <w:r>
        <w:t>Q09 – Migration und Integration</w:t>
      </w:r>
    </w:p>
    <w:p>
      <w:r>
        <w:rPr>
          <w:b/>
        </w:rPr>
        <w:t>Migrationspolitik soll zugleich Schutzrechte, gesellschaftliche Teilhabe, kommunale Belastbarkeit, Arbeitsmarktintegration und langfristige demografische Wirkung berücksichtigen.</w:t>
      </w:r>
    </w:p>
    <w:p>
      <w:r>
        <w:t>Warum diese Frage? Verhindert eindimensionale Ja-Nein-Frames.</w:t>
      </w:r>
    </w:p>
    <w:p>
      <w:r>
        <w:t>Betroffene Dimensionen: Menschenrechte; Teilhabe; Resilienz</w:t>
      </w:r>
    </w:p>
    <w:p>
      <w:r>
        <w:t>Antwort: stimme gar nicht zu | stimme eher nicht zu | unentschieden | stimme eher zu | stimme vollständig zu | unsicher | überspringen</w:t>
      </w:r>
    </w:p>
    <w:p>
      <w:r>
        <w:t>Persönliche Wichtigkeit: nicht relevant | eher nachrangig | wichtig | sehr wichtig</w:t>
      </w:r>
    </w:p>
    <w:p>
      <w:pPr>
        <w:pStyle w:val="Heading2"/>
      </w:pPr>
      <w:r>
        <w:t>Q10 – Öffentliche Investitionen</w:t>
      </w:r>
    </w:p>
    <w:p>
      <w:r>
        <w:rPr>
          <w:b/>
        </w:rPr>
        <w:t>Bei Infrastrukturprojekten soll der langfristige Beitrag zu Versorgungssicherheit, Klima, Gesundheit und gesellschaftlicher Stabilität stärker zählen als der kurzfristig niedrigste Anschaffungspreis.</w:t>
      </w:r>
    </w:p>
    <w:p>
      <w:r>
        <w:t>Warum diese Frage? Ersetzt billig durch wirkungseffizient.</w:t>
      </w:r>
    </w:p>
    <w:p>
      <w:r>
        <w:t>Betroffene Dimensionen: Resilienz; Klima; Gesundheit</w:t>
      </w:r>
    </w:p>
    <w:p>
      <w:r>
        <w:t>Antwort: stimme gar nicht zu | stimme eher nicht zu | unentschieden | stimme eher zu | stimme vollständig zu | unsicher | überspringen</w:t>
      </w:r>
    </w:p>
    <w:p>
      <w:r>
        <w:t>Persönliche Wichtigkeit: nicht relevant | eher nachrangig | wichtig | sehr wichtig</w:t>
      </w:r>
    </w:p>
    <w:p>
      <w:pPr>
        <w:pStyle w:val="Heading2"/>
      </w:pPr>
      <w:r>
        <w:t>Q11 – Freiheit und Verantwortung</w:t>
      </w:r>
    </w:p>
    <w:p>
      <w:r>
        <w:rPr>
          <w:b/>
        </w:rPr>
        <w:t>Individuelle Freiheit soll grundsätzlich geschützt werden. Wo Handlungen nachweislich erhebliche Kosten oder Risiken für andere verursachen, sollen verursachergerechte Regeln gelten.</w:t>
      </w:r>
    </w:p>
    <w:p>
      <w:r>
        <w:t>Warum diese Frage? Zeigt Freiheit nicht als folgenloses Prinzip.</w:t>
      </w:r>
    </w:p>
    <w:p>
      <w:r>
        <w:t>Betroffene Dimensionen: Freiheit; Fairness; Gesundheit</w:t>
      </w:r>
    </w:p>
    <w:p>
      <w:r>
        <w:t>Antwort: stimme gar nicht zu | stimme eher nicht zu | unentschieden | stimme eher zu | stimme vollständig zu | unsicher | überspringen</w:t>
      </w:r>
    </w:p>
    <w:p>
      <w:r>
        <w:t>Persönliche Wichtigkeit: nicht relevant | eher nachrangig | wichtig | sehr wichtig</w:t>
      </w:r>
    </w:p>
    <w:p>
      <w:pPr>
        <w:pStyle w:val="Heading2"/>
      </w:pPr>
      <w:r>
        <w:t>Q12 – Politische Korrekturfähigkeit</w:t>
      </w:r>
    </w:p>
    <w:p>
      <w:r>
        <w:rPr>
          <w:b/>
        </w:rPr>
        <w:t>Gesetze und Förderprogramme sollen nach festgelegten Zeiträumen anhand ihrer tatsächlichen Wirkung überprüft und bei unerwünschten Folgen verbindlich angepasst werden.</w:t>
      </w:r>
    </w:p>
    <w:p>
      <w:r>
        <w:t>Warum diese Frage? Macht Politik lern- und rückkopplungsfähig.</w:t>
      </w:r>
    </w:p>
    <w:p>
      <w:r>
        <w:t>Betroffene Dimensionen: Demokratie; Resilienz; Transparenz</w:t>
      </w:r>
    </w:p>
    <w:p>
      <w:r>
        <w:t>Antwort: stimme gar nicht zu | stimme eher nicht zu | unentschieden | stimme eher zu | stimme vollständig zu | unsicher | überspringen</w:t>
      </w:r>
    </w:p>
    <w:p>
      <w:r>
        <w:t>Persönliche Wichtigkeit: nicht relevant | eher nachrangig | wichtig | sehr wichtig</w:t>
      </w:r>
    </w:p>
    <w:p>
      <w:pPr>
        <w:pStyle w:val="Heading1"/>
      </w:pPr>
      <w:r>
        <w:t>10. Ergebnisarchitektur</w:t>
      </w:r>
    </w:p>
    <w:p>
      <w:pPr>
        <w:pStyle w:val="Heading2"/>
      </w:pPr>
      <w:r>
        <w:t>10.1 Reihenfolge der Ergebnisse</w:t>
      </w:r>
    </w:p>
    <w:p>
      <w:pPr>
        <w:pStyle w:val="ListNumber"/>
      </w:pPr>
      <w:r>
        <w:t>Zuerst das persönliche Prioritätenprofil ohne Parteien.</w:t>
      </w:r>
    </w:p>
    <w:p>
      <w:pPr>
        <w:pStyle w:val="ListNumber"/>
      </w:pPr>
      <w:r>
        <w:t>Danach eine Themenmatrix mit positionaler Nähe.</w:t>
      </w:r>
    </w:p>
    <w:p>
      <w:pPr>
        <w:pStyle w:val="ListNumber"/>
      </w:pPr>
      <w:r>
        <w:t>Anschließend getrennte Wirkungsprofile der politischen Optionen.</w:t>
      </w:r>
    </w:p>
    <w:p>
      <w:pPr>
        <w:pStyle w:val="ListNumber"/>
      </w:pPr>
      <w:r>
        <w:t>Dann Zielkonflikte, Unsicherheiten und Datenlücken.</w:t>
      </w:r>
    </w:p>
    <w:p>
      <w:pPr>
        <w:pStyle w:val="ListNumber"/>
      </w:pPr>
      <w:r>
        <w:t>Zuletzt nichtkompensierbare Wirkungsgrenzen und Quellen.</w:t>
      </w:r>
    </w:p>
    <w:p>
      <w:pPr>
        <w:pStyle w:val="Heading2"/>
      </w:pPr>
      <w:r>
        <w:t>10.2 Verbotene Ergebnisformen</w:t>
      </w:r>
    </w:p>
    <w:p>
      <w:pPr>
        <w:pStyle w:val="ListBullet"/>
      </w:pPr>
      <w:r>
        <w:t>„Du bist Partei X.“</w:t>
      </w:r>
    </w:p>
    <w:p>
      <w:pPr>
        <w:pStyle w:val="ListBullet"/>
      </w:pPr>
      <w:r>
        <w:t>„Partei X passt zu 82 Prozent.“</w:t>
      </w:r>
    </w:p>
    <w:p>
      <w:pPr>
        <w:pStyle w:val="ListBullet"/>
      </w:pPr>
      <w:r>
        <w:t>„Partei X gewinnt.“</w:t>
      </w:r>
    </w:p>
    <w:p>
      <w:pPr>
        <w:pStyle w:val="ListBullet"/>
      </w:pPr>
      <w:r>
        <w:t>automatische Rangliste von eins bis sieben</w:t>
      </w:r>
    </w:p>
    <w:p>
      <w:pPr>
        <w:pStyle w:val="ListBullet"/>
      </w:pPr>
      <w:r>
        <w:t>eine Gesamtampel für ganze Parteien</w:t>
      </w:r>
    </w:p>
    <w:p>
      <w:pPr>
        <w:pStyle w:val="ListBullet"/>
      </w:pPr>
      <w:r>
        <w:t>Verrechnung demokratischer Grenzverletzungen mit wirtschaftlicher Zustimmung</w:t>
      </w:r>
    </w:p>
    <w:p>
      <w:pPr>
        <w:pStyle w:val="ListBullet"/>
      </w:pPr>
      <w:r>
        <w:t>Social-Media-Karten als Parteibekenntnis</w:t>
      </w:r>
    </w:p>
    <w:p>
      <w:pPr>
        <w:pStyle w:val="Heading2"/>
      </w:pPr>
      <w:r>
        <w:t>10.3 Empfohlene Ergebnisformulierungen</w:t>
      </w:r>
    </w:p>
    <w:p>
      <w:pPr>
        <w:pStyle w:val="ListBullet"/>
      </w:pPr>
      <w:r>
        <w:t>„Hohe positionale Nähe bei Energie und Infrastruktur.“</w:t>
      </w:r>
    </w:p>
    <w:p>
      <w:pPr>
        <w:pStyle w:val="ListBullet"/>
      </w:pPr>
      <w:r>
        <w:t>„Deutliche Unterschiede bei sozialer Sicherung.“</w:t>
      </w:r>
    </w:p>
    <w:p>
      <w:pPr>
        <w:pStyle w:val="ListBullet"/>
      </w:pPr>
      <w:r>
        <w:t>„Die vorgeschlagene Maßnahme hat nach der vorliegenden Evidenz ein positives langfristiges Klimapotenzial, die kurzfristige Verteilungswirkung hängt jedoch von der Rückverteilung ab.“</w:t>
      </w:r>
    </w:p>
    <w:p>
      <w:pPr>
        <w:pStyle w:val="ListBullet"/>
      </w:pPr>
      <w:r>
        <w:t>„In diesem Bereich bestehen erhebliche Unsicherheiten.“</w:t>
      </w:r>
    </w:p>
    <w:p>
      <w:pPr>
        <w:pStyle w:val="ListBullet"/>
      </w:pPr>
      <w:r>
        <w:t>„Dieser Konflikt wird aufgrund des Nichtkompensationsprinzips nicht mit anderen Übereinstimmungen verrechnet.“</w:t>
      </w:r>
    </w:p>
    <w:p>
      <w:pPr>
        <w:pStyle w:val="Heading1"/>
      </w:pPr>
      <w:r>
        <w:t>11. Datenmodell und Content Contract</w:t>
      </w:r>
    </w:p>
    <w:p>
      <w:r>
        <w:t>Alle politischen und methodischen Inhalte müssen datengetrieben sein. Claude gestaltet gegen einen festen Content Contract. CodeX validiert die Daten gegen Schemas. Politische Texte und Scores dürfen nicht im UI-Code hardcodiert werden.</w:t>
      </w:r>
    </w:p>
    <w:p>
      <w:pPr>
        <w:pStyle w:val="Heading2"/>
      </w:pPr>
      <w:r>
        <w:t>11.1 Empfohlene Dateistruktur</w:t>
      </w:r>
    </w:p>
    <w:p>
      <w:pPr>
        <w:pStyle w:val="NoSpacing"/>
      </w:pPr>
      <w:r>
        <w:rPr>
          <w:rFonts w:ascii="Consolas" w:hAnsi="Consolas"/>
          <w:sz w:val="18"/>
        </w:rPr>
        <w:t>/content</w:t>
        <w:br/>
        <w:t xml:space="preserve">  methodology.md</w:t>
        <w:br/>
        <w:t xml:space="preserve">  terminology.md</w:t>
        <w:br/>
        <w:t xml:space="preserve">  dimensions.json</w:t>
        <w:br/>
        <w:t xml:space="preserve">  questions.json</w:t>
        <w:br/>
        <w:t xml:space="preserve">  policy-options.json</w:t>
        <w:br/>
        <w:t xml:space="preserve">  party-positions.json</w:t>
        <w:br/>
        <w:t xml:space="preserve">  impact-assessments.json</w:t>
        <w:br/>
        <w:t xml:space="preserve">  evidence.json</w:t>
        <w:br/>
        <w:t xml:space="preserve">  sources.json</w:t>
        <w:br/>
        <w:t xml:space="preserve">  result-copy.json</w:t>
        <w:br/>
        <w:t xml:space="preserve">  transparency-copy.json</w:t>
        <w:br/>
        <w:t xml:space="preserve">  demo-data.json</w:t>
        <w:br/>
        <w:t xml:space="preserve">  schemas/</w:t>
      </w:r>
    </w:p>
    <w:p>
      <w:pPr>
        <w:pStyle w:val="Heading2"/>
      </w:pPr>
      <w:r>
        <w:t>11.2 Kernobjekte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872"/>
            <w:shd w:fill="DCEAE5"/>
            <w:vAlign w:val="center"/>
            <w:tcMar>
              <w:top w:w="80" w:type="dxa"/>
              <w:start w:w="100" w:type="dxa"/>
              <w:bottom w:w="80" w:type="dxa"/>
              <w:end w:w="100" w:type="dxa"/>
            </w:tcMar>
          </w:tcPr>
          <w:p>
            <w:r>
              <w:rPr>
                <w:b/>
                <w:sz w:val="17"/>
              </w:rPr>
              <w:t>Objekt</w:t>
            </w:r>
          </w:p>
        </w:tc>
        <w:tc>
          <w:tcPr>
            <w:tcW w:type="dxa" w:w="3168"/>
            <w:shd w:fill="DCEAE5"/>
            <w:vAlign w:val="center"/>
            <w:tcMar>
              <w:top w:w="80" w:type="dxa"/>
              <w:start w:w="100" w:type="dxa"/>
              <w:bottom w:w="80" w:type="dxa"/>
              <w:end w:w="100" w:type="dxa"/>
            </w:tcMar>
          </w:tcPr>
          <w:p>
            <w:r>
              <w:rPr>
                <w:b/>
                <w:sz w:val="17"/>
              </w:rPr>
              <w:t>Zweck</w:t>
            </w:r>
          </w:p>
        </w:tc>
        <w:tc>
          <w:tcPr>
            <w:tcW w:type="dxa" w:w="4752"/>
            <w:shd w:fill="DCEAE5"/>
            <w:vAlign w:val="center"/>
            <w:tcMar>
              <w:top w:w="80" w:type="dxa"/>
              <w:start w:w="100" w:type="dxa"/>
              <w:bottom w:w="80" w:type="dxa"/>
              <w:end w:w="100" w:type="dxa"/>
            </w:tcMar>
          </w:tcPr>
          <w:p>
            <w:r>
              <w:rPr>
                <w:b/>
                <w:sz w:val="17"/>
              </w:rPr>
              <w:t>Wichtige Felder</w:t>
            </w:r>
          </w:p>
        </w:tc>
      </w:tr>
      <w:tr>
        <w:tc>
          <w:tcPr>
            <w:tcW w:type="dxa" w:w="1872"/>
            <w:vAlign w:val="top"/>
            <w:tcMar>
              <w:top w:w="80" w:type="dxa"/>
              <w:start w:w="100" w:type="dxa"/>
              <w:bottom w:w="80" w:type="dxa"/>
              <w:end w:w="100" w:type="dxa"/>
            </w:tcMar>
          </w:tcPr>
          <w:p>
            <w:r>
              <w:rPr>
                <w:sz w:val="17"/>
              </w:rPr>
              <w:t>Question</w:t>
            </w:r>
          </w:p>
        </w:tc>
        <w:tc>
          <w:tcPr>
            <w:tcW w:type="dxa" w:w="3168"/>
            <w:vAlign w:val="top"/>
            <w:tcMar>
              <w:top w:w="80" w:type="dxa"/>
              <w:start w:w="100" w:type="dxa"/>
              <w:bottom w:w="80" w:type="dxa"/>
              <w:end w:w="100" w:type="dxa"/>
            </w:tcMar>
          </w:tcPr>
          <w:p>
            <w:r>
              <w:rPr>
                <w:sz w:val="17"/>
              </w:rPr>
              <w:t>Nutzerfrage</w:t>
            </w:r>
          </w:p>
        </w:tc>
        <w:tc>
          <w:tcPr>
            <w:tcW w:type="dxa" w:w="4752"/>
            <w:vAlign w:val="top"/>
            <w:tcMar>
              <w:top w:w="80" w:type="dxa"/>
              <w:start w:w="100" w:type="dxa"/>
              <w:bottom w:w="80" w:type="dxa"/>
              <w:end w:w="100" w:type="dxa"/>
            </w:tcMar>
          </w:tcPr>
          <w:p>
            <w:r>
              <w:rPr>
                <w:sz w:val="17"/>
              </w:rPr>
              <w:t>id, statement, explanation, dimensions, answerScale, optionIds</w:t>
            </w:r>
          </w:p>
        </w:tc>
      </w:tr>
      <w:tr>
        <w:tc>
          <w:tcPr>
            <w:tcW w:type="dxa" w:w="1872"/>
            <w:vAlign w:val="top"/>
            <w:tcMar>
              <w:top w:w="80" w:type="dxa"/>
              <w:start w:w="100" w:type="dxa"/>
              <w:bottom w:w="80" w:type="dxa"/>
              <w:end w:w="100" w:type="dxa"/>
            </w:tcMar>
          </w:tcPr>
          <w:p>
            <w:r>
              <w:rPr>
                <w:sz w:val="17"/>
              </w:rPr>
              <w:t>PolicyOption</w:t>
            </w:r>
          </w:p>
        </w:tc>
        <w:tc>
          <w:tcPr>
            <w:tcW w:type="dxa" w:w="3168"/>
            <w:vAlign w:val="top"/>
            <w:tcMar>
              <w:top w:w="80" w:type="dxa"/>
              <w:start w:w="100" w:type="dxa"/>
              <w:bottom w:w="80" w:type="dxa"/>
              <w:end w:w="100" w:type="dxa"/>
            </w:tcMar>
          </w:tcPr>
          <w:p>
            <w:r>
              <w:rPr>
                <w:sz w:val="17"/>
              </w:rPr>
              <w:t>konkrete politische Maßnahme</w:t>
            </w:r>
          </w:p>
        </w:tc>
        <w:tc>
          <w:tcPr>
            <w:tcW w:type="dxa" w:w="4752"/>
            <w:vAlign w:val="top"/>
            <w:tcMar>
              <w:top w:w="80" w:type="dxa"/>
              <w:start w:w="100" w:type="dxa"/>
              <w:bottom w:w="80" w:type="dxa"/>
              <w:end w:w="100" w:type="dxa"/>
            </w:tcMar>
          </w:tcPr>
          <w:p>
            <w:r>
              <w:rPr>
                <w:sz w:val="17"/>
              </w:rPr>
              <w:t>id, title, description, conditions, financing, horizon</w:t>
            </w:r>
          </w:p>
        </w:tc>
      </w:tr>
      <w:tr>
        <w:tc>
          <w:tcPr>
            <w:tcW w:type="dxa" w:w="1872"/>
            <w:vAlign w:val="top"/>
            <w:tcMar>
              <w:top w:w="80" w:type="dxa"/>
              <w:start w:w="100" w:type="dxa"/>
              <w:bottom w:w="80" w:type="dxa"/>
              <w:end w:w="100" w:type="dxa"/>
            </w:tcMar>
          </w:tcPr>
          <w:p>
            <w:r>
              <w:rPr>
                <w:sz w:val="17"/>
              </w:rPr>
              <w:t>PartyPosition</w:t>
            </w:r>
          </w:p>
        </w:tc>
        <w:tc>
          <w:tcPr>
            <w:tcW w:type="dxa" w:w="3168"/>
            <w:vAlign w:val="top"/>
            <w:tcMar>
              <w:top w:w="80" w:type="dxa"/>
              <w:start w:w="100" w:type="dxa"/>
              <w:bottom w:w="80" w:type="dxa"/>
              <w:end w:w="100" w:type="dxa"/>
            </w:tcMar>
          </w:tcPr>
          <w:p>
            <w:r>
              <w:rPr>
                <w:sz w:val="17"/>
              </w:rPr>
              <w:t>Zuordnung einer Partei zur Option</w:t>
            </w:r>
          </w:p>
        </w:tc>
        <w:tc>
          <w:tcPr>
            <w:tcW w:type="dxa" w:w="4752"/>
            <w:vAlign w:val="top"/>
            <w:tcMar>
              <w:top w:w="80" w:type="dxa"/>
              <w:start w:w="100" w:type="dxa"/>
              <w:bottom w:w="80" w:type="dxa"/>
              <w:end w:w="100" w:type="dxa"/>
            </w:tcMar>
          </w:tcPr>
          <w:p>
            <w:r>
              <w:rPr>
                <w:sz w:val="17"/>
              </w:rPr>
              <w:t>partyId, optionId, stance, confidence, sourceIds</w:t>
            </w:r>
          </w:p>
        </w:tc>
      </w:tr>
      <w:tr>
        <w:tc>
          <w:tcPr>
            <w:tcW w:type="dxa" w:w="1872"/>
            <w:vAlign w:val="top"/>
            <w:tcMar>
              <w:top w:w="80" w:type="dxa"/>
              <w:start w:w="100" w:type="dxa"/>
              <w:bottom w:w="80" w:type="dxa"/>
              <w:end w:w="100" w:type="dxa"/>
            </w:tcMar>
          </w:tcPr>
          <w:p>
            <w:r>
              <w:rPr>
                <w:sz w:val="17"/>
              </w:rPr>
              <w:t>ImpactAssessment</w:t>
            </w:r>
          </w:p>
        </w:tc>
        <w:tc>
          <w:tcPr>
            <w:tcW w:type="dxa" w:w="3168"/>
            <w:vAlign w:val="top"/>
            <w:tcMar>
              <w:top w:w="80" w:type="dxa"/>
              <w:start w:w="100" w:type="dxa"/>
              <w:bottom w:w="80" w:type="dxa"/>
              <w:end w:w="100" w:type="dxa"/>
            </w:tcMar>
          </w:tcPr>
          <w:p>
            <w:r>
              <w:rPr>
                <w:sz w:val="17"/>
              </w:rPr>
              <w:t>Wirkungsanalyse der Option</w:t>
            </w:r>
          </w:p>
        </w:tc>
        <w:tc>
          <w:tcPr>
            <w:tcW w:type="dxa" w:w="4752"/>
            <w:vAlign w:val="top"/>
            <w:tcMar>
              <w:top w:w="80" w:type="dxa"/>
              <w:start w:w="100" w:type="dxa"/>
              <w:bottom w:w="80" w:type="dxa"/>
              <w:end w:w="100" w:type="dxa"/>
            </w:tcMar>
          </w:tcPr>
          <w:p>
            <w:r>
              <w:rPr>
                <w:sz w:val="17"/>
              </w:rPr>
              <w:t>dimensionScores, effectPath, risks, evidence, uncertainty, redLines</w:t>
            </w:r>
          </w:p>
        </w:tc>
      </w:tr>
      <w:tr>
        <w:tc>
          <w:tcPr>
            <w:tcW w:type="dxa" w:w="1872"/>
            <w:vAlign w:val="top"/>
            <w:tcMar>
              <w:top w:w="80" w:type="dxa"/>
              <w:start w:w="100" w:type="dxa"/>
              <w:bottom w:w="80" w:type="dxa"/>
              <w:end w:w="100" w:type="dxa"/>
            </w:tcMar>
          </w:tcPr>
          <w:p>
            <w:r>
              <w:rPr>
                <w:sz w:val="17"/>
              </w:rPr>
              <w:t>Source</w:t>
            </w:r>
          </w:p>
        </w:tc>
        <w:tc>
          <w:tcPr>
            <w:tcW w:type="dxa" w:w="3168"/>
            <w:vAlign w:val="top"/>
            <w:tcMar>
              <w:top w:w="80" w:type="dxa"/>
              <w:start w:w="100" w:type="dxa"/>
              <w:bottom w:w="80" w:type="dxa"/>
              <w:end w:w="100" w:type="dxa"/>
            </w:tcMar>
          </w:tcPr>
          <w:p>
            <w:r>
              <w:rPr>
                <w:sz w:val="17"/>
              </w:rPr>
              <w:t>Beleg und Herkunft</w:t>
            </w:r>
          </w:p>
        </w:tc>
        <w:tc>
          <w:tcPr>
            <w:tcW w:type="dxa" w:w="4752"/>
            <w:vAlign w:val="top"/>
            <w:tcMar>
              <w:top w:w="80" w:type="dxa"/>
              <w:start w:w="100" w:type="dxa"/>
              <w:bottom w:w="80" w:type="dxa"/>
              <w:end w:w="100" w:type="dxa"/>
            </w:tcMar>
          </w:tcPr>
          <w:p>
            <w:r>
              <w:rPr>
                <w:sz w:val="17"/>
              </w:rPr>
              <w:t>id, title, publisher, date, url, type, checkedAt</w:t>
            </w:r>
          </w:p>
        </w:tc>
      </w:tr>
      <w:tr>
        <w:tc>
          <w:tcPr>
            <w:tcW w:type="dxa" w:w="1872"/>
            <w:vAlign w:val="top"/>
            <w:tcMar>
              <w:top w:w="80" w:type="dxa"/>
              <w:start w:w="100" w:type="dxa"/>
              <w:bottom w:w="80" w:type="dxa"/>
              <w:end w:w="100" w:type="dxa"/>
            </w:tcMar>
          </w:tcPr>
          <w:p>
            <w:r>
              <w:rPr>
                <w:sz w:val="17"/>
              </w:rPr>
              <w:t>MethodologyVersion</w:t>
            </w:r>
          </w:p>
        </w:tc>
        <w:tc>
          <w:tcPr>
            <w:tcW w:type="dxa" w:w="3168"/>
            <w:vAlign w:val="top"/>
            <w:tcMar>
              <w:top w:w="80" w:type="dxa"/>
              <w:start w:w="100" w:type="dxa"/>
              <w:bottom w:w="80" w:type="dxa"/>
              <w:end w:w="100" w:type="dxa"/>
            </w:tcMar>
          </w:tcPr>
          <w:p>
            <w:r>
              <w:rPr>
                <w:sz w:val="17"/>
              </w:rPr>
              <w:t>Nachvollziehbarkeit</w:t>
            </w:r>
          </w:p>
        </w:tc>
        <w:tc>
          <w:tcPr>
            <w:tcW w:type="dxa" w:w="4752"/>
            <w:vAlign w:val="top"/>
            <w:tcMar>
              <w:top w:w="80" w:type="dxa"/>
              <w:start w:w="100" w:type="dxa"/>
              <w:bottom w:w="80" w:type="dxa"/>
              <w:end w:w="100" w:type="dxa"/>
            </w:tcMar>
          </w:tcPr>
          <w:p>
            <w:r>
              <w:rPr>
                <w:sz w:val="17"/>
              </w:rPr>
              <w:t>version, validFrom, changelog</w:t>
            </w:r>
          </w:p>
        </w:tc>
      </w:tr>
    </w:tbl>
    <w:p/>
    <w:p>
      <w:pPr>
        <w:pStyle w:val="Heading2"/>
      </w:pPr>
      <w:r>
        <w:t>11.3 Beispielobjekt</w:t>
      </w:r>
    </w:p>
    <w:p>
      <w:r>
        <w:rPr>
          <w:rFonts w:ascii="Consolas" w:hAnsi="Consolas"/>
          <w:sz w:val="17"/>
        </w:rPr>
        <w:t>{</w:t>
        <w:br/>
        <w:t xml:space="preserve">  "question": {</w:t>
        <w:br/>
        <w:t xml:space="preserve">    "id": "ENERGY_001",</w:t>
        <w:br/>
        <w:t xml:space="preserve">    "statement": "Bei Energieentscheidungen sollen auch System- und Folgekosten berücksichtigt werden.",</w:t>
        <w:br/>
        <w:t xml:space="preserve">    "dimensions": ["climate", "resilience"]</w:t>
        <w:br/>
        <w:t xml:space="preserve">  },</w:t>
        <w:br/>
        <w:t xml:space="preserve">  "policyOption": {</w:t>
        <w:br/>
        <w:t xml:space="preserve">    "id": "ENERGY_001_A",</w:t>
        <w:br/>
        <w:t xml:space="preserve">    "title": "Vollständige Lebenszyklus- und Systemkostenbewertung"</w:t>
        <w:br/>
        <w:t xml:space="preserve">  },</w:t>
        <w:br/>
        <w:t xml:space="preserve">  "partyPosition": {</w:t>
        <w:br/>
        <w:t xml:space="preserve">    "partyId": "party-a",</w:t>
        <w:br/>
        <w:t xml:space="preserve">    "optionId": "ENERGY_001_A",</w:t>
        <w:br/>
        <w:t xml:space="preserve">    "stance": "supports",</w:t>
        <w:br/>
        <w:t xml:space="preserve">    "confidence": "high",</w:t>
        <w:br/>
        <w:t xml:space="preserve">    "sourceIds": ["SRC_001"]</w:t>
        <w:br/>
        <w:t xml:space="preserve">  },</w:t>
        <w:br/>
        <w:t xml:space="preserve">  "impactAssessment": {</w:t>
        <w:br/>
        <w:t xml:space="preserve">    "optionId": "ENERGY_001_A",</w:t>
        <w:br/>
        <w:t xml:space="preserve">    "scores": {"human": 1, "planet": 2, "democracy": 0, "resilience": 2},</w:t>
        <w:br/>
        <w:t xml:space="preserve">    "evidenceStrength": "medium",</w:t>
        <w:br/>
        <w:t xml:space="preserve">    "uncertainty": "medium",</w:t>
        <w:br/>
        <w:t xml:space="preserve">    "redLines": []</w:t>
        <w:br/>
        <w:t xml:space="preserve">  }</w:t>
        <w:br/>
        <w:t>}</w:t>
      </w:r>
    </w:p>
    <w:p>
      <w:pPr>
        <w:pStyle w:val="Heading1"/>
      </w:pPr>
      <w:r>
        <w:t>12. Governance, Quellen und Qualitätssicherung</w:t>
      </w:r>
    </w:p>
    <w:p>
      <w:pPr>
        <w:pStyle w:val="Heading2"/>
      </w:pPr>
      <w:r>
        <w:t>12.1 Quellenhierarchie</w:t>
      </w:r>
    </w:p>
    <w:p>
      <w:pPr>
        <w:pStyle w:val="ListNumber"/>
      </w:pPr>
      <w:r>
        <w:t>offizielle Wahl- und Grundsatzprogramme, Anträge, Gesetzesentwürfe und autorisierte Parteiantworten</w:t>
      </w:r>
    </w:p>
    <w:p>
      <w:pPr>
        <w:pStyle w:val="ListNumber"/>
      </w:pPr>
      <w:r>
        <w:t>Primärquellen staatlicher und internationaler Institutionen</w:t>
      </w:r>
    </w:p>
    <w:p>
      <w:pPr>
        <w:pStyle w:val="ListNumber"/>
      </w:pPr>
      <w:r>
        <w:t>wissenschaftliche Fachliteratur und systematische Reviews</w:t>
      </w:r>
    </w:p>
    <w:p>
      <w:pPr>
        <w:pStyle w:val="ListNumber"/>
      </w:pPr>
      <w:r>
        <w:t>anerkannte Fachinstitutionen und unabhängige Evaluierungen</w:t>
      </w:r>
    </w:p>
    <w:p>
      <w:pPr>
        <w:pStyle w:val="ListNumber"/>
      </w:pPr>
      <w:r>
        <w:t>hochwertiger Journalismus nur ergänzend zur Kontextualisierung</w:t>
      </w:r>
    </w:p>
    <w:p>
      <w:pPr>
        <w:pStyle w:val="ListNumber"/>
      </w:pPr>
      <w:r>
        <w:t>Parteikommunikation in sozialen Medien nur, wenn eindeutig autorisiert und archiviert</w:t>
      </w:r>
    </w:p>
    <w:p>
      <w:pPr>
        <w:pStyle w:val="Heading2"/>
      </w:pPr>
      <w:r>
        <w:t>12.2 Parteipositionen</w:t>
      </w:r>
    </w:p>
    <w:p>
      <w:r>
        <w:t>Parteien erhalten die Möglichkeit, ihre Positionen zu autorisieren, Quellen zu ergänzen und Fehler zu melden. Sie dürfen jedoch nicht ihre eigene Wirkungseinschätzung festlegen. Eine fehlende eindeutige Position wird als solche ausgewiesen und nicht geraten.</w:t>
      </w:r>
    </w:p>
    <w:p>
      <w:pPr>
        <w:pStyle w:val="Heading2"/>
      </w:pPr>
      <w:r>
        <w:t>12.3 Wirkungsanalysen</w:t>
      </w:r>
    </w:p>
    <w:p>
      <w:pPr>
        <w:pStyle w:val="ListBullet"/>
      </w:pPr>
      <w:r>
        <w:t>mindestens zwei unabhängige fachliche Bewertungen je zentraler Option</w:t>
      </w:r>
    </w:p>
    <w:p>
      <w:pPr>
        <w:pStyle w:val="ListBullet"/>
      </w:pPr>
      <w:r>
        <w:t>offengelegte Annahmen und Wirkungspfade</w:t>
      </w:r>
    </w:p>
    <w:p>
      <w:pPr>
        <w:pStyle w:val="ListBullet"/>
      </w:pPr>
      <w:r>
        <w:t>Evidenzgrad und Unsicherheit getrennt</w:t>
      </w:r>
    </w:p>
    <w:p>
      <w:pPr>
        <w:pStyle w:val="ListBullet"/>
      </w:pPr>
      <w:r>
        <w:t>Darstellung ernstzunehmender Gegenargumente</w:t>
      </w:r>
    </w:p>
    <w:p>
      <w:pPr>
        <w:pStyle w:val="ListBullet"/>
      </w:pPr>
      <w:r>
        <w:t>Versionierung und Änderungsprotokoll</w:t>
      </w:r>
    </w:p>
    <w:p>
      <w:pPr>
        <w:pStyle w:val="ListBullet"/>
      </w:pPr>
      <w:r>
        <w:t>Veröffentlichung des Datenstands und des letzten Prüfdatums</w:t>
      </w:r>
    </w:p>
    <w:p>
      <w:pPr>
        <w:pStyle w:val="Heading2"/>
      </w:pPr>
      <w:r>
        <w:t>12.4 Redaktionelle Unabhängigkeit</w:t>
      </w:r>
    </w:p>
    <w:p>
      <w:r>
        <w:t>Für die öffentliche Version ist ein plural besetzter Methoden- und Redaktionsrat vorzusehen. Kein politischer, wirtschaftlicher oder zivilgesellschaftlicher Akteur darf die Bewertung dominieren. Interessenbindungen werden offengelegt. Methodische Änderungen erfolgen nachvollziehbar und nicht nach Sichtung unerwünschter Ergebnisse.</w:t>
      </w:r>
    </w:p>
    <w:p>
      <w:pPr>
        <w:pStyle w:val="Heading1"/>
      </w:pPr>
      <w:r>
        <w:t>13. Datenschutz, Barrierefreiheit und Fairness</w:t>
      </w:r>
    </w:p>
    <w:p>
      <w:pPr>
        <w:pStyle w:val="Heading2"/>
      </w:pPr>
      <w:r>
        <w:t>13.1 Datenschutz</w:t>
      </w:r>
    </w:p>
    <w:p>
      <w:pPr>
        <w:pStyle w:val="ListBullet"/>
      </w:pPr>
      <w:r>
        <w:t>Nutzung ohne Konto</w:t>
      </w:r>
    </w:p>
    <w:p>
      <w:pPr>
        <w:pStyle w:val="ListBullet"/>
      </w:pPr>
      <w:r>
        <w:t>politische Antworten standardmäßig nur lokal im Browser</w:t>
      </w:r>
    </w:p>
    <w:p>
      <w:pPr>
        <w:pStyle w:val="ListBullet"/>
      </w:pPr>
      <w:r>
        <w:t>keine Übertragung individueller Antwortprofile an Analytics</w:t>
      </w:r>
    </w:p>
    <w:p>
      <w:pPr>
        <w:pStyle w:val="ListBullet"/>
      </w:pPr>
      <w:r>
        <w:t>keine personalisierte Werbung</w:t>
      </w:r>
    </w:p>
    <w:p>
      <w:pPr>
        <w:pStyle w:val="ListBullet"/>
      </w:pPr>
      <w:r>
        <w:t>keine Parteien- oder Kampagnen-Tracker</w:t>
      </w:r>
    </w:p>
    <w:p>
      <w:pPr>
        <w:pStyle w:val="ListBullet"/>
      </w:pPr>
      <w:r>
        <w:t>klarer Button zum Löschen sämtlicher lokaler Daten</w:t>
      </w:r>
    </w:p>
    <w:p>
      <w:pPr>
        <w:pStyle w:val="ListBullet"/>
      </w:pPr>
      <w:r>
        <w:t>Export nur auf aktive Entscheidung der Nutzerin oder des Nutzers</w:t>
      </w:r>
    </w:p>
    <w:p>
      <w:pPr>
        <w:pStyle w:val="Heading2"/>
      </w:pPr>
      <w:r>
        <w:t>13.2 Barrierefreiheit</w:t>
      </w:r>
    </w:p>
    <w:p>
      <w:pPr>
        <w:pStyle w:val="ListBullet"/>
      </w:pPr>
      <w:r>
        <w:t>WCAG 2.2 AA als Zielniveau</w:t>
      </w:r>
    </w:p>
    <w:p>
      <w:pPr>
        <w:pStyle w:val="ListBullet"/>
      </w:pPr>
      <w:r>
        <w:t>vollständige Tastaturbedienbarkeit</w:t>
      </w:r>
    </w:p>
    <w:p>
      <w:pPr>
        <w:pStyle w:val="ListBullet"/>
      </w:pPr>
      <w:r>
        <w:t>sichtbare Fokuszustände</w:t>
      </w:r>
    </w:p>
    <w:p>
      <w:pPr>
        <w:pStyle w:val="ListBullet"/>
      </w:pPr>
      <w:r>
        <w:t>keine Information ausschließlich über Farbe</w:t>
      </w:r>
    </w:p>
    <w:p>
      <w:pPr>
        <w:pStyle w:val="ListBullet"/>
      </w:pPr>
      <w:r>
        <w:t>Tabellen- und Textalternativen für Diagramme</w:t>
      </w:r>
    </w:p>
    <w:p>
      <w:pPr>
        <w:pStyle w:val="ListBullet"/>
      </w:pPr>
      <w:r>
        <w:t>ausreichende Touch-Flächen</w:t>
      </w:r>
    </w:p>
    <w:p>
      <w:pPr>
        <w:pStyle w:val="ListBullet"/>
      </w:pPr>
      <w:r>
        <w:t>Zoom bis 200 Prozent</w:t>
      </w:r>
    </w:p>
    <w:p>
      <w:pPr>
        <w:pStyle w:val="ListBullet"/>
      </w:pPr>
      <w:r>
        <w:t>Reduced-Motion-Unterstützung</w:t>
      </w:r>
    </w:p>
    <w:p>
      <w:pPr>
        <w:pStyle w:val="ListBullet"/>
      </w:pPr>
      <w:r>
        <w:t>verständliche Sprache und Fehlermeldungen</w:t>
      </w:r>
    </w:p>
    <w:p>
      <w:pPr>
        <w:pStyle w:val="Heading2"/>
      </w:pPr>
      <w:r>
        <w:t>13.3 Fairness gegen Label-Bias</w:t>
      </w:r>
    </w:p>
    <w:p>
      <w:r>
        <w:t>Der Prototyp enthält einen „Inhalte zuerst“-Modus. Parteien werden zunächst als A bis G angezeigt. Die Namen können erst nach bewusster Auswahl eingeblendet werden. Dadurch lässt sich prüfen, wie stark Nutzer auf Inhalte statt auf Parteimarken reagieren.</w:t>
      </w:r>
    </w:p>
    <w:p>
      <w:pPr>
        <w:pStyle w:val="Heading1"/>
      </w:pPr>
      <w:r>
        <w:t>14. UX-Anforderungen an Claude</w:t>
      </w:r>
    </w:p>
    <w:p>
      <w:r>
        <w:t>Claude soll einen vollständigen, klickbaren und visuell ausgereiften Prototypen erstellen. Die Gestaltung muss ruhig, seriös, modern, transparent und nicht belehrend wirken. Sie darf weder wie ein Verwaltungstool noch wie ein spielerisches Persönlichkeitsquiz erscheinen.</w:t>
      </w:r>
    </w:p>
    <w:p>
      <w:pPr>
        <w:pStyle w:val="Heading2"/>
      </w:pPr>
      <w:r>
        <w:t>14.1 Pflichtscreens</w:t>
      </w:r>
    </w:p>
    <w:p>
      <w:pPr>
        <w:pStyle w:val="ListBullet"/>
      </w:pPr>
      <w:r>
        <w:t>Landingpage</w:t>
      </w:r>
    </w:p>
    <w:p>
      <w:pPr>
        <w:pStyle w:val="ListBullet"/>
      </w:pPr>
      <w:r>
        <w:t>kurze Methodikerklärung</w:t>
      </w:r>
    </w:p>
    <w:p>
      <w:pPr>
        <w:pStyle w:val="ListBullet"/>
      </w:pPr>
      <w:r>
        <w:t>Datenschutz- und Speicherhinweis</w:t>
      </w:r>
    </w:p>
    <w:p>
      <w:pPr>
        <w:pStyle w:val="ListBullet"/>
      </w:pPr>
      <w:r>
        <w:t>Frageflow mit zwölf Fragen</w:t>
      </w:r>
    </w:p>
    <w:p>
      <w:pPr>
        <w:pStyle w:val="ListBullet"/>
      </w:pPr>
      <w:r>
        <w:t>persönliches Prioritätenprofil</w:t>
      </w:r>
    </w:p>
    <w:p>
      <w:pPr>
        <w:pStyle w:val="ListBullet"/>
      </w:pPr>
      <w:r>
        <w:t>Ergebnisübersicht mit Matrix</w:t>
      </w:r>
    </w:p>
    <w:p>
      <w:pPr>
        <w:pStyle w:val="ListBullet"/>
      </w:pPr>
      <w:r>
        <w:t>Inhalte-zuerst-Modus A bis G</w:t>
      </w:r>
    </w:p>
    <w:p>
      <w:pPr>
        <w:pStyle w:val="ListBullet"/>
      </w:pPr>
      <w:r>
        <w:t>Parteidetail</w:t>
      </w:r>
    </w:p>
    <w:p>
      <w:pPr>
        <w:pStyle w:val="ListBullet"/>
      </w:pPr>
      <w:r>
        <w:t>Fragen- oder Themendetail</w:t>
      </w:r>
    </w:p>
    <w:p>
      <w:pPr>
        <w:pStyle w:val="ListBullet"/>
      </w:pPr>
      <w:r>
        <w:t>Vergleich von zwei bis drei Parteien</w:t>
      </w:r>
    </w:p>
    <w:p>
      <w:pPr>
        <w:pStyle w:val="ListBullet"/>
      </w:pPr>
      <w:r>
        <w:t>Methodik- und Transparenzbereich</w:t>
      </w:r>
    </w:p>
    <w:p>
      <w:pPr>
        <w:pStyle w:val="ListBullet"/>
      </w:pPr>
      <w:r>
        <w:t>lokale Daten löschen</w:t>
      </w:r>
    </w:p>
    <w:p>
      <w:pPr>
        <w:pStyle w:val="ListBullet"/>
      </w:pPr>
      <w:r>
        <w:t>neutrale teilbare Ergebnisgrafik</w:t>
      </w:r>
    </w:p>
    <w:p>
      <w:pPr>
        <w:pStyle w:val="Heading2"/>
      </w:pPr>
      <w:r>
        <w:t>14.2 Visualisierungsregeln</w:t>
      </w:r>
    </w:p>
    <w:p>
      <w:pPr>
        <w:pStyle w:val="ListBullet"/>
      </w:pPr>
      <w:r>
        <w:t>Radar nur für persönliches Profil oder getrennte Einzelprofile</w:t>
      </w:r>
    </w:p>
    <w:p>
      <w:pPr>
        <w:pStyle w:val="ListBullet"/>
      </w:pPr>
      <w:r>
        <w:t>keine überlagerten Radare mit sieben Parteien</w:t>
      </w:r>
    </w:p>
    <w:p>
      <w:pPr>
        <w:pStyle w:val="ListBullet"/>
      </w:pPr>
      <w:r>
        <w:t>Matrix als primäres Vergleichsinstrument</w:t>
      </w:r>
    </w:p>
    <w:p>
      <w:pPr>
        <w:pStyle w:val="ListBullet"/>
      </w:pPr>
      <w:r>
        <w:t>zweidimensionales Koordinatensystem nur mit frei gewählten und klar benannten Achsen</w:t>
      </w:r>
    </w:p>
    <w:p>
      <w:pPr>
        <w:pStyle w:val="ListBullet"/>
      </w:pPr>
      <w:r>
        <w:t>keine dominanten Parteifarben</w:t>
      </w:r>
    </w:p>
    <w:p>
      <w:pPr>
        <w:pStyle w:val="ListBullet"/>
      </w:pPr>
      <w:r>
        <w:t>keine Siegerästhetik, Konfetti oder Gamification</w:t>
      </w:r>
    </w:p>
    <w:p>
      <w:pPr>
        <w:pStyle w:val="ListBullet"/>
      </w:pPr>
      <w:r>
        <w:t>Unsicherheit mit Bandbreiten, Labels oder gestrichelten Konturen sichtbar machen</w:t>
      </w:r>
    </w:p>
    <w:p>
      <w:pPr>
        <w:pStyle w:val="Heading1"/>
      </w:pPr>
      <w:r>
        <w:t>15. Vollständiger Claude-Arbeitsauftrag</w:t>
      </w:r>
    </w:p>
    <w:tbl>
      <w:tblPr>
        <w:tblW w:type="auto" w:w="0"/>
        <w:jc w:val="center"/>
        <w:tblLook w:firstColumn="1" w:firstRow="1" w:lastColumn="0" w:lastRow="0" w:noHBand="0" w:noVBand="1" w:val="04A0"/>
      </w:tblPr>
      <w:tblGrid>
        <w:gridCol w:w="9936"/>
      </w:tblGrid>
      <w:tr>
        <w:tc>
          <w:tcPr>
            <w:tcW w:type="dxa" w:w="9936"/>
            <w:shd w:fill="EAF3F0"/>
            <w:tcMar>
              <w:top w:w="140" w:type="dxa"/>
              <w:start w:w="160" w:type="dxa"/>
              <w:bottom w:w="140" w:type="dxa"/>
              <w:end w:w="160" w:type="dxa"/>
            </w:tcMar>
          </w:tcPr>
          <w:p>
            <w:r>
              <w:rPr>
                <w:b/>
                <w:sz w:val="22"/>
              </w:rPr>
              <w:t>Hinweis zur Nutzung</w:t>
              <w:br/>
            </w:r>
            <w:r>
              <w:rPr>
                <w:sz w:val="21"/>
              </w:rPr>
              <w:t>Der folgende Abschnitt kann vollständig an Claude übergeben werden. Dieses gesamte Word-Dokument bleibt jedoch die fachliche Referenz. Claude soll keine politischen Inhalte erfinden.</w:t>
            </w:r>
          </w:p>
        </w:tc>
      </w:tr>
    </w:tbl>
    <w:p/>
    <w:p>
      <w:pPr>
        <w:pStyle w:val="Heading2"/>
      </w:pPr>
      <w:r>
        <w:t>Rolle</w:t>
      </w:r>
    </w:p>
    <w:p>
      <w:r>
        <w:t>Du arbeitest als Senior Product Designer, UX Architect, Information Architect, Interaction Designer, Visual Designer und Accessibility Designer. Du arbeitest nicht als politische Redaktion, Parteianalyst oder Erfinder der Bewertungsmethodik.</w:t>
      </w:r>
    </w:p>
    <w:p>
      <w:pPr>
        <w:pStyle w:val="Heading2"/>
      </w:pPr>
      <w:r>
        <w:t>Ziel</w:t>
      </w:r>
    </w:p>
    <w:p>
      <w:r>
        <w:t>Entwickle den hochwertigen, modernen, vertrauenswürdigen und mobile-first ausgerichteten Wirkungswahl-Kompass einschließlich klickbarem Frontend-Prototyp. Der Kompass zeigt persönliche Prioritäten, themenbezogene Parteipositionen, Wirkungspotenziale politischer Optionen, Zielkonflikte, Unsicherheiten und Wirkungsgrenzen.</w:t>
      </w:r>
    </w:p>
    <w:p>
      <w:pPr>
        <w:pStyle w:val="Heading2"/>
      </w:pPr>
      <w:r>
        <w:t>Nicht verhandelbar</w:t>
      </w:r>
    </w:p>
    <w:p>
      <w:r>
        <w:t>Keine Wahlempfehlung. Keine Gesamtprozentzahl. Keine Rangliste. Keine visuelle Bevorzugung. Positionale Nähe, Wirkungspotenzial, Evidenz, Unsicherheit und Mindestbedingungen strikt trennen. Jede Einordnung erklärbar machen.</w:t>
      </w:r>
    </w:p>
    <w:p>
      <w:pPr>
        <w:pStyle w:val="Heading2"/>
      </w:pPr>
      <w:r>
        <w:t>Daten</w:t>
      </w:r>
    </w:p>
    <w:p>
      <w:r>
        <w:t>Verwende ausschließlich die gelieferten Demo-Daten und den Content Contract. Nutze Parteien A bis G. Erfinde keine realen Parteipositionen oder Scores. Alle Inhalte müssen austauschbar und datengetrieben sein.</w:t>
      </w:r>
    </w:p>
    <w:p>
      <w:pPr>
        <w:pStyle w:val="Heading2"/>
      </w:pPr>
      <w:r>
        <w:t>Nutzerfluss</w:t>
      </w:r>
    </w:p>
    <w:p>
      <w:r>
        <w:t>Landingpage; Methodik; Datenschutz; zwölf Fragen; Wichtigkeit; persönliches Profil; Ergebnis-Matrix; Inhalte-zuerst-Modus; Parteidetail; Themendetail; Vergleich; Quellen; Löschen lokaler Daten.</w:t>
      </w:r>
    </w:p>
    <w:p>
      <w:pPr>
        <w:pStyle w:val="Heading2"/>
      </w:pPr>
      <w:r>
        <w:t>Design</w:t>
      </w:r>
    </w:p>
    <w:p>
      <w:r>
        <w:t>Ruhig, seriös, modern, offen, transparent, menschlich und nicht belehrend. Keine Wahlkampfästhetik, kein Quiz-Charakter, keine Siegerdarstellung, keine pseudoexakte Datenästhetik.</w:t>
      </w:r>
    </w:p>
    <w:p>
      <w:pPr>
        <w:pStyle w:val="Heading2"/>
      </w:pPr>
      <w:r>
        <w:t>Responsive</w:t>
      </w:r>
    </w:p>
    <w:p>
      <w:r>
        <w:t>Smartphone zuerst. Der Frageflow muss einhändig funktionieren. Matrizen und Details müssen auf kleinen Displays sinnvoll aufgelöst werden. Diagramme brauchen zugängliche Alternativen.</w:t>
      </w:r>
    </w:p>
    <w:p>
      <w:pPr>
        <w:pStyle w:val="Heading2"/>
      </w:pPr>
      <w:r>
        <w:t>Accessibility</w:t>
      </w:r>
    </w:p>
    <w:p>
      <w:r>
        <w:t>WCAG-2.2-AA-orientiert, Tastaturbedienung, Screenreader-Beschriftung, sichtbarer Fokus, keine Farbcodierung allein, Tabellenalternative, ausreichend große Touch-Flächen, Reduced Motion.</w:t>
      </w:r>
    </w:p>
    <w:p>
      <w:pPr>
        <w:pStyle w:val="Heading2"/>
      </w:pPr>
      <w:r>
        <w:t>Lieferumfang</w:t>
      </w:r>
    </w:p>
    <w:p>
      <w:r>
        <w:t>UX_STRATEGY.md, INFORMATION_ARCHITECTURE.md, USER_FLOW.md, SCREEN_SPECIFICATIONS.md, DESIGN_SYSTEM.md, DESIGN_TOKENS.json, COMPONENT_CATALOG.md, ACCESSIBILITY.md, RESPONSIVE_BEHAVIOR.md, INTERACTION_STATES.md, klickbarer Prototyp und HANDOFF_CODEX.md.</w:t>
      </w:r>
    </w:p>
    <w:p>
      <w:pPr>
        <w:pStyle w:val="Heading2"/>
      </w:pPr>
      <w:r>
        <w:t>Handoff</w:t>
      </w:r>
    </w:p>
    <w:p>
      <w:r>
        <w:t>HANDOFF_CODEX.md muss Komponentenbaum, Datenabhängigkeiten, Zustandsmodell, Breakpoints, Interaktionen, Diagrammlogik, Accessibility, Animationen, offene Annahmen und ausdrücklich unveränderbare Regeln enthalten.</w:t>
      </w:r>
    </w:p>
    <w:p>
      <w:pPr>
        <w:pStyle w:val="Heading1"/>
      </w:pPr>
      <w:r>
        <w:t>16. CodeX-Handoff und Deploymentauftrag</w:t>
      </w:r>
    </w:p>
    <w:p>
      <w:r>
        <w:t>CodeX beginnt erst, wenn Claude den Prototyp und HANDOFF_CODEX geliefert hat. Der CodeX-Auftrag besteht aus drei verbindlichen Quellen: diesem Dokument und dem Content-Paket, dem Claude-Design-Handoff sowie den Akzeptanztests.</w:t>
      </w:r>
    </w:p>
    <w:p>
      <w:pPr>
        <w:pStyle w:val="Heading2"/>
      </w:pPr>
      <w:r>
        <w:t>16.1 Verbindlicher CodeX-Auftrag</w:t>
      </w:r>
    </w:p>
    <w:p>
      <w:pPr>
        <w:pStyle w:val="ListBullet"/>
      </w:pPr>
      <w:r>
        <w:t>Analysiere zuerst das vorhandene Repository, die Frameworks, Routing- und Stylingarchitektur.</w:t>
      </w:r>
    </w:p>
    <w:p>
      <w:pPr>
        <w:pStyle w:val="ListBullet"/>
      </w:pPr>
      <w:r>
        <w:t>Implementiere das von Claude gelieferte Design ohne eigenmächtige UX-Neuerfindung.</w:t>
      </w:r>
    </w:p>
    <w:p>
      <w:pPr>
        <w:pStyle w:val="ListBullet"/>
      </w:pPr>
      <w:r>
        <w:t>Nutze /content als alleinige Quelle für Fragen, Parteien, Bewertungen, Quellen und Copy.</w:t>
      </w:r>
    </w:p>
    <w:p>
      <w:pPr>
        <w:pStyle w:val="ListBullet"/>
      </w:pPr>
      <w:r>
        <w:t>Validiere sämtliche Inhalte gegen JSON-Schemas.</w:t>
      </w:r>
    </w:p>
    <w:p>
      <w:pPr>
        <w:pStyle w:val="ListBullet"/>
      </w:pPr>
      <w:r>
        <w:t>Halte positionale Nähe und Wirkungspotenzial technisch in getrennten Modulen.</w:t>
      </w:r>
    </w:p>
    <w:p>
      <w:pPr>
        <w:pStyle w:val="ListBullet"/>
      </w:pPr>
      <w:r>
        <w:t>Erzeuge keine Gesamtwertung und keine Rangliste.</w:t>
      </w:r>
    </w:p>
    <w:p>
      <w:pPr>
        <w:pStyle w:val="ListBullet"/>
      </w:pPr>
      <w:r>
        <w:t>Hardcode keine politischen Inhalte.</w:t>
      </w:r>
    </w:p>
    <w:p>
      <w:pPr>
        <w:pStyle w:val="ListBullet"/>
      </w:pPr>
      <w:r>
        <w:t>Speichere Nutzerantworten standardmäßig nur lokal.</w:t>
      </w:r>
    </w:p>
    <w:p>
      <w:pPr>
        <w:pStyle w:val="ListBullet"/>
      </w:pPr>
      <w:r>
        <w:t>Übertrage keine individuellen politischen Antworten an Analytics.</w:t>
      </w:r>
    </w:p>
    <w:p>
      <w:pPr>
        <w:pStyle w:val="ListBullet"/>
      </w:pPr>
      <w:r>
        <w:t>Implementiere barrierefreie Text- und Tabellenalternativen für Diagramme.</w:t>
      </w:r>
    </w:p>
    <w:p>
      <w:pPr>
        <w:pStyle w:val="ListBullet"/>
      </w:pPr>
      <w:r>
        <w:t>Zeige Datenstand, Methodikversion und Quellenprüfung sichtbar an.</w:t>
      </w:r>
    </w:p>
    <w:p>
      <w:pPr>
        <w:pStyle w:val="ListBullet"/>
      </w:pPr>
      <w:r>
        <w:t>Implementiere Unit-, Integrations-, Accessibility- und End-to-End-Tests.</w:t>
      </w:r>
    </w:p>
    <w:p>
      <w:pPr>
        <w:pStyle w:val="ListBullet"/>
      </w:pPr>
      <w:r>
        <w:t>Erstelle zunächst ein Preview-Deployment und führe Smoke- und Akzeptanztests aus.</w:t>
      </w:r>
    </w:p>
    <w:p>
      <w:pPr>
        <w:pStyle w:val="ListBullet"/>
      </w:pPr>
      <w:r>
        <w:t>Dokumentiere jede notwendige Abweichung vor der Umsetzung.</w:t>
      </w:r>
    </w:p>
    <w:p>
      <w:pPr>
        <w:pStyle w:val="Heading2"/>
      </w:pPr>
      <w:r>
        <w:t>16.2 Empfohlene technische Module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304"/>
            <w:shd w:fill="DCEAE5"/>
            <w:vAlign w:val="center"/>
            <w:tcMar>
              <w:top w:w="80" w:type="dxa"/>
              <w:start w:w="100" w:type="dxa"/>
              <w:bottom w:w="80" w:type="dxa"/>
              <w:end w:w="100" w:type="dxa"/>
            </w:tcMar>
          </w:tcPr>
          <w:p>
            <w:r>
              <w:rPr>
                <w:b/>
                <w:sz w:val="18"/>
              </w:rPr>
              <w:t>Modul</w:t>
            </w:r>
          </w:p>
        </w:tc>
        <w:tc>
          <w:tcPr>
            <w:tcW w:type="dxa" w:w="6336"/>
            <w:shd w:fill="DCEAE5"/>
            <w:vAlign w:val="center"/>
            <w:tcMar>
              <w:top w:w="80" w:type="dxa"/>
              <w:start w:w="100" w:type="dxa"/>
              <w:bottom w:w="80" w:type="dxa"/>
              <w:end w:w="100" w:type="dxa"/>
            </w:tcMar>
          </w:tcPr>
          <w:p>
            <w:r>
              <w:rPr>
                <w:b/>
                <w:sz w:val="18"/>
              </w:rPr>
              <w:t>Aufgabe</w:t>
            </w:r>
          </w:p>
        </w:tc>
      </w:tr>
      <w:tr>
        <w:tc>
          <w:tcPr>
            <w:tcW w:type="dxa" w:w="2304"/>
            <w:vAlign w:val="top"/>
            <w:tcMar>
              <w:top w:w="80" w:type="dxa"/>
              <w:start w:w="100" w:type="dxa"/>
              <w:bottom w:w="80" w:type="dxa"/>
              <w:end w:w="100" w:type="dxa"/>
            </w:tcMar>
          </w:tcPr>
          <w:p>
            <w:r>
              <w:rPr>
                <w:sz w:val="18"/>
              </w:rPr>
              <w:t>content-loader</w:t>
            </w:r>
          </w:p>
        </w:tc>
        <w:tc>
          <w:tcPr>
            <w:tcW w:type="dxa" w:w="6336"/>
            <w:vAlign w:val="top"/>
            <w:tcMar>
              <w:top w:w="80" w:type="dxa"/>
              <w:start w:w="100" w:type="dxa"/>
              <w:bottom w:w="80" w:type="dxa"/>
              <w:end w:w="100" w:type="dxa"/>
            </w:tcMar>
          </w:tcPr>
          <w:p>
            <w:r>
              <w:rPr>
                <w:sz w:val="18"/>
              </w:rPr>
              <w:t>Laden und Validieren versionierter JSON-Inhalte</w:t>
            </w:r>
          </w:p>
        </w:tc>
      </w:tr>
      <w:tr>
        <w:tc>
          <w:tcPr>
            <w:tcW w:type="dxa" w:w="2304"/>
            <w:vAlign w:val="top"/>
            <w:tcMar>
              <w:top w:w="80" w:type="dxa"/>
              <w:start w:w="100" w:type="dxa"/>
              <w:bottom w:w="80" w:type="dxa"/>
              <w:end w:w="100" w:type="dxa"/>
            </w:tcMar>
          </w:tcPr>
          <w:p>
            <w:r>
              <w:rPr>
                <w:sz w:val="18"/>
              </w:rPr>
              <w:t>answer-state</w:t>
            </w:r>
          </w:p>
        </w:tc>
        <w:tc>
          <w:tcPr>
            <w:tcW w:type="dxa" w:w="6336"/>
            <w:vAlign w:val="top"/>
            <w:tcMar>
              <w:top w:w="80" w:type="dxa"/>
              <w:start w:w="100" w:type="dxa"/>
              <w:bottom w:w="80" w:type="dxa"/>
              <w:end w:w="100" w:type="dxa"/>
            </w:tcMar>
          </w:tcPr>
          <w:p>
            <w:r>
              <w:rPr>
                <w:sz w:val="18"/>
              </w:rPr>
              <w:t>lokaler Zustand, Fortschritt, Löschen, optionaler Export</w:t>
            </w:r>
          </w:p>
        </w:tc>
      </w:tr>
      <w:tr>
        <w:tc>
          <w:tcPr>
            <w:tcW w:type="dxa" w:w="2304"/>
            <w:vAlign w:val="top"/>
            <w:tcMar>
              <w:top w:w="80" w:type="dxa"/>
              <w:start w:w="100" w:type="dxa"/>
              <w:bottom w:w="80" w:type="dxa"/>
              <w:end w:w="100" w:type="dxa"/>
            </w:tcMar>
          </w:tcPr>
          <w:p>
            <w:r>
              <w:rPr>
                <w:sz w:val="18"/>
              </w:rPr>
              <w:t>position-match-engine</w:t>
            </w:r>
          </w:p>
        </w:tc>
        <w:tc>
          <w:tcPr>
            <w:tcW w:type="dxa" w:w="6336"/>
            <w:vAlign w:val="top"/>
            <w:tcMar>
              <w:top w:w="80" w:type="dxa"/>
              <w:start w:w="100" w:type="dxa"/>
              <w:bottom w:w="80" w:type="dxa"/>
              <w:end w:w="100" w:type="dxa"/>
            </w:tcMar>
          </w:tcPr>
          <w:p>
            <w:r>
              <w:rPr>
                <w:sz w:val="18"/>
              </w:rPr>
              <w:t>themenbezogene Nähe, ohne Gesamtwinner</w:t>
            </w:r>
          </w:p>
        </w:tc>
      </w:tr>
      <w:tr>
        <w:tc>
          <w:tcPr>
            <w:tcW w:type="dxa" w:w="2304"/>
            <w:vAlign w:val="top"/>
            <w:tcMar>
              <w:top w:w="80" w:type="dxa"/>
              <w:start w:w="100" w:type="dxa"/>
              <w:bottom w:w="80" w:type="dxa"/>
              <w:end w:w="100" w:type="dxa"/>
            </w:tcMar>
          </w:tcPr>
          <w:p>
            <w:r>
              <w:rPr>
                <w:sz w:val="18"/>
              </w:rPr>
              <w:t>impact-view</w:t>
            </w:r>
          </w:p>
        </w:tc>
        <w:tc>
          <w:tcPr>
            <w:tcW w:type="dxa" w:w="6336"/>
            <w:vAlign w:val="top"/>
            <w:tcMar>
              <w:top w:w="80" w:type="dxa"/>
              <w:start w:w="100" w:type="dxa"/>
              <w:bottom w:w="80" w:type="dxa"/>
              <w:end w:w="100" w:type="dxa"/>
            </w:tcMar>
          </w:tcPr>
          <w:p>
            <w:r>
              <w:rPr>
                <w:sz w:val="18"/>
              </w:rPr>
              <w:t>Darstellung redaktioneller Wirkungspotenziale</w:t>
            </w:r>
          </w:p>
        </w:tc>
      </w:tr>
      <w:tr>
        <w:tc>
          <w:tcPr>
            <w:tcW w:type="dxa" w:w="2304"/>
            <w:vAlign w:val="top"/>
            <w:tcMar>
              <w:top w:w="80" w:type="dxa"/>
              <w:start w:w="100" w:type="dxa"/>
              <w:bottom w:w="80" w:type="dxa"/>
              <w:end w:w="100" w:type="dxa"/>
            </w:tcMar>
          </w:tcPr>
          <w:p>
            <w:r>
              <w:rPr>
                <w:sz w:val="18"/>
              </w:rPr>
              <w:t>red-line-engine</w:t>
            </w:r>
          </w:p>
        </w:tc>
        <w:tc>
          <w:tcPr>
            <w:tcW w:type="dxa" w:w="6336"/>
            <w:vAlign w:val="top"/>
            <w:tcMar>
              <w:top w:w="80" w:type="dxa"/>
              <w:start w:w="100" w:type="dxa"/>
              <w:bottom w:w="80" w:type="dxa"/>
              <w:end w:w="100" w:type="dxa"/>
            </w:tcMar>
          </w:tcPr>
          <w:p>
            <w:r>
              <w:rPr>
                <w:sz w:val="18"/>
              </w:rPr>
              <w:t>separate Kennzeichnung nichtkompensierbarer Grenzen</w:t>
            </w:r>
          </w:p>
        </w:tc>
      </w:tr>
      <w:tr>
        <w:tc>
          <w:tcPr>
            <w:tcW w:type="dxa" w:w="2304"/>
            <w:vAlign w:val="top"/>
            <w:tcMar>
              <w:top w:w="80" w:type="dxa"/>
              <w:start w:w="100" w:type="dxa"/>
              <w:bottom w:w="80" w:type="dxa"/>
              <w:end w:w="100" w:type="dxa"/>
            </w:tcMar>
          </w:tcPr>
          <w:p>
            <w:r>
              <w:rPr>
                <w:sz w:val="18"/>
              </w:rPr>
              <w:t>evidence-layer</w:t>
            </w:r>
          </w:p>
        </w:tc>
        <w:tc>
          <w:tcPr>
            <w:tcW w:type="dxa" w:w="6336"/>
            <w:vAlign w:val="top"/>
            <w:tcMar>
              <w:top w:w="80" w:type="dxa"/>
              <w:start w:w="100" w:type="dxa"/>
              <w:bottom w:w="80" w:type="dxa"/>
              <w:end w:w="100" w:type="dxa"/>
            </w:tcMar>
          </w:tcPr>
          <w:p>
            <w:r>
              <w:rPr>
                <w:sz w:val="18"/>
              </w:rPr>
              <w:t>Quellen, Evidenzgrad, Unsicherheit und Datenstand</w:t>
            </w:r>
          </w:p>
        </w:tc>
      </w:tr>
      <w:tr>
        <w:tc>
          <w:tcPr>
            <w:tcW w:type="dxa" w:w="2304"/>
            <w:vAlign w:val="top"/>
            <w:tcMar>
              <w:top w:w="80" w:type="dxa"/>
              <w:start w:w="100" w:type="dxa"/>
              <w:bottom w:w="80" w:type="dxa"/>
              <w:end w:w="100" w:type="dxa"/>
            </w:tcMar>
          </w:tcPr>
          <w:p>
            <w:r>
              <w:rPr>
                <w:sz w:val="18"/>
              </w:rPr>
              <w:t>visualization-layer</w:t>
            </w:r>
          </w:p>
        </w:tc>
        <w:tc>
          <w:tcPr>
            <w:tcW w:type="dxa" w:w="6336"/>
            <w:vAlign w:val="top"/>
            <w:tcMar>
              <w:top w:w="80" w:type="dxa"/>
              <w:start w:w="100" w:type="dxa"/>
              <w:bottom w:w="80" w:type="dxa"/>
              <w:end w:w="100" w:type="dxa"/>
            </w:tcMar>
          </w:tcPr>
          <w:p>
            <w:r>
              <w:rPr>
                <w:sz w:val="18"/>
              </w:rPr>
              <w:t>Radar, Matrix, Small Multiples, Tabellenalternativen</w:t>
            </w:r>
          </w:p>
        </w:tc>
      </w:tr>
      <w:tr>
        <w:tc>
          <w:tcPr>
            <w:tcW w:type="dxa" w:w="2304"/>
            <w:vAlign w:val="top"/>
            <w:tcMar>
              <w:top w:w="80" w:type="dxa"/>
              <w:start w:w="100" w:type="dxa"/>
              <w:bottom w:w="80" w:type="dxa"/>
              <w:end w:w="100" w:type="dxa"/>
            </w:tcMar>
          </w:tcPr>
          <w:p>
            <w:r>
              <w:rPr>
                <w:sz w:val="18"/>
              </w:rPr>
              <w:t>privacy-layer</w:t>
            </w:r>
          </w:p>
        </w:tc>
        <w:tc>
          <w:tcPr>
            <w:tcW w:type="dxa" w:w="6336"/>
            <w:vAlign w:val="top"/>
            <w:tcMar>
              <w:top w:w="80" w:type="dxa"/>
              <w:start w:w="100" w:type="dxa"/>
              <w:bottom w:w="80" w:type="dxa"/>
              <w:end w:w="100" w:type="dxa"/>
            </w:tcMar>
          </w:tcPr>
          <w:p>
            <w:r>
              <w:rPr>
                <w:sz w:val="18"/>
              </w:rPr>
              <w:t>keine politische Telemetrie, lokale Speicherung</w:t>
            </w:r>
          </w:p>
        </w:tc>
      </w:tr>
      <w:tr>
        <w:tc>
          <w:tcPr>
            <w:tcW w:type="dxa" w:w="2304"/>
            <w:vAlign w:val="top"/>
            <w:tcMar>
              <w:top w:w="80" w:type="dxa"/>
              <w:start w:w="100" w:type="dxa"/>
              <w:bottom w:w="80" w:type="dxa"/>
              <w:end w:w="100" w:type="dxa"/>
            </w:tcMar>
          </w:tcPr>
          <w:p>
            <w:r>
              <w:rPr>
                <w:sz w:val="18"/>
              </w:rPr>
              <w:t>a11y-layer</w:t>
            </w:r>
          </w:p>
        </w:tc>
        <w:tc>
          <w:tcPr>
            <w:tcW w:type="dxa" w:w="6336"/>
            <w:vAlign w:val="top"/>
            <w:tcMar>
              <w:top w:w="80" w:type="dxa"/>
              <w:start w:w="100" w:type="dxa"/>
              <w:bottom w:w="80" w:type="dxa"/>
              <w:end w:w="100" w:type="dxa"/>
            </w:tcMar>
          </w:tcPr>
          <w:p>
            <w:r>
              <w:rPr>
                <w:sz w:val="18"/>
              </w:rPr>
              <w:t>Tastatur, Screenreader, Alternativdarstellungen</w:t>
            </w:r>
          </w:p>
        </w:tc>
      </w:tr>
      <w:tr>
        <w:tc>
          <w:tcPr>
            <w:tcW w:type="dxa" w:w="2304"/>
            <w:vAlign w:val="top"/>
            <w:tcMar>
              <w:top w:w="80" w:type="dxa"/>
              <w:start w:w="100" w:type="dxa"/>
              <w:bottom w:w="80" w:type="dxa"/>
              <w:end w:w="100" w:type="dxa"/>
            </w:tcMar>
          </w:tcPr>
          <w:p>
            <w:r>
              <w:rPr>
                <w:sz w:val="18"/>
              </w:rPr>
              <w:t>versioning</w:t>
            </w:r>
          </w:p>
        </w:tc>
        <w:tc>
          <w:tcPr>
            <w:tcW w:type="dxa" w:w="6336"/>
            <w:vAlign w:val="top"/>
            <w:tcMar>
              <w:top w:w="80" w:type="dxa"/>
              <w:start w:w="100" w:type="dxa"/>
              <w:bottom w:w="80" w:type="dxa"/>
              <w:end w:w="100" w:type="dxa"/>
            </w:tcMar>
          </w:tcPr>
          <w:p>
            <w:r>
              <w:rPr>
                <w:sz w:val="18"/>
              </w:rPr>
              <w:t>Methodik- und Inhaltsversionen, Changelog</w:t>
            </w:r>
          </w:p>
        </w:tc>
      </w:tr>
    </w:tbl>
    <w:p/>
    <w:p>
      <w:pPr>
        <w:pStyle w:val="Heading1"/>
      </w:pPr>
      <w:r>
        <w:t>17. Akzeptanzkriterien und Testfälle</w:t>
      </w:r>
    </w:p>
    <w:p>
      <w:pPr>
        <w:pStyle w:val="Heading2"/>
      </w:pPr>
      <w:r>
        <w:t>17.1 Methodische Abnahme</w:t>
      </w:r>
    </w:p>
    <w:p>
      <w:pPr>
        <w:pStyle w:val="ListBullet"/>
      </w:pPr>
      <w:r>
        <w:t>Keine Stelle erzeugt oder suggeriert eine Wahlempfehlung.</w:t>
      </w:r>
    </w:p>
    <w:p>
      <w:pPr>
        <w:pStyle w:val="ListBullet"/>
      </w:pPr>
      <w:r>
        <w:t>Keine Gesamtprozentzahl oder Rangliste wird angezeigt.</w:t>
      </w:r>
    </w:p>
    <w:p>
      <w:pPr>
        <w:pStyle w:val="ListBullet"/>
      </w:pPr>
      <w:r>
        <w:t>Positionale Nähe und Wirkungspotenzial sind visuell und technisch getrennt.</w:t>
      </w:r>
    </w:p>
    <w:p>
      <w:pPr>
        <w:pStyle w:val="ListBullet"/>
      </w:pPr>
      <w:r>
        <w:t>Unsicherheit und Evidenz werden separat dargestellt.</w:t>
      </w:r>
    </w:p>
    <w:p>
      <w:pPr>
        <w:pStyle w:val="ListBullet"/>
      </w:pPr>
      <w:r>
        <w:t>Wirkungsgrenzen werden nicht verrechnet.</w:t>
      </w:r>
    </w:p>
    <w:p>
      <w:pPr>
        <w:pStyle w:val="ListBullet"/>
      </w:pPr>
      <w:r>
        <w:t>Jeder Wert ist bis zur Quelle oder Regel erklärbar.</w:t>
      </w:r>
    </w:p>
    <w:p>
      <w:pPr>
        <w:pStyle w:val="ListBullet"/>
      </w:pPr>
      <w:r>
        <w:t>Fehlende Parteipositionen werden als fehlend ausgewiesen, nicht geschätzt.</w:t>
      </w:r>
    </w:p>
    <w:p>
      <w:pPr>
        <w:pStyle w:val="Heading2"/>
      </w:pPr>
      <w:r>
        <w:t>17.2 UX-Abnahme</w:t>
      </w:r>
    </w:p>
    <w:p>
      <w:pPr>
        <w:pStyle w:val="ListBullet"/>
      </w:pPr>
      <w:r>
        <w:t>Der gesamte Frageflow ist auf 360 Pixel Breite nutzbar.</w:t>
      </w:r>
    </w:p>
    <w:p>
      <w:pPr>
        <w:pStyle w:val="ListBullet"/>
      </w:pPr>
      <w:r>
        <w:t>Eine Nutzerin versteht innerhalb der Landingpage, was das Produkt ist und nicht ist.</w:t>
      </w:r>
    </w:p>
    <w:p>
      <w:pPr>
        <w:pStyle w:val="ListBullet"/>
      </w:pPr>
      <w:r>
        <w:t>Die Ergebnisübersicht zeigt keinen Sieger.</w:t>
      </w:r>
    </w:p>
    <w:p>
      <w:pPr>
        <w:pStyle w:val="ListBullet"/>
      </w:pPr>
      <w:r>
        <w:t>Der Inhalte-zuerst-Modus funktioniert vollständig.</w:t>
      </w:r>
    </w:p>
    <w:p>
      <w:pPr>
        <w:pStyle w:val="ListBullet"/>
      </w:pPr>
      <w:r>
        <w:t>Diagramme haben lesbare Text- oder Tabellenalternativen.</w:t>
      </w:r>
    </w:p>
    <w:p>
      <w:pPr>
        <w:pStyle w:val="ListBullet"/>
      </w:pPr>
      <w:r>
        <w:t>Parteien werden standardmäßig alphabetisch oder anonymisiert dargestellt.</w:t>
      </w:r>
    </w:p>
    <w:p>
      <w:pPr>
        <w:pStyle w:val="ListBullet"/>
      </w:pPr>
      <w:r>
        <w:t>Quellen und Datenstand sind mit höchstens zwei Interaktionen erreichbar.</w:t>
      </w:r>
    </w:p>
    <w:p>
      <w:pPr>
        <w:pStyle w:val="Heading2"/>
      </w:pPr>
      <w:r>
        <w:t>17.3 Technische Tests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168"/>
            <w:shd w:fill="DCEAE5"/>
            <w:vAlign w:val="center"/>
            <w:tcMar>
              <w:top w:w="80" w:type="dxa"/>
              <w:start w:w="100" w:type="dxa"/>
              <w:bottom w:w="80" w:type="dxa"/>
              <w:end w:w="100" w:type="dxa"/>
            </w:tcMar>
          </w:tcPr>
          <w:p>
            <w:r>
              <w:rPr>
                <w:b/>
                <w:sz w:val="18"/>
              </w:rPr>
              <w:t>Testfall</w:t>
            </w:r>
          </w:p>
        </w:tc>
        <w:tc>
          <w:tcPr>
            <w:tcW w:type="dxa" w:w="5760"/>
            <w:shd w:fill="DCEAE5"/>
            <w:vAlign w:val="center"/>
            <w:tcMar>
              <w:top w:w="80" w:type="dxa"/>
              <w:start w:w="100" w:type="dxa"/>
              <w:bottom w:w="80" w:type="dxa"/>
              <w:end w:w="100" w:type="dxa"/>
            </w:tcMar>
          </w:tcPr>
          <w:p>
            <w:r>
              <w:rPr>
                <w:b/>
                <w:sz w:val="18"/>
              </w:rPr>
              <w:t>Erwartetes Ergebnis</w:t>
            </w:r>
          </w:p>
        </w:tc>
      </w:tr>
      <w:tr>
        <w:tc>
          <w:tcPr>
            <w:tcW w:type="dxa" w:w="3168"/>
            <w:vAlign w:val="top"/>
            <w:tcMar>
              <w:top w:w="80" w:type="dxa"/>
              <w:start w:w="100" w:type="dxa"/>
              <w:bottom w:w="80" w:type="dxa"/>
              <w:end w:w="100" w:type="dxa"/>
            </w:tcMar>
          </w:tcPr>
          <w:p>
            <w:r>
              <w:rPr>
                <w:sz w:val="18"/>
              </w:rPr>
              <w:t>Frage übersprungen</w:t>
            </w:r>
          </w:p>
        </w:tc>
        <w:tc>
          <w:tcPr>
            <w:tcW w:type="dxa" w:w="5760"/>
            <w:vAlign w:val="top"/>
            <w:tcMar>
              <w:top w:w="80" w:type="dxa"/>
              <w:start w:w="100" w:type="dxa"/>
              <w:bottom w:w="80" w:type="dxa"/>
              <w:end w:w="100" w:type="dxa"/>
            </w:tcMar>
          </w:tcPr>
          <w:p>
            <w:r>
              <w:rPr>
                <w:sz w:val="18"/>
              </w:rPr>
              <w:t>wird nicht als neutral bewertet und nicht in den Nenner aufgenommen</w:t>
            </w:r>
          </w:p>
        </w:tc>
      </w:tr>
      <w:tr>
        <w:tc>
          <w:tcPr>
            <w:tcW w:type="dxa" w:w="3168"/>
            <w:vAlign w:val="top"/>
            <w:tcMar>
              <w:top w:w="80" w:type="dxa"/>
              <w:start w:w="100" w:type="dxa"/>
              <w:bottom w:w="80" w:type="dxa"/>
              <w:end w:w="100" w:type="dxa"/>
            </w:tcMar>
          </w:tcPr>
          <w:p>
            <w:r>
              <w:rPr>
                <w:sz w:val="18"/>
              </w:rPr>
              <w:t>Antwort geändert</w:t>
            </w:r>
          </w:p>
        </w:tc>
        <w:tc>
          <w:tcPr>
            <w:tcW w:type="dxa" w:w="5760"/>
            <w:vAlign w:val="top"/>
            <w:tcMar>
              <w:top w:w="80" w:type="dxa"/>
              <w:start w:w="100" w:type="dxa"/>
              <w:bottom w:w="80" w:type="dxa"/>
              <w:end w:w="100" w:type="dxa"/>
            </w:tcMar>
          </w:tcPr>
          <w:p>
            <w:r>
              <w:rPr>
                <w:sz w:val="18"/>
              </w:rPr>
              <w:t>alle abhängigen Darstellungen aktualisieren sich deterministisch</w:t>
            </w:r>
          </w:p>
        </w:tc>
      </w:tr>
      <w:tr>
        <w:tc>
          <w:tcPr>
            <w:tcW w:type="dxa" w:w="3168"/>
            <w:vAlign w:val="top"/>
            <w:tcMar>
              <w:top w:w="80" w:type="dxa"/>
              <w:start w:w="100" w:type="dxa"/>
              <w:bottom w:w="80" w:type="dxa"/>
              <w:end w:w="100" w:type="dxa"/>
            </w:tcMar>
          </w:tcPr>
          <w:p>
            <w:r>
              <w:rPr>
                <w:sz w:val="18"/>
              </w:rPr>
              <w:t>lokale Daten gelöscht</w:t>
            </w:r>
          </w:p>
        </w:tc>
        <w:tc>
          <w:tcPr>
            <w:tcW w:type="dxa" w:w="5760"/>
            <w:vAlign w:val="top"/>
            <w:tcMar>
              <w:top w:w="80" w:type="dxa"/>
              <w:start w:w="100" w:type="dxa"/>
              <w:bottom w:w="80" w:type="dxa"/>
              <w:end w:w="100" w:type="dxa"/>
            </w:tcMar>
          </w:tcPr>
          <w:p>
            <w:r>
              <w:rPr>
                <w:sz w:val="18"/>
              </w:rPr>
              <w:t>sämtliche Antworten und Profile verschwinden</w:t>
            </w:r>
          </w:p>
        </w:tc>
      </w:tr>
      <w:tr>
        <w:tc>
          <w:tcPr>
            <w:tcW w:type="dxa" w:w="3168"/>
            <w:vAlign w:val="top"/>
            <w:tcMar>
              <w:top w:w="80" w:type="dxa"/>
              <w:start w:w="100" w:type="dxa"/>
              <w:bottom w:w="80" w:type="dxa"/>
              <w:end w:w="100" w:type="dxa"/>
            </w:tcMar>
          </w:tcPr>
          <w:p>
            <w:r>
              <w:rPr>
                <w:sz w:val="18"/>
              </w:rPr>
              <w:t>Demo-Partei ohne Position</w:t>
            </w:r>
          </w:p>
        </w:tc>
        <w:tc>
          <w:tcPr>
            <w:tcW w:type="dxa" w:w="5760"/>
            <w:vAlign w:val="top"/>
            <w:tcMar>
              <w:top w:w="80" w:type="dxa"/>
              <w:start w:w="100" w:type="dxa"/>
              <w:bottom w:w="80" w:type="dxa"/>
              <w:end w:w="100" w:type="dxa"/>
            </w:tcMar>
          </w:tcPr>
          <w:p>
            <w:r>
              <w:rPr>
                <w:sz w:val="18"/>
              </w:rPr>
              <w:t>Anzeige „keine eindeutige Position“</w:t>
            </w:r>
          </w:p>
        </w:tc>
      </w:tr>
      <w:tr>
        <w:tc>
          <w:tcPr>
            <w:tcW w:type="dxa" w:w="3168"/>
            <w:vAlign w:val="top"/>
            <w:tcMar>
              <w:top w:w="80" w:type="dxa"/>
              <w:start w:w="100" w:type="dxa"/>
              <w:bottom w:w="80" w:type="dxa"/>
              <w:end w:w="100" w:type="dxa"/>
            </w:tcMar>
          </w:tcPr>
          <w:p>
            <w:r>
              <w:rPr>
                <w:sz w:val="18"/>
              </w:rPr>
              <w:t>Option mit roter Linie</w:t>
            </w:r>
          </w:p>
        </w:tc>
        <w:tc>
          <w:tcPr>
            <w:tcW w:type="dxa" w:w="5760"/>
            <w:vAlign w:val="top"/>
            <w:tcMar>
              <w:top w:w="80" w:type="dxa"/>
              <w:start w:w="100" w:type="dxa"/>
              <w:bottom w:w="80" w:type="dxa"/>
              <w:end w:w="100" w:type="dxa"/>
            </w:tcMar>
          </w:tcPr>
          <w:p>
            <w:r>
              <w:rPr>
                <w:sz w:val="18"/>
              </w:rPr>
              <w:t>separater Hinweis, keine Verrechnung</w:t>
            </w:r>
          </w:p>
        </w:tc>
      </w:tr>
      <w:tr>
        <w:tc>
          <w:tcPr>
            <w:tcW w:type="dxa" w:w="3168"/>
            <w:vAlign w:val="top"/>
            <w:tcMar>
              <w:top w:w="80" w:type="dxa"/>
              <w:start w:w="100" w:type="dxa"/>
              <w:bottom w:w="80" w:type="dxa"/>
              <w:end w:w="100" w:type="dxa"/>
            </w:tcMar>
          </w:tcPr>
          <w:p>
            <w:r>
              <w:rPr>
                <w:sz w:val="18"/>
              </w:rPr>
              <w:t>Evidenz niedrig</w:t>
            </w:r>
          </w:p>
        </w:tc>
        <w:tc>
          <w:tcPr>
            <w:tcW w:type="dxa" w:w="5760"/>
            <w:vAlign w:val="top"/>
            <w:tcMar>
              <w:top w:w="80" w:type="dxa"/>
              <w:start w:w="100" w:type="dxa"/>
              <w:bottom w:w="80" w:type="dxa"/>
              <w:end w:w="100" w:type="dxa"/>
            </w:tcMar>
          </w:tcPr>
          <w:p>
            <w:r>
              <w:rPr>
                <w:sz w:val="18"/>
              </w:rPr>
              <w:t>sichtbarer Evidenzhinweis</w:t>
            </w:r>
          </w:p>
        </w:tc>
      </w:tr>
      <w:tr>
        <w:tc>
          <w:tcPr>
            <w:tcW w:type="dxa" w:w="3168"/>
            <w:vAlign w:val="top"/>
            <w:tcMar>
              <w:top w:w="80" w:type="dxa"/>
              <w:start w:w="100" w:type="dxa"/>
              <w:bottom w:w="80" w:type="dxa"/>
              <w:end w:w="100" w:type="dxa"/>
            </w:tcMar>
          </w:tcPr>
          <w:p>
            <w:r>
              <w:rPr>
                <w:sz w:val="18"/>
              </w:rPr>
              <w:t>JavaScript- oder Chartfehler</w:t>
            </w:r>
          </w:p>
        </w:tc>
        <w:tc>
          <w:tcPr>
            <w:tcW w:type="dxa" w:w="5760"/>
            <w:vAlign w:val="top"/>
            <w:tcMar>
              <w:top w:w="80" w:type="dxa"/>
              <w:start w:w="100" w:type="dxa"/>
              <w:bottom w:w="80" w:type="dxa"/>
              <w:end w:w="100" w:type="dxa"/>
            </w:tcMar>
          </w:tcPr>
          <w:p>
            <w:r>
              <w:rPr>
                <w:sz w:val="18"/>
              </w:rPr>
              <w:t>zugängliche tabellarische Fallback-Darstellung bleibt verfügbar</w:t>
            </w:r>
          </w:p>
        </w:tc>
      </w:tr>
      <w:tr>
        <w:tc>
          <w:tcPr>
            <w:tcW w:type="dxa" w:w="3168"/>
            <w:vAlign w:val="top"/>
            <w:tcMar>
              <w:top w:w="80" w:type="dxa"/>
              <w:start w:w="100" w:type="dxa"/>
              <w:bottom w:w="80" w:type="dxa"/>
              <w:end w:w="100" w:type="dxa"/>
            </w:tcMar>
          </w:tcPr>
          <w:p>
            <w:r>
              <w:rPr>
                <w:sz w:val="18"/>
              </w:rPr>
              <w:t>Tastaturtest</w:t>
            </w:r>
          </w:p>
        </w:tc>
        <w:tc>
          <w:tcPr>
            <w:tcW w:type="dxa" w:w="5760"/>
            <w:vAlign w:val="top"/>
            <w:tcMar>
              <w:top w:w="80" w:type="dxa"/>
              <w:start w:w="100" w:type="dxa"/>
              <w:bottom w:w="80" w:type="dxa"/>
              <w:end w:w="100" w:type="dxa"/>
            </w:tcMar>
          </w:tcPr>
          <w:p>
            <w:r>
              <w:rPr>
                <w:sz w:val="18"/>
              </w:rPr>
              <w:t>alle Funktionen ohne Maus erreichbar</w:t>
            </w:r>
          </w:p>
        </w:tc>
      </w:tr>
      <w:tr>
        <w:tc>
          <w:tcPr>
            <w:tcW w:type="dxa" w:w="3168"/>
            <w:vAlign w:val="top"/>
            <w:tcMar>
              <w:top w:w="80" w:type="dxa"/>
              <w:start w:w="100" w:type="dxa"/>
              <w:bottom w:w="80" w:type="dxa"/>
              <w:end w:w="100" w:type="dxa"/>
            </w:tcMar>
          </w:tcPr>
          <w:p>
            <w:r>
              <w:rPr>
                <w:sz w:val="18"/>
              </w:rPr>
              <w:t>200 Prozent Zoom</w:t>
            </w:r>
          </w:p>
        </w:tc>
        <w:tc>
          <w:tcPr>
            <w:tcW w:type="dxa" w:w="5760"/>
            <w:vAlign w:val="top"/>
            <w:tcMar>
              <w:top w:w="80" w:type="dxa"/>
              <w:start w:w="100" w:type="dxa"/>
              <w:bottom w:w="80" w:type="dxa"/>
              <w:end w:w="100" w:type="dxa"/>
            </w:tcMar>
          </w:tcPr>
          <w:p>
            <w:r>
              <w:rPr>
                <w:sz w:val="18"/>
              </w:rPr>
              <w:t>keine abgeschnittenen Inhalte oder Funktionsverluste</w:t>
            </w:r>
          </w:p>
        </w:tc>
      </w:tr>
    </w:tbl>
    <w:p/>
    <w:p>
      <w:pPr>
        <w:pStyle w:val="Heading1"/>
      </w:pPr>
      <w:r>
        <w:t>18. Umsetzungsfahrplan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872"/>
            <w:shd w:fill="DCEAE5"/>
            <w:vAlign w:val="center"/>
            <w:tcMar>
              <w:top w:w="80" w:type="dxa"/>
              <w:start w:w="100" w:type="dxa"/>
              <w:bottom w:w="80" w:type="dxa"/>
              <w:end w:w="100" w:type="dxa"/>
            </w:tcMar>
          </w:tcPr>
          <w:p>
            <w:r>
              <w:rPr>
                <w:b/>
                <w:sz w:val="18"/>
              </w:rPr>
              <w:t>Phase</w:t>
            </w:r>
          </w:p>
        </w:tc>
        <w:tc>
          <w:tcPr>
            <w:tcW w:type="dxa" w:w="4320"/>
            <w:shd w:fill="DCEAE5"/>
            <w:vAlign w:val="center"/>
            <w:tcMar>
              <w:top w:w="80" w:type="dxa"/>
              <w:start w:w="100" w:type="dxa"/>
              <w:bottom w:w="80" w:type="dxa"/>
              <w:end w:w="100" w:type="dxa"/>
            </w:tcMar>
          </w:tcPr>
          <w:p>
            <w:r>
              <w:rPr>
                <w:b/>
                <w:sz w:val="18"/>
              </w:rPr>
              <w:t>Ergebnis</w:t>
            </w:r>
          </w:p>
        </w:tc>
        <w:tc>
          <w:tcPr>
            <w:tcW w:type="dxa" w:w="2880"/>
            <w:shd w:fill="DCEAE5"/>
            <w:vAlign w:val="center"/>
            <w:tcMar>
              <w:top w:w="80" w:type="dxa"/>
              <w:start w:w="100" w:type="dxa"/>
              <w:bottom w:w="80" w:type="dxa"/>
              <w:end w:w="100" w:type="dxa"/>
            </w:tcMar>
          </w:tcPr>
          <w:p>
            <w:r>
              <w:rPr>
                <w:b/>
                <w:sz w:val="18"/>
              </w:rPr>
              <w:t>Freigabe</w:t>
            </w:r>
          </w:p>
        </w:tc>
      </w:tr>
      <w:tr>
        <w:tc>
          <w:tcPr>
            <w:tcW w:type="dxa" w:w="1872"/>
            <w:vAlign w:val="top"/>
            <w:tcMar>
              <w:top w:w="80" w:type="dxa"/>
              <w:start w:w="100" w:type="dxa"/>
              <w:bottom w:w="80" w:type="dxa"/>
              <w:end w:w="100" w:type="dxa"/>
            </w:tcMar>
          </w:tcPr>
          <w:p>
            <w:r>
              <w:rPr>
                <w:sz w:val="18"/>
              </w:rPr>
              <w:t>1. Methodik und Paket</w:t>
            </w:r>
          </w:p>
        </w:tc>
        <w:tc>
          <w:tcPr>
            <w:tcW w:type="dxa" w:w="4320"/>
            <w:vAlign w:val="top"/>
            <w:tcMar>
              <w:top w:w="80" w:type="dxa"/>
              <w:start w:w="100" w:type="dxa"/>
              <w:bottom w:w="80" w:type="dxa"/>
              <w:end w:w="100" w:type="dxa"/>
            </w:tcMar>
          </w:tcPr>
          <w:p>
            <w:r>
              <w:rPr>
                <w:sz w:val="18"/>
              </w:rPr>
              <w:t>dieses Dokument</w:t>
            </w:r>
          </w:p>
        </w:tc>
        <w:tc>
          <w:tcPr>
            <w:tcW w:type="dxa" w:w="2880"/>
            <w:vAlign w:val="top"/>
            <w:tcMar>
              <w:top w:w="80" w:type="dxa"/>
              <w:start w:w="100" w:type="dxa"/>
              <w:bottom w:w="80" w:type="dxa"/>
              <w:end w:w="100" w:type="dxa"/>
            </w:tcMar>
          </w:tcPr>
          <w:p>
            <w:r>
              <w:rPr>
                <w:sz w:val="18"/>
              </w:rPr>
              <w:t>Natalie</w:t>
            </w:r>
          </w:p>
        </w:tc>
      </w:tr>
      <w:tr>
        <w:tc>
          <w:tcPr>
            <w:tcW w:type="dxa" w:w="1872"/>
            <w:vAlign w:val="top"/>
            <w:tcMar>
              <w:top w:w="80" w:type="dxa"/>
              <w:start w:w="100" w:type="dxa"/>
              <w:bottom w:w="80" w:type="dxa"/>
              <w:end w:w="100" w:type="dxa"/>
            </w:tcMar>
          </w:tcPr>
          <w:p>
            <w:r>
              <w:rPr>
                <w:sz w:val="18"/>
              </w:rPr>
              <w:t>2. Claude UX-Prototyp</w:t>
            </w:r>
          </w:p>
        </w:tc>
        <w:tc>
          <w:tcPr>
            <w:tcW w:type="dxa" w:w="4320"/>
            <w:vAlign w:val="top"/>
            <w:tcMar>
              <w:top w:w="80" w:type="dxa"/>
              <w:start w:w="100" w:type="dxa"/>
              <w:bottom w:w="80" w:type="dxa"/>
              <w:end w:w="100" w:type="dxa"/>
            </w:tcMar>
          </w:tcPr>
          <w:p>
            <w:r>
              <w:rPr>
                <w:sz w:val="18"/>
              </w:rPr>
              <w:t>Designsystem, Screens, klickbarer Demo-Prototyp</w:t>
            </w:r>
          </w:p>
        </w:tc>
        <w:tc>
          <w:tcPr>
            <w:tcW w:type="dxa" w:w="2880"/>
            <w:vAlign w:val="top"/>
            <w:tcMar>
              <w:top w:w="80" w:type="dxa"/>
              <w:start w:w="100" w:type="dxa"/>
              <w:bottom w:w="80" w:type="dxa"/>
              <w:end w:w="100" w:type="dxa"/>
            </w:tcMar>
          </w:tcPr>
          <w:p>
            <w:r>
              <w:rPr>
                <w:sz w:val="18"/>
              </w:rPr>
              <w:t>Natalie + Methodikprüfung</w:t>
            </w:r>
          </w:p>
        </w:tc>
      </w:tr>
      <w:tr>
        <w:tc>
          <w:tcPr>
            <w:tcW w:type="dxa" w:w="1872"/>
            <w:vAlign w:val="top"/>
            <w:tcMar>
              <w:top w:w="80" w:type="dxa"/>
              <w:start w:w="100" w:type="dxa"/>
              <w:bottom w:w="80" w:type="dxa"/>
              <w:end w:w="100" w:type="dxa"/>
            </w:tcMar>
          </w:tcPr>
          <w:p>
            <w:r>
              <w:rPr>
                <w:sz w:val="18"/>
              </w:rPr>
              <w:t>3. CodeX Preview</w:t>
            </w:r>
          </w:p>
        </w:tc>
        <w:tc>
          <w:tcPr>
            <w:tcW w:type="dxa" w:w="4320"/>
            <w:vAlign w:val="top"/>
            <w:tcMar>
              <w:top w:w="80" w:type="dxa"/>
              <w:start w:w="100" w:type="dxa"/>
              <w:bottom w:w="80" w:type="dxa"/>
              <w:end w:w="100" w:type="dxa"/>
            </w:tcMar>
          </w:tcPr>
          <w:p>
            <w:r>
              <w:rPr>
                <w:sz w:val="18"/>
              </w:rPr>
              <w:t>technisch integrierte Preview mit Demo-Daten</w:t>
            </w:r>
          </w:p>
        </w:tc>
        <w:tc>
          <w:tcPr>
            <w:tcW w:type="dxa" w:w="2880"/>
            <w:vAlign w:val="top"/>
            <w:tcMar>
              <w:top w:w="80" w:type="dxa"/>
              <w:start w:w="100" w:type="dxa"/>
              <w:bottom w:w="80" w:type="dxa"/>
              <w:end w:w="100" w:type="dxa"/>
            </w:tcMar>
          </w:tcPr>
          <w:p>
            <w:r>
              <w:rPr>
                <w:sz w:val="18"/>
              </w:rPr>
              <w:t>UX-, A11y- und Methodiktests</w:t>
            </w:r>
          </w:p>
        </w:tc>
      </w:tr>
      <w:tr>
        <w:tc>
          <w:tcPr>
            <w:tcW w:type="dxa" w:w="1872"/>
            <w:vAlign w:val="top"/>
            <w:tcMar>
              <w:top w:w="80" w:type="dxa"/>
              <w:start w:w="100" w:type="dxa"/>
              <w:bottom w:w="80" w:type="dxa"/>
              <w:end w:w="100" w:type="dxa"/>
            </w:tcMar>
          </w:tcPr>
          <w:p>
            <w:r>
              <w:rPr>
                <w:sz w:val="18"/>
              </w:rPr>
              <w:t>4. Reale Inhalte</w:t>
            </w:r>
          </w:p>
        </w:tc>
        <w:tc>
          <w:tcPr>
            <w:tcW w:type="dxa" w:w="4320"/>
            <w:vAlign w:val="top"/>
            <w:tcMar>
              <w:top w:w="80" w:type="dxa"/>
              <w:start w:w="100" w:type="dxa"/>
              <w:bottom w:w="80" w:type="dxa"/>
              <w:end w:w="100" w:type="dxa"/>
            </w:tcMar>
          </w:tcPr>
          <w:p>
            <w:r>
              <w:rPr>
                <w:sz w:val="18"/>
              </w:rPr>
              <w:t>Parteipositionen und Wirkungsanalysen mit Quellen</w:t>
            </w:r>
          </w:p>
        </w:tc>
        <w:tc>
          <w:tcPr>
            <w:tcW w:type="dxa" w:w="2880"/>
            <w:vAlign w:val="top"/>
            <w:tcMar>
              <w:top w:w="80" w:type="dxa"/>
              <w:start w:w="100" w:type="dxa"/>
              <w:bottom w:w="80" w:type="dxa"/>
              <w:end w:w="100" w:type="dxa"/>
            </w:tcMar>
          </w:tcPr>
          <w:p>
            <w:r>
              <w:rPr>
                <w:sz w:val="18"/>
              </w:rPr>
              <w:t>Redaktions- und Methodenrat</w:t>
            </w:r>
          </w:p>
        </w:tc>
      </w:tr>
      <w:tr>
        <w:tc>
          <w:tcPr>
            <w:tcW w:type="dxa" w:w="1872"/>
            <w:vAlign w:val="top"/>
            <w:tcMar>
              <w:top w:w="80" w:type="dxa"/>
              <w:start w:w="100" w:type="dxa"/>
              <w:bottom w:w="80" w:type="dxa"/>
              <w:end w:w="100" w:type="dxa"/>
            </w:tcMar>
          </w:tcPr>
          <w:p>
            <w:r>
              <w:rPr>
                <w:sz w:val="18"/>
              </w:rPr>
              <w:t>5. Öffentlicher Pilot</w:t>
            </w:r>
          </w:p>
        </w:tc>
        <w:tc>
          <w:tcPr>
            <w:tcW w:type="dxa" w:w="4320"/>
            <w:vAlign w:val="top"/>
            <w:tcMar>
              <w:top w:w="80" w:type="dxa"/>
              <w:start w:w="100" w:type="dxa"/>
              <w:bottom w:w="80" w:type="dxa"/>
              <w:end w:w="100" w:type="dxa"/>
            </w:tcMar>
          </w:tcPr>
          <w:p>
            <w:r>
              <w:rPr>
                <w:sz w:val="18"/>
              </w:rPr>
              <w:t>begrenzter Beta-Test</w:t>
            </w:r>
          </w:p>
        </w:tc>
        <w:tc>
          <w:tcPr>
            <w:tcW w:type="dxa" w:w="2880"/>
            <w:vAlign w:val="top"/>
            <w:tcMar>
              <w:top w:w="80" w:type="dxa"/>
              <w:start w:w="100" w:type="dxa"/>
              <w:bottom w:w="80" w:type="dxa"/>
              <w:end w:w="100" w:type="dxa"/>
            </w:tcMar>
          </w:tcPr>
          <w:p>
            <w:r>
              <w:rPr>
                <w:sz w:val="18"/>
              </w:rPr>
              <w:t>Datenschutz, Recht, Governance</w:t>
            </w:r>
          </w:p>
        </w:tc>
      </w:tr>
      <w:tr>
        <w:tc>
          <w:tcPr>
            <w:tcW w:type="dxa" w:w="1872"/>
            <w:vAlign w:val="top"/>
            <w:tcMar>
              <w:top w:w="80" w:type="dxa"/>
              <w:start w:w="100" w:type="dxa"/>
              <w:bottom w:w="80" w:type="dxa"/>
              <w:end w:w="100" w:type="dxa"/>
            </w:tcMar>
          </w:tcPr>
          <w:p>
            <w:r>
              <w:rPr>
                <w:sz w:val="18"/>
              </w:rPr>
              <w:t>6. Veröffentlichung</w:t>
            </w:r>
          </w:p>
        </w:tc>
        <w:tc>
          <w:tcPr>
            <w:tcW w:type="dxa" w:w="4320"/>
            <w:vAlign w:val="top"/>
            <w:tcMar>
              <w:top w:w="80" w:type="dxa"/>
              <w:start w:w="100" w:type="dxa"/>
              <w:bottom w:w="80" w:type="dxa"/>
              <w:end w:w="100" w:type="dxa"/>
            </w:tcMar>
          </w:tcPr>
          <w:p>
            <w:r>
              <w:rPr>
                <w:sz w:val="18"/>
              </w:rPr>
              <w:t>öffentliche Version mit Changelog</w:t>
            </w:r>
          </w:p>
        </w:tc>
        <w:tc>
          <w:tcPr>
            <w:tcW w:type="dxa" w:w="2880"/>
            <w:vAlign w:val="top"/>
            <w:tcMar>
              <w:top w:w="80" w:type="dxa"/>
              <w:start w:w="100" w:type="dxa"/>
              <w:bottom w:w="80" w:type="dxa"/>
              <w:end w:w="100" w:type="dxa"/>
            </w:tcMar>
          </w:tcPr>
          <w:p>
            <w:r>
              <w:rPr>
                <w:sz w:val="18"/>
              </w:rPr>
              <w:t>formale Freigabe</w:t>
            </w:r>
          </w:p>
        </w:tc>
      </w:tr>
    </w:tbl>
    <w:p/>
    <w:tbl>
      <w:tblPr>
        <w:tblW w:type="auto" w:w="0"/>
        <w:jc w:val="center"/>
        <w:tblLook w:firstColumn="1" w:firstRow="1" w:lastColumn="0" w:lastRow="0" w:noHBand="0" w:noVBand="1" w:val="04A0"/>
      </w:tblPr>
      <w:tblGrid>
        <w:gridCol w:w="9936"/>
      </w:tblGrid>
      <w:tr>
        <w:tc>
          <w:tcPr>
            <w:tcW w:type="dxa" w:w="9936"/>
            <w:shd w:fill="EAF3F0"/>
            <w:tcMar>
              <w:top w:w="140" w:type="dxa"/>
              <w:start w:w="160" w:type="dxa"/>
              <w:bottom w:w="140" w:type="dxa"/>
              <w:end w:w="160" w:type="dxa"/>
            </w:tcMar>
          </w:tcPr>
          <w:p>
            <w:r>
              <w:rPr>
                <w:b/>
                <w:sz w:val="22"/>
              </w:rPr>
              <w:t>Empfohlener Startumfang</w:t>
              <w:br/>
            </w:r>
            <w:r>
              <w:rPr>
                <w:sz w:val="21"/>
              </w:rPr>
              <w:t>Zwölf Fragen, acht Wirkungsdimensionen, sieben anonymisierte Parteien, vollständiger Nutzerfluss und eine transparente Ergebnisarchitektur. Erst nach erfolgreicher Validierung auf 30 bis 40 Fragen und reale Parteien erweitern.</w:t>
            </w:r>
          </w:p>
        </w:tc>
      </w:tr>
    </w:tbl>
    <w:p/>
    <w:p>
      <w:pPr>
        <w:pStyle w:val="Heading1"/>
      </w:pPr>
      <w:r>
        <w:t>Anhang A: Begriffliche Leitplanken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shd w:fill="DCEAE5"/>
            <w:vAlign w:val="center"/>
            <w:tcMar>
              <w:top w:w="80" w:type="dxa"/>
              <w:start w:w="100" w:type="dxa"/>
              <w:bottom w:w="80" w:type="dxa"/>
              <w:end w:w="100" w:type="dxa"/>
            </w:tcMar>
          </w:tcPr>
          <w:p>
            <w:r>
              <w:rPr>
                <w:b/>
                <w:sz w:val="18"/>
              </w:rPr>
              <w:t>Begriff</w:t>
            </w:r>
          </w:p>
        </w:tc>
        <w:tc>
          <w:tcPr>
            <w:tcW w:type="dxa" w:w="6480"/>
            <w:shd w:fill="DCEAE5"/>
            <w:vAlign w:val="center"/>
            <w:tcMar>
              <w:top w:w="80" w:type="dxa"/>
              <w:start w:w="100" w:type="dxa"/>
              <w:bottom w:w="80" w:type="dxa"/>
              <w:end w:w="100" w:type="dxa"/>
            </w:tcMar>
          </w:tcPr>
          <w:p>
            <w:r>
              <w:rPr>
                <w:b/>
                <w:sz w:val="18"/>
              </w:rPr>
              <w:t>Verbindliche Bedeutung</w:t>
            </w:r>
          </w:p>
        </w:tc>
      </w:tr>
      <w:tr>
        <w:tc>
          <w:tcPr>
            <w:tcW w:type="dxa" w:w="2448"/>
            <w:vAlign w:val="top"/>
            <w:tcMar>
              <w:top w:w="80" w:type="dxa"/>
              <w:start w:w="100" w:type="dxa"/>
              <w:bottom w:w="80" w:type="dxa"/>
              <w:end w:w="100" w:type="dxa"/>
            </w:tcMar>
          </w:tcPr>
          <w:p>
            <w:r>
              <w:rPr>
                <w:sz w:val="18"/>
              </w:rPr>
              <w:t>Wirkung</w:t>
            </w:r>
          </w:p>
        </w:tc>
        <w:tc>
          <w:tcPr>
            <w:tcW w:type="dxa" w:w="6480"/>
            <w:vAlign w:val="top"/>
            <w:tcMar>
              <w:top w:w="80" w:type="dxa"/>
              <w:start w:w="100" w:type="dxa"/>
              <w:bottom w:w="80" w:type="dxa"/>
              <w:end w:w="100" w:type="dxa"/>
            </w:tcMar>
          </w:tcPr>
          <w:p>
            <w:r>
              <w:rPr>
                <w:sz w:val="18"/>
              </w:rPr>
              <w:t>tatsächliche Veränderung von Zuständen; positiv, negativ oder neutral</w:t>
            </w:r>
          </w:p>
        </w:tc>
      </w:tr>
      <w:tr>
        <w:tc>
          <w:tcPr>
            <w:tcW w:type="dxa" w:w="2448"/>
            <w:vAlign w:val="top"/>
            <w:tcMar>
              <w:top w:w="80" w:type="dxa"/>
              <w:start w:w="100" w:type="dxa"/>
              <w:bottom w:w="80" w:type="dxa"/>
              <w:end w:w="100" w:type="dxa"/>
            </w:tcMar>
          </w:tcPr>
          <w:p>
            <w:r>
              <w:rPr>
                <w:sz w:val="18"/>
              </w:rPr>
              <w:t>Wirkungspotenzial</w:t>
            </w:r>
          </w:p>
        </w:tc>
        <w:tc>
          <w:tcPr>
            <w:tcW w:type="dxa" w:w="6480"/>
            <w:vAlign w:val="top"/>
            <w:tcMar>
              <w:top w:w="80" w:type="dxa"/>
              <w:start w:w="100" w:type="dxa"/>
              <w:bottom w:w="80" w:type="dxa"/>
              <w:end w:w="100" w:type="dxa"/>
            </w:tcMar>
          </w:tcPr>
          <w:p>
            <w:r>
              <w:rPr>
                <w:sz w:val="18"/>
              </w:rPr>
              <w:t>Möglichkeit, dass eine Wirkung eintreten kann; noch kein Wirkungsnachweis</w:t>
            </w:r>
          </w:p>
        </w:tc>
      </w:tr>
      <w:tr>
        <w:tc>
          <w:tcPr>
            <w:tcW w:type="dxa" w:w="2448"/>
            <w:vAlign w:val="top"/>
            <w:tcMar>
              <w:top w:w="80" w:type="dxa"/>
              <w:start w:w="100" w:type="dxa"/>
              <w:bottom w:w="80" w:type="dxa"/>
              <w:end w:w="100" w:type="dxa"/>
            </w:tcMar>
          </w:tcPr>
          <w:p>
            <w:r>
              <w:rPr>
                <w:sz w:val="18"/>
              </w:rPr>
              <w:t>Wirkungsrisiko</w:t>
            </w:r>
          </w:p>
        </w:tc>
        <w:tc>
          <w:tcPr>
            <w:tcW w:type="dxa" w:w="6480"/>
            <w:vAlign w:val="top"/>
            <w:tcMar>
              <w:top w:w="80" w:type="dxa"/>
              <w:start w:w="100" w:type="dxa"/>
              <w:bottom w:w="80" w:type="dxa"/>
              <w:end w:w="100" w:type="dxa"/>
            </w:tcMar>
          </w:tcPr>
          <w:p>
            <w:r>
              <w:rPr>
                <w:sz w:val="18"/>
              </w:rPr>
              <w:t>Möglichkeit negativer oder destabilisierender Wirkung</w:t>
            </w:r>
          </w:p>
        </w:tc>
      </w:tr>
      <w:tr>
        <w:tc>
          <w:tcPr>
            <w:tcW w:type="dxa" w:w="2448"/>
            <w:vAlign w:val="top"/>
            <w:tcMar>
              <w:top w:w="80" w:type="dxa"/>
              <w:start w:w="100" w:type="dxa"/>
              <w:bottom w:w="80" w:type="dxa"/>
              <w:end w:w="100" w:type="dxa"/>
            </w:tcMar>
          </w:tcPr>
          <w:p>
            <w:r>
              <w:rPr>
                <w:sz w:val="18"/>
              </w:rPr>
              <w:t>Wirkungspfad</w:t>
            </w:r>
          </w:p>
        </w:tc>
        <w:tc>
          <w:tcPr>
            <w:tcW w:type="dxa" w:w="6480"/>
            <w:vAlign w:val="top"/>
            <w:tcMar>
              <w:top w:w="80" w:type="dxa"/>
              <w:start w:w="100" w:type="dxa"/>
              <w:bottom w:w="80" w:type="dxa"/>
              <w:end w:w="100" w:type="dxa"/>
            </w:tcMar>
          </w:tcPr>
          <w:p>
            <w:r>
              <w:rPr>
                <w:sz w:val="18"/>
              </w:rPr>
              <w:t>nachvollziehbare Folge von Auslösern, Mechanismen und möglichen Zustandsveränderungen</w:t>
            </w:r>
          </w:p>
        </w:tc>
      </w:tr>
      <w:tr>
        <w:tc>
          <w:tcPr>
            <w:tcW w:type="dxa" w:w="2448"/>
            <w:vAlign w:val="top"/>
            <w:tcMar>
              <w:top w:w="80" w:type="dxa"/>
              <w:start w:w="100" w:type="dxa"/>
              <w:bottom w:w="80" w:type="dxa"/>
              <w:end w:w="100" w:type="dxa"/>
            </w:tcMar>
          </w:tcPr>
          <w:p>
            <w:r>
              <w:rPr>
                <w:sz w:val="18"/>
              </w:rPr>
              <w:t>Wirkungsbewertung</w:t>
            </w:r>
          </w:p>
        </w:tc>
        <w:tc>
          <w:tcPr>
            <w:tcW w:type="dxa" w:w="6480"/>
            <w:vAlign w:val="top"/>
            <w:tcMar>
              <w:top w:w="80" w:type="dxa"/>
              <w:start w:w="100" w:type="dxa"/>
              <w:bottom w:w="80" w:type="dxa"/>
              <w:end w:w="100" w:type="dxa"/>
            </w:tcMar>
          </w:tcPr>
          <w:p>
            <w:r>
              <w:rPr>
                <w:sz w:val="18"/>
              </w:rPr>
              <w:t>Einordnung am Referenzrahmen</w:t>
            </w:r>
          </w:p>
        </w:tc>
      </w:tr>
      <w:tr>
        <w:tc>
          <w:tcPr>
            <w:tcW w:type="dxa" w:w="2448"/>
            <w:vAlign w:val="top"/>
            <w:tcMar>
              <w:top w:w="80" w:type="dxa"/>
              <w:start w:w="100" w:type="dxa"/>
              <w:bottom w:w="80" w:type="dxa"/>
              <w:end w:w="100" w:type="dxa"/>
            </w:tcMar>
          </w:tcPr>
          <w:p>
            <w:r>
              <w:rPr>
                <w:sz w:val="18"/>
              </w:rPr>
              <w:t>Netto-Wirkung</w:t>
            </w:r>
          </w:p>
        </w:tc>
        <w:tc>
          <w:tcPr>
            <w:tcW w:type="dxa" w:w="6480"/>
            <w:vAlign w:val="top"/>
            <w:tcMar>
              <w:top w:w="80" w:type="dxa"/>
              <w:start w:w="100" w:type="dxa"/>
              <w:bottom w:w="80" w:type="dxa"/>
              <w:end w:w="100" w:type="dxa"/>
            </w:tcMar>
          </w:tcPr>
          <w:p>
            <w:r>
              <w:rPr>
                <w:sz w:val="18"/>
              </w:rPr>
              <w:t>Zusammenführung positiver und negativer Wirkungen unter Beachtung roter Linien</w:t>
            </w:r>
          </w:p>
        </w:tc>
      </w:tr>
      <w:tr>
        <w:tc>
          <w:tcPr>
            <w:tcW w:type="dxa" w:w="2448"/>
            <w:vAlign w:val="top"/>
            <w:tcMar>
              <w:top w:w="80" w:type="dxa"/>
              <w:start w:w="100" w:type="dxa"/>
              <w:bottom w:w="80" w:type="dxa"/>
              <w:end w:w="100" w:type="dxa"/>
            </w:tcMar>
          </w:tcPr>
          <w:p>
            <w:r>
              <w:rPr>
                <w:sz w:val="18"/>
              </w:rPr>
              <w:t>Positive Netto-Wirkung</w:t>
            </w:r>
          </w:p>
        </w:tc>
        <w:tc>
          <w:tcPr>
            <w:tcW w:type="dxa" w:w="6480"/>
            <w:vAlign w:val="top"/>
            <w:tcMar>
              <w:top w:w="80" w:type="dxa"/>
              <w:start w:w="100" w:type="dxa"/>
              <w:bottom w:w="80" w:type="dxa"/>
              <w:end w:w="100" w:type="dxa"/>
            </w:tcMar>
          </w:tcPr>
          <w:p>
            <w:r>
              <w:rPr>
                <w:sz w:val="18"/>
              </w:rPr>
              <w:t>Zielgröße der Wirkungsökonomie für Mensch, Planet und Demokratie</w:t>
            </w:r>
          </w:p>
        </w:tc>
      </w:tr>
      <w:tr>
        <w:tc>
          <w:tcPr>
            <w:tcW w:type="dxa" w:w="2448"/>
            <w:vAlign w:val="top"/>
            <w:tcMar>
              <w:top w:w="80" w:type="dxa"/>
              <w:start w:w="100" w:type="dxa"/>
              <w:bottom w:w="80" w:type="dxa"/>
              <w:end w:w="100" w:type="dxa"/>
            </w:tcMar>
          </w:tcPr>
          <w:p>
            <w:r>
              <w:rPr>
                <w:sz w:val="18"/>
              </w:rPr>
              <w:t>Nichtkompensationsprinzip</w:t>
            </w:r>
          </w:p>
        </w:tc>
        <w:tc>
          <w:tcPr>
            <w:tcW w:type="dxa" w:w="6480"/>
            <w:vAlign w:val="top"/>
            <w:tcMar>
              <w:top w:w="80" w:type="dxa"/>
              <w:start w:w="100" w:type="dxa"/>
              <w:bottom w:w="80" w:type="dxa"/>
              <w:end w:w="100" w:type="dxa"/>
            </w:tcMar>
          </w:tcPr>
          <w:p>
            <w:r>
              <w:rPr>
                <w:sz w:val="18"/>
              </w:rPr>
              <w:t>schwere Schäden dürfen nicht durch Vorteile in anderen Feldern verdeckt werden</w:t>
            </w:r>
          </w:p>
        </w:tc>
      </w:tr>
      <w:tr>
        <w:tc>
          <w:tcPr>
            <w:tcW w:type="dxa" w:w="2448"/>
            <w:vAlign w:val="top"/>
            <w:tcMar>
              <w:top w:w="80" w:type="dxa"/>
              <w:start w:w="100" w:type="dxa"/>
              <w:bottom w:w="80" w:type="dxa"/>
              <w:end w:w="100" w:type="dxa"/>
            </w:tcMar>
          </w:tcPr>
          <w:p>
            <w:r>
              <w:rPr>
                <w:sz w:val="18"/>
              </w:rPr>
              <w:t>Wirkungsrückkopplung</w:t>
            </w:r>
          </w:p>
        </w:tc>
        <w:tc>
          <w:tcPr>
            <w:tcW w:type="dxa" w:w="6480"/>
            <w:vAlign w:val="top"/>
            <w:tcMar>
              <w:top w:w="80" w:type="dxa"/>
              <w:start w:w="100" w:type="dxa"/>
              <w:bottom w:w="80" w:type="dxa"/>
              <w:end w:w="100" w:type="dxa"/>
            </w:tcMar>
          </w:tcPr>
          <w:p>
            <w:r>
              <w:rPr>
                <w:sz w:val="18"/>
              </w:rPr>
              <w:t>Rückführung erkannter Wirkung in Preise, Steuern, Förderung oder Entscheidungen</w:t>
            </w:r>
          </w:p>
        </w:tc>
      </w:tr>
      <w:tr>
        <w:tc>
          <w:tcPr>
            <w:tcW w:type="dxa" w:w="2448"/>
            <w:vAlign w:val="top"/>
            <w:tcMar>
              <w:top w:w="80" w:type="dxa"/>
              <w:start w:w="100" w:type="dxa"/>
              <w:bottom w:w="80" w:type="dxa"/>
              <w:end w:w="100" w:type="dxa"/>
            </w:tcMar>
          </w:tcPr>
          <w:p>
            <w:r>
              <w:rPr>
                <w:sz w:val="18"/>
              </w:rPr>
              <w:t>Wirkungsarchitektur</w:t>
            </w:r>
          </w:p>
        </w:tc>
        <w:tc>
          <w:tcPr>
            <w:tcW w:type="dxa" w:w="6480"/>
            <w:vAlign w:val="top"/>
            <w:tcMar>
              <w:top w:w="80" w:type="dxa"/>
              <w:start w:w="100" w:type="dxa"/>
              <w:bottom w:w="80" w:type="dxa"/>
              <w:end w:w="100" w:type="dxa"/>
            </w:tcMar>
          </w:tcPr>
          <w:p>
            <w:r>
              <w:rPr>
                <w:sz w:val="18"/>
              </w:rPr>
              <w:t>Gesamtsystem aus Daten, Regeln, Institutionen, Anreizen, Kontrolle und Lernen</w:t>
            </w:r>
          </w:p>
        </w:tc>
      </w:tr>
    </w:tbl>
    <w:p/>
    <w:p>
      <w:pPr>
        <w:pStyle w:val="Heading1"/>
      </w:pPr>
      <w:r>
        <w:t>Anhang B: Quellenbasis der Wirkungsökonomie</w:t>
      </w:r>
    </w:p>
    <w:p>
      <w:r>
        <w:t>Dieses Paket stützt sich auf die im Projekt hinterlegte Wirkungsökonomie, insbesondere auf folgende interne Referenzdokumente:</w:t>
      </w:r>
    </w:p>
    <w:p>
      <w:pPr>
        <w:pStyle w:val="ListBullet"/>
      </w:pPr>
      <w:r>
        <w:t>Führender Begriffsleitfaden der Wirkungsökonomie, Version 1.0, 21. Mai 2026</w:t>
      </w:r>
    </w:p>
    <w:p>
      <w:pPr>
        <w:pStyle w:val="ListBullet"/>
      </w:pPr>
      <w:r>
        <w:t>Grundlagenpapier Wirkungsökonomie</w:t>
      </w:r>
    </w:p>
    <w:p>
      <w:pPr>
        <w:pStyle w:val="ListBullet"/>
      </w:pPr>
      <w:r>
        <w:t>Manifest und Minifest der Wirkungsökonomie</w:t>
      </w:r>
    </w:p>
    <w:p>
      <w:pPr>
        <w:pStyle w:val="ListBullet"/>
      </w:pPr>
      <w:r>
        <w:t>Leitbild für Mensch, Planet und Demokratie</w:t>
      </w:r>
    </w:p>
    <w:p>
      <w:pPr>
        <w:pStyle w:val="ListBullet"/>
      </w:pPr>
      <w:r>
        <w:t>Systemmodell der Wirkungsökonomie</w:t>
      </w:r>
    </w:p>
    <w:p>
      <w:pPr>
        <w:pStyle w:val="ListBullet"/>
      </w:pPr>
      <w:r>
        <w:t>Konzept des Wirkungsrats</w:t>
      </w:r>
    </w:p>
    <w:p>
      <w:pPr>
        <w:pStyle w:val="ListBullet"/>
      </w:pPr>
      <w:r>
        <w:t>Technische Leitlinien zum Wirkungssteuergesetz</w:t>
      </w:r>
    </w:p>
    <w:p>
      <w:pPr>
        <w:pStyle w:val="ListBullet"/>
      </w:pPr>
      <w:r>
        <w:t>Nachhaltigkeit ist keine Strategie. Sie ist eine Systemarchitektur</w:t>
      </w:r>
    </w:p>
    <w:p>
      <w:pPr>
        <w:pStyle w:val="ListBullet"/>
      </w:pPr>
      <w:r>
        <w:t>Die neue Ordnung des Wohlstands, Fassung 2026</w:t>
      </w:r>
    </w:p>
    <w:p>
      <w:r>
        <w:t>Der führende Begriffsleitfaden ist bei begrifflichen Abweichungen maßgeblich. Ältere Projektdateien können frühere Entwicklungsstände enthalten und dürfen nicht automatisch als aktuelle Methodik übernommen werden.</w:t>
      </w:r>
    </w:p>
    <w:p>
      <w:pPr>
        <w:pStyle w:val="Heading1"/>
      </w:pPr>
      <w:r>
        <w:t>Schlussformel</w:t>
      </w:r>
    </w:p>
    <w:tbl>
      <w:tblPr>
        <w:tblW w:type="auto" w:w="0"/>
        <w:jc w:val="center"/>
        <w:tblLook w:firstColumn="1" w:firstRow="1" w:lastColumn="0" w:lastRow="0" w:noHBand="0" w:noVBand="1" w:val="04A0"/>
      </w:tblPr>
      <w:tblGrid>
        <w:gridCol w:w="9936"/>
      </w:tblGrid>
      <w:tr>
        <w:tc>
          <w:tcPr>
            <w:tcW w:type="dxa" w:w="9936"/>
            <w:shd w:fill="DCEAE5"/>
            <w:tcMar>
              <w:top w:w="140" w:type="dxa"/>
              <w:start w:w="160" w:type="dxa"/>
              <w:bottom w:w="140" w:type="dxa"/>
              <w:end w:w="160" w:type="dxa"/>
            </w:tcMar>
          </w:tcPr>
          <w:p>
            <w:r>
              <w:rPr>
                <w:b/>
                <w:sz w:val="22"/>
              </w:rPr>
              <w:t>Der Wirkungswahl-Kompass sagt nicht, was gewählt werden soll.</w:t>
              <w:br/>
            </w:r>
            <w:r>
              <w:rPr>
                <w:sz w:val="21"/>
              </w:rPr>
              <w:t>Er macht sichtbar, was Menschen priorisieren, was Parteien vorschlagen, welche Wirkungen daraus plausibel folgen können und welche Grenzen nicht im Durchschnitt verschwinden dürfen.</w:t>
            </w:r>
          </w:p>
        </w:tc>
      </w:tr>
    </w:tbl>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6964"/>
        <w:sz w:val="16"/>
      </w:rPr>
      <w:t>Wirkungswahl-Kompass | Methodik-, Content- und UX-Paket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eastAsia="Aptos Display"/>
      <w:b/>
      <w:bCs/>
      <w:color w:val="173B33"/>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Display" w:hAnsi="Aptos Display" w:eastAsia="Aptos Display"/>
      <w:b/>
      <w:bCs/>
      <w:color w:val="2A5C5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eastAsia="Aptos"/>
      <w:b/>
      <w:bCs/>
      <w:color w:val="2A5C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B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rPr>
      <w:rFonts w:ascii="Aptos" w:hAnsi="Aptos"/>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Wirkungswahl-Kompass – Methodik-, Content- und UX-Paket</dc:title>
  <dc:subject>Übergabepaket für Claude und CodeX</dc:subject>
  <dc:creator>Natalie Weber</dc:creator>
  <cp:keywords>Wirkungsökonomie, Wirkungswahl-Kompass, Claude, CodeX, UX, Methodik</cp:keywords>
  <dc:description>generated by python-docx</dc:description>
  <cp:lastModifiedBy/>
  <cp:revision>1</cp:revision>
  <dcterms:created xsi:type="dcterms:W3CDTF">2013-12-23T23:15:00Z</dcterms:created>
  <dcterms:modified xsi:type="dcterms:W3CDTF">2013-12-23T23:15:00Z</dcterms:modified>
  <cp:category/>
</cp:coreProperties>
</file>