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B33"/>
          <w:sz w:val="56"/>
        </w:rPr>
        <w:t>WIRKUNGSWAHL-KOMPASS</w:t>
      </w:r>
    </w:p>
    <w:p>
      <w:pPr>
        <w:jc w:val="center"/>
      </w:pPr>
      <w:r>
        <w:rPr>
          <w:b/>
          <w:color w:val="2A5C50"/>
          <w:sz w:val="36"/>
        </w:rPr>
        <w:t>Redaktionelles Inhalts- und Parteiprofil-Paket</w:t>
      </w:r>
    </w:p>
    <w:p>
      <w:pPr>
        <w:jc w:val="center"/>
      </w:pPr>
      <w:r>
        <w:rPr>
          <w:color w:val="5B6460"/>
          <w:sz w:val="22"/>
        </w:rPr>
        <w:t>36 Fragen · 9 Themenfelder · programmbasierte Parteizuordnung · wirkungsökonomische Einordnung</w:t>
      </w:r>
    </w:p>
    <w:p>
      <w:pPr>
        <w:jc w:val="center"/>
      </w:pPr>
      <w:r>
        <w:rPr>
          <w:color w:val="B58B3A"/>
          <w:sz w:val="16"/>
        </w:rPr>
        <w:t>━━━━━━━━━━━━━━━━━━━━━━━━━━━━━━━━━━━</w:t>
      </w:r>
    </w:p>
    <w:p>
      <w:pPr>
        <w:jc w:val="center"/>
      </w:pPr>
      <w:r>
        <w:rPr>
          <w:sz w:val="20"/>
        </w:rPr>
        <w:t>Autorin / fachliche Verantwortung: Natalie Weber</w:t>
      </w:r>
    </w:p>
    <w:p>
      <w:pPr>
        <w:jc w:val="center"/>
      </w:pPr>
      <w:r>
        <w:rPr>
          <w:sz w:val="20"/>
        </w:rPr>
        <w:t>Konzeptionelle Ausarbeitung: Wirkungsökonomie-Projekt</w:t>
      </w:r>
    </w:p>
    <w:p>
      <w:pPr>
        <w:jc w:val="center"/>
      </w:pPr>
      <w:r>
        <w:rPr>
          <w:sz w:val="20"/>
        </w:rPr>
        <w:t>Version 1.0 | Datenstichtag 4. August 2026</w:t>
      </w:r>
    </w:p>
    <w:p>
      <w:pPr>
        <w:spacing w:before="800"/>
      </w:pPr>
    </w:p>
    <w:tbl>
      <w:tblPr>
        <w:tblStyle w:val="TableGrid"/>
        <w:tblW w:type="auto" w:w="0"/>
        <w:jc w:val="center"/>
        <w:tblLook w:firstColumn="1" w:firstRow="1" w:lastColumn="0" w:lastRow="0" w:noHBand="0" w:noVBand="1" w:val="04A0"/>
      </w:tblPr>
      <w:tblGrid>
        <w:gridCol w:w="10092"/>
      </w:tblGrid>
      <w:tr>
        <w:trPr>
          <w:cantSplit w:val="true"/>
        </w:trPr>
        <w:tc>
          <w:tcPr>
            <w:tcW w:type="dxa" w:w="10092"/>
            <w:shd w:fill="EEF6F3"/>
            <w:tcMar>
              <w:top w:w="160" w:type="dxa"/>
              <w:start w:w="180" w:type="dxa"/>
              <w:bottom w:w="160" w:type="dxa"/>
              <w:end w:w="180" w:type="dxa"/>
            </w:tcMar>
          </w:tcPr>
          <w:p>
            <w:r>
              <w:rPr>
                <w:b/>
                <w:color w:val="173B33"/>
              </w:rPr>
              <w:t>STATUSHINWEIS</w:t>
              <w:br/>
            </w:r>
            <w:r>
              <w:t>Vollständiger redaktioneller Arbeitsstand für Claude und CodeX. Die Parteizuordnungen beruhen symmetrisch auf den offiziellen Bundestagswahlprogrammen 2025. Vor einer öffentlichen Veröffentlichung ist eine unabhängige Zweitprüfung jeder Fundstelle, eine juristische Prüfung und ein aktualisierter Datenabgleich erforderlich.</w:t>
            </w:r>
          </w:p>
        </w:tc>
      </w:tr>
    </w:tbl>
    <w:p>
      <w:r>
        <w:br w:type="page"/>
      </w:r>
    </w:p>
    <w:p>
      <w:pPr>
        <w:pStyle w:val="Heading1"/>
        <w:spacing w:after="80"/>
        <w:keepNext/>
      </w:pPr>
      <w:r>
        <w:t>1. Status, Zweck und verbindliche Leseregeln</w:t>
      </w:r>
    </w:p>
    <w:p>
      <w:pPr>
        <w:spacing w:after="80"/>
      </w:pPr>
      <w:r>
        <w:t>Dieses Dokument ergänzt das bereits vorliegende „Methodik-, Content- und UX-Paket v1.0“ um den vollständigen redaktionellen Inhalt für die erste reale Programmversion. Es enthält 36 Fragen, die programmatische Zuordnung von sieben Parteien und eine getrennte wirkungsökonomische Einordnung der jeweiligen politischen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Produktmodus</w:t>
            </w:r>
          </w:p>
        </w:tc>
        <w:tc>
          <w:tcPr>
            <w:tcW w:type="dxa" w:w="5046"/>
            <w:vAlign w:val="center"/>
            <w:tcMar>
              <w:top w:w="80" w:type="dxa"/>
              <w:start w:w="100" w:type="dxa"/>
              <w:bottom w:w="80" w:type="dxa"/>
              <w:end w:w="100" w:type="dxa"/>
            </w:tcMar>
          </w:tcPr>
          <w:p>
            <w:pPr>
              <w:spacing w:after="0" w:before="0"/>
            </w:pPr>
            <w:r>
              <w:rPr>
                <w:rFonts w:ascii="Aptos" w:hAnsi="Aptos"/>
                <w:sz w:val="17"/>
              </w:rPr>
              <w:t>Programmatic Mode: Vergleich der offiziellen Bundestagswahlprogramme 2025.</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Datenstichtag</w:t>
            </w:r>
          </w:p>
        </w:tc>
        <w:tc>
          <w:tcPr>
            <w:tcW w:type="dxa" w:w="5046"/>
            <w:vAlign w:val="center"/>
            <w:tcMar>
              <w:top w:w="80" w:type="dxa"/>
              <w:start w:w="100" w:type="dxa"/>
              <w:bottom w:w="80" w:type="dxa"/>
              <w:end w:w="100" w:type="dxa"/>
            </w:tcMar>
          </w:tcPr>
          <w:p>
            <w:pPr>
              <w:spacing w:after="0" w:before="0"/>
            </w:pPr>
            <w:r>
              <w:rPr>
                <w:rFonts w:ascii="Aptos" w:hAnsi="Aptos"/>
                <w:sz w:val="17"/>
              </w:rPr>
              <w:t>4. August 2026. Spätere Regierungshandlungen und einzelne Abstimmungen sind nicht mit den Programmen vermischt.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Parteien</w:t>
            </w:r>
          </w:p>
        </w:tc>
        <w:tc>
          <w:tcPr>
            <w:tcW w:type="dxa" w:w="5046"/>
            <w:vAlign w:val="center"/>
            <w:tcMar>
              <w:top w:w="80" w:type="dxa"/>
              <w:start w:w="100" w:type="dxa"/>
              <w:bottom w:w="80" w:type="dxa"/>
              <w:end w:w="100" w:type="dxa"/>
            </w:tcMar>
          </w:tcPr>
          <w:p>
            <w:pPr>
              <w:spacing w:after="0" w:before="0"/>
            </w:pPr>
            <w:r>
              <w:rPr>
                <w:rFonts w:ascii="Aptos" w:hAnsi="Aptos"/>
                <w:sz w:val="17"/>
              </w:rPr>
              <w:t>CDU/CSU, SPD, Bündnis 90/Die Grünen, AfD, Die Linke, BSW und FDP.</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Analyseeinheit</w:t>
            </w:r>
          </w:p>
        </w:tc>
        <w:tc>
          <w:tcPr>
            <w:tcW w:type="dxa" w:w="5046"/>
            <w:vAlign w:val="center"/>
            <w:tcMar>
              <w:top w:w="80" w:type="dxa"/>
              <w:start w:w="100" w:type="dxa"/>
              <w:bottom w:w="80" w:type="dxa"/>
              <w:end w:w="100" w:type="dxa"/>
            </w:tcMar>
          </w:tcPr>
          <w:p>
            <w:pPr>
              <w:spacing w:after="0" w:before="0"/>
            </w:pPr>
            <w:r>
              <w:rPr>
                <w:rFonts w:ascii="Aptos" w:hAnsi="Aptos"/>
                <w:sz w:val="17"/>
              </w:rPr>
              <w:t>Die politische Option – nicht die Partei als Ganzes.</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Sprachregel</w:t>
            </w:r>
          </w:p>
        </w:tc>
        <w:tc>
          <w:tcPr>
            <w:tcW w:type="dxa" w:w="5046"/>
            <w:vAlign w:val="center"/>
            <w:tcMar>
              <w:top w:w="80" w:type="dxa"/>
              <w:start w:w="100" w:type="dxa"/>
              <w:bottom w:w="80" w:type="dxa"/>
              <w:end w:w="100" w:type="dxa"/>
            </w:tcMar>
          </w:tcPr>
          <w:p>
            <w:pPr>
              <w:spacing w:after="0" w:before="0"/>
            </w:pPr>
            <w:r>
              <w:rPr>
                <w:rFonts w:ascii="Aptos" w:hAnsi="Aptos"/>
                <w:sz w:val="17"/>
              </w:rPr>
              <w:t>Bei Zukunftsvorschlägen wird Wirkungspotenzial, nicht bereits eingetretene Wirkung, bewertet.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Öffentliche Freigabe</w:t>
            </w:r>
          </w:p>
        </w:tc>
        <w:tc>
          <w:tcPr>
            <w:tcW w:type="dxa" w:w="5046"/>
            <w:vAlign w:val="center"/>
            <w:tcMar>
              <w:top w:w="80" w:type="dxa"/>
              <w:start w:w="100" w:type="dxa"/>
              <w:bottom w:w="80" w:type="dxa"/>
              <w:end w:w="100" w:type="dxa"/>
            </w:tcMar>
          </w:tcPr>
          <w:p>
            <w:pPr>
              <w:spacing w:after="0" w:before="0"/>
            </w:pPr>
            <w:r>
              <w:rPr>
                <w:rFonts w:ascii="Aptos" w:hAnsi="Aptos"/>
                <w:sz w:val="17"/>
              </w:rPr>
              <w:t>Erst nach Zweitprüfung, Gegendarstellungsmöglichkeit, juristischem Check und Versionierung.</w:t>
            </w:r>
          </w:p>
        </w:tc>
      </w:tr>
    </w:tbl>
    <w:p>
      <w:pPr>
        <w:pStyle w:val="Heading2"/>
        <w:spacing w:after="80"/>
        <w:keepNext/>
      </w:pPr>
      <w:r>
        <w:t>1.1 Was Claude aus diesem Dokument übernehmen darf</w:t>
      </w:r>
    </w:p>
    <w:p>
      <w:pPr>
        <w:pStyle w:val="ListBullet"/>
        <w:spacing w:after="20" w:before="0"/>
      </w:pPr>
      <w:r>
        <w:t>alle Nutzertexte, Fragen und Erklärungstexte</w:t>
      </w:r>
    </w:p>
    <w:p>
      <w:pPr>
        <w:pStyle w:val="ListBullet"/>
        <w:spacing w:after="20" w:before="0"/>
      </w:pPr>
      <w:r>
        <w:t>die scorebasierten Parteizuordnungen einschließlich Unsicherheit</w:t>
      </w:r>
    </w:p>
    <w:p>
      <w:pPr>
        <w:pStyle w:val="ListBullet"/>
        <w:spacing w:after="20" w:before="0"/>
      </w:pPr>
      <w:r>
        <w:t>die Ergebnisformulierungen und Wirkungsprofile</w:t>
      </w:r>
    </w:p>
    <w:p>
      <w:pPr>
        <w:pStyle w:val="ListBullet"/>
        <w:spacing w:after="20" w:before="0"/>
      </w:pPr>
      <w:r>
        <w:t>die Quell- und Datenstandsanzeigen</w:t>
      </w:r>
    </w:p>
    <w:p>
      <w:pPr>
        <w:pStyle w:val="ListBullet"/>
        <w:spacing w:after="20" w:before="0"/>
      </w:pPr>
      <w:r>
        <w:t>die Struktur der Detailansichten</w:t>
      </w:r>
    </w:p>
    <w:p>
      <w:pPr>
        <w:pStyle w:val="Heading2"/>
        <w:spacing w:after="80"/>
        <w:keepNext/>
      </w:pPr>
      <w:r>
        <w:t>1.2 Was Claude und CodeX nicht verändern dürfen</w:t>
      </w:r>
    </w:p>
    <w:p>
      <w:pPr>
        <w:pStyle w:val="ListBullet"/>
        <w:spacing w:after="20" w:before="0"/>
      </w:pPr>
      <w:r>
        <w:t>keine Partei-Gesamtwertung oder automatische Rangliste erzeugen</w:t>
      </w:r>
    </w:p>
    <w:p>
      <w:pPr>
        <w:pStyle w:val="ListBullet"/>
        <w:spacing w:after="20" w:before="0"/>
      </w:pPr>
      <w:r>
        <w:t>positionale Nähe und Wirkungspotenzial nicht verrechnen</w:t>
      </w:r>
    </w:p>
    <w:p>
      <w:pPr>
        <w:pStyle w:val="ListBullet"/>
        <w:spacing w:after="20" w:before="0"/>
      </w:pPr>
      <w:r>
        <w:t>Wirkungsgrenzen nicht in einen Durchschnitt einrechnen</w:t>
      </w:r>
    </w:p>
    <w:p>
      <w:pPr>
        <w:pStyle w:val="ListBullet"/>
        <w:spacing w:after="20" w:before="0"/>
      </w:pPr>
      <w:r>
        <w:t>unklare Parteipositionen nicht automatisiert erraten</w:t>
      </w:r>
    </w:p>
    <w:p>
      <w:pPr>
        <w:pStyle w:val="ListBullet"/>
        <w:spacing w:after="20" w:before="0"/>
      </w:pPr>
      <w:r>
        <w:t>Quellen, Unsicherheit und Datenstand nicht ausblenden</w:t>
      </w:r>
    </w:p>
    <w:p>
      <w:pPr>
        <w:pStyle w:val="ListBullet"/>
        <w:spacing w:after="20" w:before="0"/>
      </w:pPr>
      <w:r>
        <w:t>Begriffe „Wirkung“, „Wirkungspotenzial“ und „Wirkungsbewertung“ nicht vermischen</w:t>
      </w:r>
    </w:p>
    <w:p>
      <w:pPr>
        <w:pStyle w:val="Heading1"/>
        <w:spacing w:after="80"/>
        <w:keepNext/>
      </w:pPr>
      <w:r>
        <w:t>2. Bewertungslogik der Parteizuordnung</w:t>
      </w:r>
    </w:p>
    <w:p>
      <w:pPr>
        <w:spacing w:after="80"/>
      </w:pPr>
      <w:r>
        <w:t>Die Parteiwertung beschreibt ausschließlich die programmatische Nähe zur exakt formulierten politischen Option. Sie ist keine Bewertung der Partei und kein Wirkungsurteil.</w:t>
      </w:r>
    </w:p>
    <w:tbl>
      <w:tblPr>
        <w:tblStyle w:val="TableGrid"/>
        <w:tblW w:type="auto" w:w="0"/>
        <w:jc w:val="center"/>
        <w:tblLook w:firstColumn="1" w:firstRow="1" w:lastColumn="0" w:lastRow="0" w:noHBand="0" w:noVBand="1" w:val="04A0"/>
      </w:tblPr>
      <w:tblGrid>
        <w:gridCol w:w="2523"/>
        <w:gridCol w:w="2523"/>
        <w:gridCol w:w="2523"/>
        <w:gridCol w:w="2523"/>
      </w:tblGrid>
      <w:tr>
        <w:trPr>
          <w:cantSplit w:val="true"/>
          <w:tblHeader w:val="true"/>
        </w:trPr>
        <w:tc>
          <w:tcPr>
            <w:tcW w:type="dxa" w:w="2523"/>
            <w:vAlign w:val="center"/>
            <w:tcMar>
              <w:top w:w="80" w:type="dxa"/>
              <w:start w:w="100" w:type="dxa"/>
              <w:bottom w:w="80" w:type="dxa"/>
              <w:end w:w="100" w:type="dxa"/>
            </w:tcMar>
            <w:shd w:fill="173B33"/>
          </w:tcPr>
          <w:p>
            <w:pPr>
              <w:spacing w:after="0" w:before="0"/>
            </w:pPr>
            <w:r>
              <w:rPr>
                <w:rFonts w:ascii="Aptos" w:hAnsi="Aptos"/>
                <w:b/>
                <w:color w:val="FFFFFF"/>
                <w:sz w:val="17"/>
              </w:rPr>
              <w:t>Wert</w:t>
            </w:r>
          </w:p>
        </w:tc>
        <w:tc>
          <w:tcPr>
            <w:tcW w:type="dxa" w:w="2523"/>
            <w:vAlign w:val="center"/>
            <w:tcMar>
              <w:top w:w="80" w:type="dxa"/>
              <w:start w:w="100" w:type="dxa"/>
              <w:bottom w:w="80" w:type="dxa"/>
              <w:end w:w="100" w:type="dxa"/>
            </w:tcMar>
            <w:shd w:fill="173B33"/>
          </w:tcPr>
          <w:p>
            <w:pPr>
              <w:spacing w:after="0" w:before="0"/>
            </w:pPr>
            <w:r>
              <w:rPr>
                <w:rFonts w:ascii="Aptos" w:hAnsi="Aptos"/>
                <w:b/>
                <w:color w:val="FFFFFF"/>
                <w:sz w:val="17"/>
              </w:rPr>
              <w:t>Symbol</w:t>
            </w:r>
          </w:p>
        </w:tc>
        <w:tc>
          <w:tcPr>
            <w:tcW w:type="dxa" w:w="2523"/>
            <w:vAlign w:val="center"/>
            <w:tcMar>
              <w:top w:w="80" w:type="dxa"/>
              <w:start w:w="100" w:type="dxa"/>
              <w:bottom w:w="80" w:type="dxa"/>
              <w:end w:w="100" w:type="dxa"/>
            </w:tcMar>
            <w:shd w:fill="173B33"/>
          </w:tcPr>
          <w:p>
            <w:pPr>
              <w:spacing w:after="0" w:before="0"/>
            </w:pPr>
            <w:r>
              <w:rPr>
                <w:rFonts w:ascii="Aptos" w:hAnsi="Aptos"/>
                <w:b/>
                <w:color w:val="FFFFFF"/>
                <w:sz w:val="17"/>
              </w:rPr>
              <w:t>Bedeutung</w:t>
            </w:r>
          </w:p>
        </w:tc>
        <w:tc>
          <w:tcPr>
            <w:tcW w:type="dxa" w:w="2523"/>
            <w:vAlign w:val="center"/>
            <w:tcMar>
              <w:top w:w="80" w:type="dxa"/>
              <w:start w:w="100" w:type="dxa"/>
              <w:bottom w:w="80" w:type="dxa"/>
              <w:end w:w="100" w:type="dxa"/>
            </w:tcMar>
            <w:shd w:fill="173B33"/>
          </w:tcPr>
          <w:p>
            <w:pPr>
              <w:spacing w:after="0" w:before="0"/>
            </w:pPr>
            <w:r>
              <w:rPr>
                <w:rFonts w:ascii="Aptos" w:hAnsi="Aptos"/>
                <w:b/>
                <w:color w:val="FFFFFF"/>
                <w:sz w:val="17"/>
              </w:rPr>
              <w:t>Regel</w:t>
            </w:r>
          </w:p>
        </w:tc>
      </w:tr>
      <w:tr>
        <w:trPr>
          <w:cantSplit w:val="true"/>
        </w:trPr>
        <w:tc>
          <w:tcPr>
            <w:tcW w:type="dxa" w:w="2523"/>
            <w:shd w:fill="D7EBDD"/>
            <w:vAlign w:val="center"/>
            <w:tcMar>
              <w:top w:w="80" w:type="dxa"/>
              <w:start w:w="100" w:type="dxa"/>
              <w:bottom w:w="80" w:type="dxa"/>
              <w:end w:w="100" w:type="dxa"/>
            </w:tcMar>
          </w:tcPr>
          <w:p>
            <w:pPr>
              <w:spacing w:after="0" w:before="0"/>
            </w:pPr>
            <w:r>
              <w:rPr>
                <w:rFonts w:ascii="Aptos" w:hAnsi="Aptos"/>
                <w:sz w:val="17"/>
              </w:rPr>
              <w:t>2</w:t>
            </w:r>
          </w:p>
        </w:tc>
        <w:tc>
          <w:tcPr>
            <w:tcW w:type="dxa" w:w="2523"/>
            <w:shd w:fill="D7EBDD"/>
            <w:vAlign w:val="center"/>
            <w:tcMar>
              <w:top w:w="80" w:type="dxa"/>
              <w:start w:w="100" w:type="dxa"/>
              <w:bottom w:w="80" w:type="dxa"/>
              <w:end w:w="100" w:type="dxa"/>
            </w:tcMar>
          </w:tcPr>
          <w:p>
            <w:pPr>
              <w:spacing w:after="0" w:before="0"/>
            </w:pPr>
            <w:r>
              <w:rPr>
                <w:rFonts w:ascii="Aptos" w:hAnsi="Aptos"/>
                <w:sz w:val="17"/>
              </w:rPr>
              <w:t>++</w:t>
            </w:r>
          </w:p>
        </w:tc>
        <w:tc>
          <w:tcPr>
            <w:tcW w:type="dxa" w:w="2523"/>
            <w:vAlign w:val="center"/>
            <w:tcMar>
              <w:top w:w="80" w:type="dxa"/>
              <w:start w:w="100" w:type="dxa"/>
              <w:bottom w:w="80" w:type="dxa"/>
              <w:end w:w="100" w:type="dxa"/>
            </w:tcMar>
          </w:tcPr>
          <w:p>
            <w:pPr>
              <w:spacing w:after="0" w:before="0"/>
            </w:pPr>
            <w:r>
              <w:rPr>
                <w:rFonts w:ascii="Aptos" w:hAnsi="Aptos"/>
                <w:sz w:val="17"/>
              </w:rPr>
              <w:t>klare Zustimmung</w:t>
            </w:r>
          </w:p>
        </w:tc>
        <w:tc>
          <w:tcPr>
            <w:tcW w:type="dxa" w:w="2523"/>
            <w:vAlign w:val="center"/>
            <w:tcMar>
              <w:top w:w="80" w:type="dxa"/>
              <w:start w:w="100" w:type="dxa"/>
              <w:bottom w:w="80" w:type="dxa"/>
              <w:end w:w="100" w:type="dxa"/>
            </w:tcMar>
          </w:tcPr>
          <w:p>
            <w:pPr>
              <w:spacing w:after="0" w:before="0"/>
            </w:pPr>
            <w:r>
              <w:rPr>
                <w:rFonts w:ascii="Aptos" w:hAnsi="Aptos"/>
                <w:sz w:val="17"/>
              </w:rPr>
              <w:t>explizite Unterstützung der Kernoption</w:t>
            </w:r>
          </w:p>
        </w:tc>
      </w:tr>
      <w:tr>
        <w:trPr>
          <w:cantSplit w:val="true"/>
        </w:trPr>
        <w:tc>
          <w:tcPr>
            <w:tcW w:type="dxa" w:w="2523"/>
            <w:shd w:fill="EAF3DE"/>
            <w:vAlign w:val="center"/>
            <w:tcMar>
              <w:top w:w="80" w:type="dxa"/>
              <w:start w:w="100" w:type="dxa"/>
              <w:bottom w:w="80" w:type="dxa"/>
              <w:end w:w="100" w:type="dxa"/>
            </w:tcMar>
          </w:tcPr>
          <w:p>
            <w:pPr>
              <w:spacing w:after="0" w:before="0"/>
            </w:pPr>
            <w:r>
              <w:rPr>
                <w:rFonts w:ascii="Aptos" w:hAnsi="Aptos"/>
                <w:sz w:val="17"/>
              </w:rPr>
              <w:t>1</w:t>
            </w:r>
          </w:p>
        </w:tc>
        <w:tc>
          <w:tcPr>
            <w:tcW w:type="dxa" w:w="2523"/>
            <w:shd w:fill="EAF3DE"/>
            <w:vAlign w:val="center"/>
            <w:tcMar>
              <w:top w:w="80" w:type="dxa"/>
              <w:start w:w="100" w:type="dxa"/>
              <w:bottom w:w="80" w:type="dxa"/>
              <w:end w:w="100" w:type="dxa"/>
            </w:tcMar>
          </w:tcPr>
          <w:p>
            <w:pPr>
              <w:spacing w:after="0" w:before="0"/>
            </w:pPr>
            <w:r>
              <w:rPr>
                <w:rFonts w:ascii="Aptos" w:hAnsi="Aptos"/>
                <w:sz w:val="17"/>
              </w:rPr>
              <w:t>+</w:t>
            </w:r>
          </w:p>
        </w:tc>
        <w:tc>
          <w:tcPr>
            <w:tcW w:type="dxa" w:w="2523"/>
            <w:vAlign w:val="center"/>
            <w:tcMar>
              <w:top w:w="80" w:type="dxa"/>
              <w:start w:w="100" w:type="dxa"/>
              <w:bottom w:w="80" w:type="dxa"/>
              <w:end w:w="100" w:type="dxa"/>
            </w:tcMar>
          </w:tcPr>
          <w:p>
            <w:pPr>
              <w:spacing w:after="0" w:before="0"/>
            </w:pPr>
            <w:r>
              <w:rPr>
                <w:rFonts w:ascii="Aptos" w:hAnsi="Aptos"/>
                <w:sz w:val="17"/>
              </w:rPr>
              <w:t>tendenzielle Zustimmung</w:t>
            </w:r>
          </w:p>
        </w:tc>
        <w:tc>
          <w:tcPr>
            <w:tcW w:type="dxa" w:w="2523"/>
            <w:vAlign w:val="center"/>
            <w:tcMar>
              <w:top w:w="80" w:type="dxa"/>
              <w:start w:w="100" w:type="dxa"/>
              <w:bottom w:w="80" w:type="dxa"/>
              <w:end w:w="100" w:type="dxa"/>
            </w:tcMar>
          </w:tcPr>
          <w:p>
            <w:pPr>
              <w:spacing w:after="0" w:before="0"/>
            </w:pPr>
            <w:r>
              <w:rPr>
                <w:rFonts w:ascii="Aptos" w:hAnsi="Aptos"/>
                <w:sz w:val="17"/>
              </w:rPr>
              <w:t>Richtung wird unterstützt, aber Instrument, Umfang oder Bedingung weicht ab</w:t>
            </w:r>
          </w:p>
        </w:tc>
      </w:tr>
      <w:tr>
        <w:trPr>
          <w:cantSplit w:val="true"/>
        </w:trPr>
        <w:tc>
          <w:tcPr>
            <w:tcW w:type="dxa" w:w="2523"/>
            <w:shd w:fill="F1F1EE"/>
            <w:vAlign w:val="center"/>
            <w:tcMar>
              <w:top w:w="80" w:type="dxa"/>
              <w:start w:w="100" w:type="dxa"/>
              <w:bottom w:w="80" w:type="dxa"/>
              <w:end w:w="100" w:type="dxa"/>
            </w:tcMar>
          </w:tcPr>
          <w:p>
            <w:pPr>
              <w:spacing w:after="0" w:before="0"/>
            </w:pPr>
            <w:r>
              <w:rPr>
                <w:rFonts w:ascii="Aptos" w:hAnsi="Aptos"/>
                <w:sz w:val="17"/>
              </w:rPr>
              <w:t>0</w:t>
            </w:r>
          </w:p>
        </w:tc>
        <w:tc>
          <w:tcPr>
            <w:tcW w:type="dxa" w:w="2523"/>
            <w:shd w:fill="F1F1EE"/>
            <w:vAlign w:val="center"/>
            <w:tcMar>
              <w:top w:w="80" w:type="dxa"/>
              <w:start w:w="100" w:type="dxa"/>
              <w:bottom w:w="80" w:type="dxa"/>
              <w:end w:w="100" w:type="dxa"/>
            </w:tcMar>
          </w:tcPr>
          <w:p>
            <w:pPr>
              <w:spacing w:after="0" w:before="0"/>
            </w:pPr>
            <w:r>
              <w:rPr>
                <w:rFonts w:ascii="Aptos" w:hAnsi="Aptos"/>
                <w:sz w:val="17"/>
              </w:rPr>
              <w:t>0</w:t>
            </w:r>
          </w:p>
        </w:tc>
        <w:tc>
          <w:tcPr>
            <w:tcW w:type="dxa" w:w="2523"/>
            <w:vAlign w:val="center"/>
            <w:tcMar>
              <w:top w:w="80" w:type="dxa"/>
              <w:start w:w="100" w:type="dxa"/>
              <w:bottom w:w="80" w:type="dxa"/>
              <w:end w:w="100" w:type="dxa"/>
            </w:tcMar>
          </w:tcPr>
          <w:p>
            <w:pPr>
              <w:spacing w:after="0" w:before="0"/>
            </w:pPr>
            <w:r>
              <w:rPr>
                <w:rFonts w:ascii="Aptos" w:hAnsi="Aptos"/>
                <w:sz w:val="17"/>
              </w:rPr>
              <w:t>gemischt / nicht hinreichend belegt</w:t>
            </w:r>
          </w:p>
        </w:tc>
        <w:tc>
          <w:tcPr>
            <w:tcW w:type="dxa" w:w="2523"/>
            <w:vAlign w:val="center"/>
            <w:tcMar>
              <w:top w:w="80" w:type="dxa"/>
              <w:start w:w="100" w:type="dxa"/>
              <w:bottom w:w="80" w:type="dxa"/>
              <w:end w:w="100" w:type="dxa"/>
            </w:tcMar>
          </w:tcPr>
          <w:p>
            <w:pPr>
              <w:spacing w:after="0" w:before="0"/>
            </w:pPr>
            <w:r>
              <w:rPr>
                <w:rFonts w:ascii="Aptos" w:hAnsi="Aptos"/>
                <w:sz w:val="17"/>
              </w:rPr>
              <w:t>gemischte Position oder nicht hinreichend eindeutiger Programmbeleg</w:t>
            </w:r>
          </w:p>
        </w:tc>
      </w:tr>
      <w:tr>
        <w:trPr>
          <w:cantSplit w:val="true"/>
        </w:trPr>
        <w:tc>
          <w:tcPr>
            <w:tcW w:type="dxa" w:w="2523"/>
            <w:shd w:fill="F7E8D5"/>
            <w:vAlign w:val="center"/>
            <w:tcMar>
              <w:top w:w="80" w:type="dxa"/>
              <w:start w:w="100" w:type="dxa"/>
              <w:bottom w:w="80" w:type="dxa"/>
              <w:end w:w="100" w:type="dxa"/>
            </w:tcMar>
          </w:tcPr>
          <w:p>
            <w:pPr>
              <w:spacing w:after="0" w:before="0"/>
            </w:pPr>
            <w:r>
              <w:rPr>
                <w:rFonts w:ascii="Aptos" w:hAnsi="Aptos"/>
                <w:sz w:val="17"/>
              </w:rPr>
              <w:t>-1</w:t>
            </w:r>
          </w:p>
        </w:tc>
        <w:tc>
          <w:tcPr>
            <w:tcW w:type="dxa" w:w="2523"/>
            <w:shd w:fill="F7E8D5"/>
            <w:vAlign w:val="center"/>
            <w:tcMar>
              <w:top w:w="80" w:type="dxa"/>
              <w:start w:w="100" w:type="dxa"/>
              <w:bottom w:w="80" w:type="dxa"/>
              <w:end w:w="100" w:type="dxa"/>
            </w:tcMar>
          </w:tcPr>
          <w:p>
            <w:pPr>
              <w:spacing w:after="0" w:before="0"/>
            </w:pPr>
            <w:r>
              <w:rPr>
                <w:rFonts w:ascii="Aptos" w:hAnsi="Aptos"/>
                <w:sz w:val="17"/>
              </w:rPr>
              <w:t>−</w:t>
            </w:r>
          </w:p>
        </w:tc>
        <w:tc>
          <w:tcPr>
            <w:tcW w:type="dxa" w:w="2523"/>
            <w:vAlign w:val="center"/>
            <w:tcMar>
              <w:top w:w="80" w:type="dxa"/>
              <w:start w:w="100" w:type="dxa"/>
              <w:bottom w:w="80" w:type="dxa"/>
              <w:end w:w="100" w:type="dxa"/>
            </w:tcMar>
          </w:tcPr>
          <w:p>
            <w:pPr>
              <w:spacing w:after="0" w:before="0"/>
            </w:pPr>
            <w:r>
              <w:rPr>
                <w:rFonts w:ascii="Aptos" w:hAnsi="Aptos"/>
                <w:sz w:val="17"/>
              </w:rPr>
              <w:t>tendenzielle Ablehnung</w:t>
            </w:r>
          </w:p>
        </w:tc>
        <w:tc>
          <w:tcPr>
            <w:tcW w:type="dxa" w:w="2523"/>
            <w:vAlign w:val="center"/>
            <w:tcMar>
              <w:top w:w="80" w:type="dxa"/>
              <w:start w:w="100" w:type="dxa"/>
              <w:bottom w:w="80" w:type="dxa"/>
              <w:end w:w="100" w:type="dxa"/>
            </w:tcMar>
          </w:tcPr>
          <w:p>
            <w:pPr>
              <w:spacing w:after="0" w:before="0"/>
            </w:pPr>
            <w:r>
              <w:rPr>
                <w:rFonts w:ascii="Aptos" w:hAnsi="Aptos"/>
                <w:sz w:val="17"/>
              </w:rPr>
              <w:t>überwiegend abweichende Priorität oder Teilablehnung</w:t>
            </w:r>
          </w:p>
        </w:tc>
      </w:tr>
      <w:tr>
        <w:trPr>
          <w:cantSplit w:val="true"/>
        </w:trPr>
        <w:tc>
          <w:tcPr>
            <w:tcW w:type="dxa" w:w="2523"/>
            <w:shd w:fill="F1D9D9"/>
            <w:vAlign w:val="center"/>
            <w:tcMar>
              <w:top w:w="80" w:type="dxa"/>
              <w:start w:w="100" w:type="dxa"/>
              <w:bottom w:w="80" w:type="dxa"/>
              <w:end w:w="100" w:type="dxa"/>
            </w:tcMar>
          </w:tcPr>
          <w:p>
            <w:pPr>
              <w:spacing w:after="0" w:before="0"/>
            </w:pPr>
            <w:r>
              <w:rPr>
                <w:rFonts w:ascii="Aptos" w:hAnsi="Aptos"/>
                <w:sz w:val="17"/>
              </w:rPr>
              <w:t>-2</w:t>
            </w:r>
          </w:p>
        </w:tc>
        <w:tc>
          <w:tcPr>
            <w:tcW w:type="dxa" w:w="2523"/>
            <w:shd w:fill="F1D9D9"/>
            <w:vAlign w:val="center"/>
            <w:tcMar>
              <w:top w:w="80" w:type="dxa"/>
              <w:start w:w="100" w:type="dxa"/>
              <w:bottom w:w="80" w:type="dxa"/>
              <w:end w:w="100" w:type="dxa"/>
            </w:tcMar>
          </w:tcPr>
          <w:p>
            <w:pPr>
              <w:spacing w:after="0" w:before="0"/>
            </w:pPr>
            <w:r>
              <w:rPr>
                <w:rFonts w:ascii="Aptos" w:hAnsi="Aptos"/>
                <w:sz w:val="17"/>
              </w:rPr>
              <w:t>−−</w:t>
            </w:r>
          </w:p>
        </w:tc>
        <w:tc>
          <w:tcPr>
            <w:tcW w:type="dxa" w:w="2523"/>
            <w:vAlign w:val="center"/>
            <w:tcMar>
              <w:top w:w="80" w:type="dxa"/>
              <w:start w:w="100" w:type="dxa"/>
              <w:bottom w:w="80" w:type="dxa"/>
              <w:end w:w="100" w:type="dxa"/>
            </w:tcMar>
          </w:tcPr>
          <w:p>
            <w:pPr>
              <w:spacing w:after="0" w:before="0"/>
            </w:pPr>
            <w:r>
              <w:rPr>
                <w:rFonts w:ascii="Aptos" w:hAnsi="Aptos"/>
                <w:sz w:val="17"/>
              </w:rPr>
              <w:t>klare Ablehnung</w:t>
            </w:r>
          </w:p>
        </w:tc>
        <w:tc>
          <w:tcPr>
            <w:tcW w:type="dxa" w:w="2523"/>
            <w:vAlign w:val="center"/>
            <w:tcMar>
              <w:top w:w="80" w:type="dxa"/>
              <w:start w:w="100" w:type="dxa"/>
              <w:bottom w:w="80" w:type="dxa"/>
              <w:end w:w="100" w:type="dxa"/>
            </w:tcMar>
          </w:tcPr>
          <w:p>
            <w:pPr>
              <w:spacing w:after="0" w:before="0"/>
            </w:pPr>
            <w:r>
              <w:rPr>
                <w:rFonts w:ascii="Aptos" w:hAnsi="Aptos"/>
                <w:sz w:val="17"/>
              </w:rPr>
              <w:t>explizite Ablehnung oder klar entgegengesetztes Modell</w:t>
            </w:r>
          </w:p>
        </w:tc>
      </w:tr>
    </w:tbl>
    <w:p>
      <w:pPr>
        <w:pStyle w:val="Heading2"/>
        <w:spacing w:after="80"/>
        <w:keepNext/>
      </w:pPr>
      <w:r>
        <w:t>Quellenvertrauen</w:t>
      </w:r>
    </w:p>
    <w:p>
      <w:pPr>
        <w:pStyle w:val="ListBullet"/>
        <w:spacing w:after="20" w:before="0"/>
      </w:pPr>
      <w:r>
        <w:t>hoch: explizite Aussage zur Kernoption im offiziellen Programm</w:t>
      </w:r>
    </w:p>
    <w:p>
      <w:pPr>
        <w:pStyle w:val="ListBullet"/>
        <w:spacing w:after="20" w:before="0"/>
      </w:pPr>
      <w:r>
        <w:t>mittel: klare Richtung, aber nicht alle Bestandteile der Option werden genannt</w:t>
      </w:r>
    </w:p>
    <w:p>
      <w:pPr>
        <w:pStyle w:val="ListBullet"/>
        <w:spacing w:after="20" w:before="0"/>
      </w:pPr>
      <w:r>
        <w:t>niedrig: indirekte Ableitung oder keine eindeutige Fundstelle; vor Veröffentlichung nachrecherchieren</w:t>
      </w:r>
    </w:p>
    <w:p>
      <w:pPr>
        <w:pStyle w:val="Heading1"/>
        <w:spacing w:after="80"/>
        <w:keepNext/>
      </w:pPr>
      <w:r>
        <w:t>3. Themenfelder und Fragenübersicht</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7"/>
              </w:rPr>
              <w:t>Feld</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7"/>
              </w:rPr>
              <w:t>Themenbereich</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7"/>
              </w:rPr>
              <w:t>Fragen</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7"/>
              </w:rPr>
              <w:t>A</w:t>
            </w:r>
          </w:p>
        </w:tc>
        <w:tc>
          <w:tcPr>
            <w:tcW w:type="dxa" w:w="3364"/>
            <w:vAlign w:val="center"/>
            <w:tcMar>
              <w:top w:w="80" w:type="dxa"/>
              <w:start w:w="100" w:type="dxa"/>
              <w:bottom w:w="80" w:type="dxa"/>
              <w:end w:w="100" w:type="dxa"/>
            </w:tcMar>
          </w:tcPr>
          <w:p>
            <w:pPr>
              <w:spacing w:after="0" w:before="0"/>
            </w:pPr>
            <w:r>
              <w:rPr>
                <w:rFonts w:ascii="Aptos" w:hAnsi="Aptos"/>
                <w:sz w:val="17"/>
              </w:rPr>
              <w:t>Klima, Energie &amp; Ressourcen</w:t>
            </w:r>
          </w:p>
        </w:tc>
        <w:tc>
          <w:tcPr>
            <w:tcW w:type="dxa" w:w="3364"/>
            <w:vAlign w:val="center"/>
            <w:tcMar>
              <w:top w:w="80" w:type="dxa"/>
              <w:start w:w="100" w:type="dxa"/>
              <w:bottom w:w="80" w:type="dxa"/>
              <w:end w:w="100" w:type="dxa"/>
            </w:tcMar>
          </w:tcPr>
          <w:p>
            <w:pPr>
              <w:spacing w:after="0" w:before="0"/>
            </w:pPr>
            <w:r>
              <w:rPr>
                <w:rFonts w:ascii="Aptos" w:hAnsi="Aptos"/>
                <w:sz w:val="17"/>
              </w:rPr>
              <w:t>Q01, Q02, Q03, Q04</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7"/>
              </w:rPr>
              <w:t>B</w:t>
            </w:r>
          </w:p>
        </w:tc>
        <w:tc>
          <w:tcPr>
            <w:tcW w:type="dxa" w:w="3364"/>
            <w:vAlign w:val="center"/>
            <w:tcMar>
              <w:top w:w="80" w:type="dxa"/>
              <w:start w:w="100" w:type="dxa"/>
              <w:bottom w:w="80" w:type="dxa"/>
              <w:end w:w="100" w:type="dxa"/>
            </w:tcMar>
          </w:tcPr>
          <w:p>
            <w:pPr>
              <w:spacing w:after="0" w:before="0"/>
            </w:pPr>
            <w:r>
              <w:rPr>
                <w:rFonts w:ascii="Aptos" w:hAnsi="Aptos"/>
                <w:sz w:val="17"/>
              </w:rPr>
              <w:t>Mobilität, Gebäude, Landwirtschaft &amp; Natur</w:t>
            </w:r>
          </w:p>
        </w:tc>
        <w:tc>
          <w:tcPr>
            <w:tcW w:type="dxa" w:w="3364"/>
            <w:vAlign w:val="center"/>
            <w:tcMar>
              <w:top w:w="80" w:type="dxa"/>
              <w:start w:w="100" w:type="dxa"/>
              <w:bottom w:w="80" w:type="dxa"/>
              <w:end w:w="100" w:type="dxa"/>
            </w:tcMar>
          </w:tcPr>
          <w:p>
            <w:pPr>
              <w:spacing w:after="0" w:before="0"/>
            </w:pPr>
            <w:r>
              <w:rPr>
                <w:rFonts w:ascii="Aptos" w:hAnsi="Aptos"/>
                <w:sz w:val="17"/>
              </w:rPr>
              <w:t>Q05, Q06, Q07, Q08</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7"/>
              </w:rPr>
              <w:t>C</w:t>
            </w:r>
          </w:p>
        </w:tc>
        <w:tc>
          <w:tcPr>
            <w:tcW w:type="dxa" w:w="3364"/>
            <w:vAlign w:val="center"/>
            <w:tcMar>
              <w:top w:w="80" w:type="dxa"/>
              <w:start w:w="100" w:type="dxa"/>
              <w:bottom w:w="80" w:type="dxa"/>
              <w:end w:w="100" w:type="dxa"/>
            </w:tcMar>
          </w:tcPr>
          <w:p>
            <w:pPr>
              <w:spacing w:after="0" w:before="0"/>
            </w:pPr>
            <w:r>
              <w:rPr>
                <w:rFonts w:ascii="Aptos" w:hAnsi="Aptos"/>
                <w:sz w:val="17"/>
              </w:rPr>
              <w:t>Wirtschaft, Finanzen &amp; Industrie</w:t>
            </w:r>
          </w:p>
        </w:tc>
        <w:tc>
          <w:tcPr>
            <w:tcW w:type="dxa" w:w="3364"/>
            <w:vAlign w:val="center"/>
            <w:tcMar>
              <w:top w:w="80" w:type="dxa"/>
              <w:start w:w="100" w:type="dxa"/>
              <w:bottom w:w="80" w:type="dxa"/>
              <w:end w:w="100" w:type="dxa"/>
            </w:tcMar>
          </w:tcPr>
          <w:p>
            <w:pPr>
              <w:spacing w:after="0" w:before="0"/>
            </w:pPr>
            <w:r>
              <w:rPr>
                <w:rFonts w:ascii="Aptos" w:hAnsi="Aptos"/>
                <w:sz w:val="17"/>
              </w:rPr>
              <w:t>Q09, Q10, Q11, Q12</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7"/>
              </w:rPr>
              <w:t>D</w:t>
            </w:r>
          </w:p>
        </w:tc>
        <w:tc>
          <w:tcPr>
            <w:tcW w:type="dxa" w:w="3364"/>
            <w:vAlign w:val="center"/>
            <w:tcMar>
              <w:top w:w="80" w:type="dxa"/>
              <w:start w:w="100" w:type="dxa"/>
              <w:bottom w:w="80" w:type="dxa"/>
              <w:end w:w="100" w:type="dxa"/>
            </w:tcMar>
          </w:tcPr>
          <w:p>
            <w:pPr>
              <w:spacing w:after="0" w:before="0"/>
            </w:pPr>
            <w:r>
              <w:rPr>
                <w:rFonts w:ascii="Aptos" w:hAnsi="Aptos"/>
                <w:sz w:val="17"/>
              </w:rPr>
              <w:t>Arbeit, soziale Sicherung &amp; Gesundheit</w:t>
            </w:r>
          </w:p>
        </w:tc>
        <w:tc>
          <w:tcPr>
            <w:tcW w:type="dxa" w:w="3364"/>
            <w:vAlign w:val="center"/>
            <w:tcMar>
              <w:top w:w="80" w:type="dxa"/>
              <w:start w:w="100" w:type="dxa"/>
              <w:bottom w:w="80" w:type="dxa"/>
              <w:end w:w="100" w:type="dxa"/>
            </w:tcMar>
          </w:tcPr>
          <w:p>
            <w:pPr>
              <w:spacing w:after="0" w:before="0"/>
            </w:pPr>
            <w:r>
              <w:rPr>
                <w:rFonts w:ascii="Aptos" w:hAnsi="Aptos"/>
                <w:sz w:val="17"/>
              </w:rPr>
              <w:t>Q13, Q14, Q15, Q16</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7"/>
              </w:rPr>
              <w:t>E</w:t>
            </w:r>
          </w:p>
        </w:tc>
        <w:tc>
          <w:tcPr>
            <w:tcW w:type="dxa" w:w="3364"/>
            <w:vAlign w:val="center"/>
            <w:tcMar>
              <w:top w:w="80" w:type="dxa"/>
              <w:start w:w="100" w:type="dxa"/>
              <w:bottom w:w="80" w:type="dxa"/>
              <w:end w:w="100" w:type="dxa"/>
            </w:tcMar>
          </w:tcPr>
          <w:p>
            <w:pPr>
              <w:spacing w:after="0" w:before="0"/>
            </w:pPr>
            <w:r>
              <w:rPr>
                <w:rFonts w:ascii="Aptos" w:hAnsi="Aptos"/>
                <w:sz w:val="17"/>
              </w:rPr>
              <w:t>Wohnen, Boden &amp; öffentliche Daseinsvorsorge</w:t>
            </w:r>
          </w:p>
        </w:tc>
        <w:tc>
          <w:tcPr>
            <w:tcW w:type="dxa" w:w="3364"/>
            <w:vAlign w:val="center"/>
            <w:tcMar>
              <w:top w:w="80" w:type="dxa"/>
              <w:start w:w="100" w:type="dxa"/>
              <w:bottom w:w="80" w:type="dxa"/>
              <w:end w:w="100" w:type="dxa"/>
            </w:tcMar>
          </w:tcPr>
          <w:p>
            <w:pPr>
              <w:spacing w:after="0" w:before="0"/>
            </w:pPr>
            <w:r>
              <w:rPr>
                <w:rFonts w:ascii="Aptos" w:hAnsi="Aptos"/>
                <w:sz w:val="17"/>
              </w:rPr>
              <w:t>Q17, Q18, Q19, Q20</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7"/>
              </w:rPr>
              <w:t>F</w:t>
            </w:r>
          </w:p>
        </w:tc>
        <w:tc>
          <w:tcPr>
            <w:tcW w:type="dxa" w:w="3364"/>
            <w:vAlign w:val="center"/>
            <w:tcMar>
              <w:top w:w="80" w:type="dxa"/>
              <w:start w:w="100" w:type="dxa"/>
              <w:bottom w:w="80" w:type="dxa"/>
              <w:end w:w="100" w:type="dxa"/>
            </w:tcMar>
          </w:tcPr>
          <w:p>
            <w:pPr>
              <w:spacing w:after="0" w:before="0"/>
            </w:pPr>
            <w:r>
              <w:rPr>
                <w:rFonts w:ascii="Aptos" w:hAnsi="Aptos"/>
                <w:sz w:val="17"/>
              </w:rPr>
              <w:t>Demokratie, Medien &amp; digitale Öffentlichkeit</w:t>
            </w:r>
          </w:p>
        </w:tc>
        <w:tc>
          <w:tcPr>
            <w:tcW w:type="dxa" w:w="3364"/>
            <w:vAlign w:val="center"/>
            <w:tcMar>
              <w:top w:w="80" w:type="dxa"/>
              <w:start w:w="100" w:type="dxa"/>
              <w:bottom w:w="80" w:type="dxa"/>
              <w:end w:w="100" w:type="dxa"/>
            </w:tcMar>
          </w:tcPr>
          <w:p>
            <w:pPr>
              <w:spacing w:after="0" w:before="0"/>
            </w:pPr>
            <w:r>
              <w:rPr>
                <w:rFonts w:ascii="Aptos" w:hAnsi="Aptos"/>
                <w:sz w:val="17"/>
              </w:rPr>
              <w:t>Q21, Q22, Q23, Q24</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7"/>
              </w:rPr>
              <w:t>G</w:t>
            </w:r>
          </w:p>
        </w:tc>
        <w:tc>
          <w:tcPr>
            <w:tcW w:type="dxa" w:w="3364"/>
            <w:vAlign w:val="center"/>
            <w:tcMar>
              <w:top w:w="80" w:type="dxa"/>
              <w:start w:w="100" w:type="dxa"/>
              <w:bottom w:w="80" w:type="dxa"/>
              <w:end w:w="100" w:type="dxa"/>
            </w:tcMar>
          </w:tcPr>
          <w:p>
            <w:pPr>
              <w:spacing w:after="0" w:before="0"/>
            </w:pPr>
            <w:r>
              <w:rPr>
                <w:rFonts w:ascii="Aptos" w:hAnsi="Aptos"/>
                <w:sz w:val="17"/>
              </w:rPr>
              <w:t>Rechte, Migration &amp; gesellschaftliche Teilhabe</w:t>
            </w:r>
          </w:p>
        </w:tc>
        <w:tc>
          <w:tcPr>
            <w:tcW w:type="dxa" w:w="3364"/>
            <w:vAlign w:val="center"/>
            <w:tcMar>
              <w:top w:w="80" w:type="dxa"/>
              <w:start w:w="100" w:type="dxa"/>
              <w:bottom w:w="80" w:type="dxa"/>
              <w:end w:w="100" w:type="dxa"/>
            </w:tcMar>
          </w:tcPr>
          <w:p>
            <w:pPr>
              <w:spacing w:after="0" w:before="0"/>
            </w:pPr>
            <w:r>
              <w:rPr>
                <w:rFonts w:ascii="Aptos" w:hAnsi="Aptos"/>
                <w:sz w:val="17"/>
              </w:rPr>
              <w:t>Q25, Q26, Q27, Q28</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7"/>
              </w:rPr>
              <w:t>H</w:t>
            </w:r>
          </w:p>
        </w:tc>
        <w:tc>
          <w:tcPr>
            <w:tcW w:type="dxa" w:w="3364"/>
            <w:vAlign w:val="center"/>
            <w:tcMar>
              <w:top w:w="80" w:type="dxa"/>
              <w:start w:w="100" w:type="dxa"/>
              <w:bottom w:w="80" w:type="dxa"/>
              <w:end w:w="100" w:type="dxa"/>
            </w:tcMar>
          </w:tcPr>
          <w:p>
            <w:pPr>
              <w:spacing w:after="0" w:before="0"/>
            </w:pPr>
            <w:r>
              <w:rPr>
                <w:rFonts w:ascii="Aptos" w:hAnsi="Aptos"/>
                <w:sz w:val="17"/>
              </w:rPr>
              <w:t>Europa, Außenpolitik &amp; Sicherheit</w:t>
            </w:r>
          </w:p>
        </w:tc>
        <w:tc>
          <w:tcPr>
            <w:tcW w:type="dxa" w:w="3364"/>
            <w:vAlign w:val="center"/>
            <w:tcMar>
              <w:top w:w="80" w:type="dxa"/>
              <w:start w:w="100" w:type="dxa"/>
              <w:bottom w:w="80" w:type="dxa"/>
              <w:end w:w="100" w:type="dxa"/>
            </w:tcMar>
          </w:tcPr>
          <w:p>
            <w:pPr>
              <w:spacing w:after="0" w:before="0"/>
            </w:pPr>
            <w:r>
              <w:rPr>
                <w:rFonts w:ascii="Aptos" w:hAnsi="Aptos"/>
                <w:sz w:val="17"/>
              </w:rPr>
              <w:t>Q29, Q30, Q31, Q32</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7"/>
              </w:rPr>
              <w:t>I</w:t>
            </w:r>
          </w:p>
        </w:tc>
        <w:tc>
          <w:tcPr>
            <w:tcW w:type="dxa" w:w="3364"/>
            <w:vAlign w:val="center"/>
            <w:tcMar>
              <w:top w:w="80" w:type="dxa"/>
              <w:start w:w="100" w:type="dxa"/>
              <w:bottom w:w="80" w:type="dxa"/>
              <w:end w:w="100" w:type="dxa"/>
            </w:tcMar>
          </w:tcPr>
          <w:p>
            <w:pPr>
              <w:spacing w:after="0" w:before="0"/>
            </w:pPr>
            <w:r>
              <w:rPr>
                <w:rFonts w:ascii="Aptos" w:hAnsi="Aptos"/>
                <w:sz w:val="17"/>
              </w:rPr>
              <w:t>Bildung, Wissenschaft &amp; digitale Zukunft</w:t>
            </w:r>
          </w:p>
        </w:tc>
        <w:tc>
          <w:tcPr>
            <w:tcW w:type="dxa" w:w="3364"/>
            <w:vAlign w:val="center"/>
            <w:tcMar>
              <w:top w:w="80" w:type="dxa"/>
              <w:start w:w="100" w:type="dxa"/>
              <w:bottom w:w="80" w:type="dxa"/>
              <w:end w:w="100" w:type="dxa"/>
            </w:tcMar>
          </w:tcPr>
          <w:p>
            <w:pPr>
              <w:spacing w:after="0" w:before="0"/>
            </w:pPr>
            <w:r>
              <w:rPr>
                <w:rFonts w:ascii="Aptos" w:hAnsi="Aptos"/>
                <w:sz w:val="17"/>
              </w:rPr>
              <w:t>Q33, Q34, Q35, Q36</w:t>
            </w:r>
          </w:p>
        </w:tc>
      </w:tr>
    </w:tbl>
    <w:p>
      <w:pPr>
        <w:pStyle w:val="Heading1"/>
        <w:spacing w:after="80"/>
        <w:keepNext/>
      </w:pPr>
      <w:r>
        <w:t>4. Programmbasis</w:t>
      </w:r>
    </w:p>
    <w:p>
      <w:pPr>
        <w:spacing w:after="80"/>
      </w:pPr>
      <w:r>
        <w:t>Für alle Parteien wird derselbe Quellentyp verwendet: das offizielle Programm zur Bundestagswahl 2025. Seitenangaben in den Frageprofilen beziehen sich auf die PDF-Seitenzählung, nicht zwingend auf die gedruckte Seitenzahl. Wo keine eindeutige Fundstelle vorliegt, steht „–“.</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5"/>
              </w:rPr>
              <w:t>ID</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5"/>
              </w:rPr>
              <w:t>Quelle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5"/>
              </w:rPr>
              <w:t>Link</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5"/>
              </w:rPr>
              <w:t>P01</w:t>
            </w:r>
          </w:p>
        </w:tc>
        <w:tc>
          <w:tcPr>
            <w:tcW w:type="dxa" w:w="3364"/>
            <w:vAlign w:val="center"/>
            <w:tcMar>
              <w:top w:w="80" w:type="dxa"/>
              <w:start w:w="100" w:type="dxa"/>
              <w:bottom w:w="80" w:type="dxa"/>
              <w:end w:w="100" w:type="dxa"/>
            </w:tcMar>
          </w:tcPr>
          <w:p>
            <w:pPr>
              <w:spacing w:after="0" w:before="0"/>
            </w:pPr>
            <w:r>
              <w:rPr>
                <w:rFonts w:ascii="Aptos" w:hAnsi="Aptos"/>
                <w:sz w:val="15"/>
              </w:rPr>
              <w:t>CDU/CSU: Politikwechsel für Deutschland. Wahlprogramm zur Bundestagswahl 2025</w:t>
            </w:r>
          </w:p>
        </w:tc>
        <w:tc>
          <w:tcPr>
            <w:tcW w:type="dxa" w:w="3364"/>
            <w:vAlign w:val="center"/>
            <w:tcMar>
              <w:top w:w="80" w:type="dxa"/>
              <w:start w:w="100" w:type="dxa"/>
              <w:bottom w:w="80" w:type="dxa"/>
              <w:end w:w="100" w:type="dxa"/>
            </w:tcMar>
          </w:tcPr>
          <w:p>
            <w:pPr>
              <w:spacing w:after="0" w:before="0"/>
            </w:pPr>
            <w:hyperlink r:id="rId10">
              <w:r>
                <w:rPr>
                  <w:color w:val="2A5C50"/>
                  <w:u w:val="single"/>
                </w:rPr>
                <w:t>offizielles PDF</w:t>
              </w:r>
            </w:hyperlink>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5"/>
              </w:rPr>
              <w:t>P02</w:t>
            </w:r>
          </w:p>
        </w:tc>
        <w:tc>
          <w:tcPr>
            <w:tcW w:type="dxa" w:w="3364"/>
            <w:vAlign w:val="center"/>
            <w:tcMar>
              <w:top w:w="80" w:type="dxa"/>
              <w:start w:w="100" w:type="dxa"/>
              <w:bottom w:w="80" w:type="dxa"/>
              <w:end w:w="100" w:type="dxa"/>
            </w:tcMar>
          </w:tcPr>
          <w:p>
            <w:pPr>
              <w:spacing w:after="0" w:before="0"/>
            </w:pPr>
            <w:r>
              <w:rPr>
                <w:rFonts w:ascii="Aptos" w:hAnsi="Aptos"/>
                <w:sz w:val="15"/>
              </w:rPr>
              <w:t>SPD: Mehr für Dich. Besser für Deutschland. Regierungsprogramm 2025</w:t>
            </w:r>
          </w:p>
        </w:tc>
        <w:tc>
          <w:tcPr>
            <w:tcW w:type="dxa" w:w="3364"/>
            <w:vAlign w:val="center"/>
            <w:tcMar>
              <w:top w:w="80" w:type="dxa"/>
              <w:start w:w="100" w:type="dxa"/>
              <w:bottom w:w="80" w:type="dxa"/>
              <w:end w:w="100" w:type="dxa"/>
            </w:tcMar>
          </w:tcPr>
          <w:p>
            <w:pPr>
              <w:spacing w:after="0" w:before="0"/>
            </w:pPr>
            <w:hyperlink r:id="rId11">
              <w:r>
                <w:rPr>
                  <w:color w:val="2A5C50"/>
                  <w:u w:val="single"/>
                </w:rPr>
                <w:t>offizielles PDF</w:t>
              </w:r>
            </w:hyperlink>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5"/>
              </w:rPr>
              <w:t>P03</w:t>
            </w:r>
          </w:p>
        </w:tc>
        <w:tc>
          <w:tcPr>
            <w:tcW w:type="dxa" w:w="3364"/>
            <w:vAlign w:val="center"/>
            <w:tcMar>
              <w:top w:w="80" w:type="dxa"/>
              <w:start w:w="100" w:type="dxa"/>
              <w:bottom w:w="80" w:type="dxa"/>
              <w:end w:w="100" w:type="dxa"/>
            </w:tcMar>
          </w:tcPr>
          <w:p>
            <w:pPr>
              <w:spacing w:after="0" w:before="0"/>
            </w:pPr>
            <w:r>
              <w:rPr>
                <w:rFonts w:ascii="Aptos" w:hAnsi="Aptos"/>
                <w:sz w:val="15"/>
              </w:rPr>
              <w:t>Bündnis 90/Die Grünen: Zusammen wachsen. Regierungsprogramm 2025</w:t>
            </w:r>
          </w:p>
        </w:tc>
        <w:tc>
          <w:tcPr>
            <w:tcW w:type="dxa" w:w="3364"/>
            <w:vAlign w:val="center"/>
            <w:tcMar>
              <w:top w:w="80" w:type="dxa"/>
              <w:start w:w="100" w:type="dxa"/>
              <w:bottom w:w="80" w:type="dxa"/>
              <w:end w:w="100" w:type="dxa"/>
            </w:tcMar>
          </w:tcPr>
          <w:p>
            <w:pPr>
              <w:spacing w:after="0" w:before="0"/>
            </w:pPr>
            <w:hyperlink r:id="rId12">
              <w:r>
                <w:rPr>
                  <w:color w:val="2A5C50"/>
                  <w:u w:val="single"/>
                </w:rPr>
                <w:t>offizielles PDF</w:t>
              </w:r>
            </w:hyperlink>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5"/>
              </w:rPr>
              <w:t>P04</w:t>
            </w:r>
          </w:p>
        </w:tc>
        <w:tc>
          <w:tcPr>
            <w:tcW w:type="dxa" w:w="3364"/>
            <w:vAlign w:val="center"/>
            <w:tcMar>
              <w:top w:w="80" w:type="dxa"/>
              <w:start w:w="100" w:type="dxa"/>
              <w:bottom w:w="80" w:type="dxa"/>
              <w:end w:w="100" w:type="dxa"/>
            </w:tcMar>
          </w:tcPr>
          <w:p>
            <w:pPr>
              <w:spacing w:after="0" w:before="0"/>
            </w:pPr>
            <w:r>
              <w:rPr>
                <w:rFonts w:ascii="Aptos" w:hAnsi="Aptos"/>
                <w:sz w:val="15"/>
              </w:rPr>
              <w:t>AfD: Zeit für Deutschland. Programm zur Bundestagswahl 2025</w:t>
            </w:r>
          </w:p>
        </w:tc>
        <w:tc>
          <w:tcPr>
            <w:tcW w:type="dxa" w:w="3364"/>
            <w:vAlign w:val="center"/>
            <w:tcMar>
              <w:top w:w="80" w:type="dxa"/>
              <w:start w:w="100" w:type="dxa"/>
              <w:bottom w:w="80" w:type="dxa"/>
              <w:end w:w="100" w:type="dxa"/>
            </w:tcMar>
          </w:tcPr>
          <w:p>
            <w:pPr>
              <w:spacing w:after="0" w:before="0"/>
            </w:pPr>
            <w:hyperlink r:id="rId13">
              <w:r>
                <w:rPr>
                  <w:color w:val="2A5C50"/>
                  <w:u w:val="single"/>
                </w:rPr>
                <w:t>offizielles PDF</w:t>
              </w:r>
            </w:hyperlink>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5"/>
              </w:rPr>
              <w:t>P05</w:t>
            </w:r>
          </w:p>
        </w:tc>
        <w:tc>
          <w:tcPr>
            <w:tcW w:type="dxa" w:w="3364"/>
            <w:vAlign w:val="center"/>
            <w:tcMar>
              <w:top w:w="80" w:type="dxa"/>
              <w:start w:w="100" w:type="dxa"/>
              <w:bottom w:w="80" w:type="dxa"/>
              <w:end w:w="100" w:type="dxa"/>
            </w:tcMar>
          </w:tcPr>
          <w:p>
            <w:pPr>
              <w:spacing w:after="0" w:before="0"/>
            </w:pPr>
            <w:r>
              <w:rPr>
                <w:rFonts w:ascii="Aptos" w:hAnsi="Aptos"/>
                <w:sz w:val="15"/>
              </w:rPr>
              <w:t>Die Linke: Alle wollen regieren. Wir wollen verändern. Wahlprogramm 2025</w:t>
            </w:r>
          </w:p>
        </w:tc>
        <w:tc>
          <w:tcPr>
            <w:tcW w:type="dxa" w:w="3364"/>
            <w:vAlign w:val="center"/>
            <w:tcMar>
              <w:top w:w="80" w:type="dxa"/>
              <w:start w:w="100" w:type="dxa"/>
              <w:bottom w:w="80" w:type="dxa"/>
              <w:end w:w="100" w:type="dxa"/>
            </w:tcMar>
          </w:tcPr>
          <w:p>
            <w:pPr>
              <w:spacing w:after="0" w:before="0"/>
            </w:pPr>
            <w:hyperlink r:id="rId14">
              <w:r>
                <w:rPr>
                  <w:color w:val="2A5C50"/>
                  <w:u w:val="single"/>
                </w:rPr>
                <w:t>offizielles PDF</w:t>
              </w:r>
            </w:hyperlink>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5"/>
              </w:rPr>
              <w:t>P06</w:t>
            </w:r>
          </w:p>
        </w:tc>
        <w:tc>
          <w:tcPr>
            <w:tcW w:type="dxa" w:w="3364"/>
            <w:vAlign w:val="center"/>
            <w:tcMar>
              <w:top w:w="80" w:type="dxa"/>
              <w:start w:w="100" w:type="dxa"/>
              <w:bottom w:w="80" w:type="dxa"/>
              <w:end w:w="100" w:type="dxa"/>
            </w:tcMar>
          </w:tcPr>
          <w:p>
            <w:pPr>
              <w:spacing w:after="0" w:before="0"/>
            </w:pPr>
            <w:r>
              <w:rPr>
                <w:rFonts w:ascii="Aptos" w:hAnsi="Aptos"/>
                <w:sz w:val="15"/>
              </w:rPr>
              <w:t>BSW: Unser Land verdient mehr! Wahlprogramm 2025</w:t>
            </w:r>
          </w:p>
        </w:tc>
        <w:tc>
          <w:tcPr>
            <w:tcW w:type="dxa" w:w="3364"/>
            <w:vAlign w:val="center"/>
            <w:tcMar>
              <w:top w:w="80" w:type="dxa"/>
              <w:start w:w="100" w:type="dxa"/>
              <w:bottom w:w="80" w:type="dxa"/>
              <w:end w:w="100" w:type="dxa"/>
            </w:tcMar>
          </w:tcPr>
          <w:p>
            <w:pPr>
              <w:spacing w:after="0" w:before="0"/>
            </w:pPr>
            <w:hyperlink r:id="rId15">
              <w:r>
                <w:rPr>
                  <w:color w:val="2A5C50"/>
                  <w:u w:val="single"/>
                </w:rPr>
                <w:t>offizielles PDF</w:t>
              </w:r>
            </w:hyperlink>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5"/>
              </w:rPr>
              <w:t>P07</w:t>
            </w:r>
          </w:p>
        </w:tc>
        <w:tc>
          <w:tcPr>
            <w:tcW w:type="dxa" w:w="3364"/>
            <w:vAlign w:val="center"/>
            <w:tcMar>
              <w:top w:w="80" w:type="dxa"/>
              <w:start w:w="100" w:type="dxa"/>
              <w:bottom w:w="80" w:type="dxa"/>
              <w:end w:w="100" w:type="dxa"/>
            </w:tcMar>
          </w:tcPr>
          <w:p>
            <w:pPr>
              <w:spacing w:after="0" w:before="0"/>
            </w:pPr>
            <w:r>
              <w:rPr>
                <w:rFonts w:ascii="Aptos" w:hAnsi="Aptos"/>
                <w:sz w:val="15"/>
              </w:rPr>
              <w:t>FDP: Alles lässt sich ändern. Wahlprogramm zur Bundestagswahl 2025</w:t>
            </w:r>
          </w:p>
        </w:tc>
        <w:tc>
          <w:tcPr>
            <w:tcW w:type="dxa" w:w="3364"/>
            <w:vAlign w:val="center"/>
            <w:tcMar>
              <w:top w:w="80" w:type="dxa"/>
              <w:start w:w="100" w:type="dxa"/>
              <w:bottom w:w="80" w:type="dxa"/>
              <w:end w:w="100" w:type="dxa"/>
            </w:tcMar>
          </w:tcPr>
          <w:p>
            <w:pPr>
              <w:spacing w:after="0" w:before="0"/>
            </w:pPr>
            <w:hyperlink r:id="rId16">
              <w:r>
                <w:rPr>
                  <w:color w:val="2A5C50"/>
                  <w:u w:val="single"/>
                </w:rPr>
                <w:t>offizielles PDF</w:t>
              </w:r>
            </w:hyperlink>
          </w:p>
        </w:tc>
      </w:tr>
    </w:tbl>
    <w:p>
      <w:pPr>
        <w:pStyle w:val="Heading1"/>
        <w:spacing w:after="80"/>
        <w:keepNext/>
        <w:pageBreakBefore w:val="true"/>
      </w:pPr>
      <w:r>
        <w:t>A. Klima, Energie &amp; Ressourcen</w:t>
      </w:r>
    </w:p>
    <w:p>
      <w:pPr>
        <w:spacing w:after="80"/>
      </w:pPr>
      <w:r>
        <w:t>Die folgenden vier Fragen bilden das Themenfeld ab. Jede Frage enthält Parteiposition und Wirkungsanalyse als getrennte Ebenen.</w:t>
      </w:r>
    </w:p>
    <w:p>
      <w:pPr>
        <w:pStyle w:val="Heading2"/>
        <w:spacing w:after="80"/>
        <w:keepNext/>
      </w:pPr>
      <w:r>
        <w:t>Q01 · Klimaneutralität 2045</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Deutschland soll am Ziel festhalten, spätestens 2045 klimaneutral zu werden. Dafür sollen verbindliche Zwischenziele und ein überprüfbarer Emissionspfad gelten.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trennt ein langfristig verbindliches Klimaziel von unverbindlichen Technologie- oder Innovationsversprechen. Entscheidend ist nicht nur das Enddatum, sondern die Korrekturfähigkeit auf dem Weg dorthin.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Klima &amp; Energie, Resilienz &amp; Generationengerechtigkeit, Soziale Sicherheit &amp; Fairness, Ressourcen &amp; Biodiversität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7, 9, 11, 12, 13; Art. 20a GG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Bewertet wird die politische Option „Klimaneutralität 2045 plus verbindliche Zwischenziele“. Nicht bewertet wird eine bestimmte Einzeltechnologie.</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hält Klimaneutralität 2045 ausdrücklich fest</w:t>
            </w:r>
          </w:p>
        </w:tc>
        <w:tc>
          <w:tcPr>
            <w:tcW w:type="dxa" w:w="2018"/>
            <w:vAlign w:val="center"/>
            <w:tcMar>
              <w:top w:w="80" w:type="dxa"/>
              <w:start w:w="100" w:type="dxa"/>
              <w:bottom w:w="80" w:type="dxa"/>
              <w:end w:w="100" w:type="dxa"/>
            </w:tcMar>
          </w:tcPr>
          <w:p>
            <w:pPr>
              <w:spacing w:after="0" w:before="0"/>
            </w:pPr>
            <w:r>
              <w:rPr>
                <w:rFonts w:ascii="Aptos" w:hAnsi="Aptos"/>
                <w:sz w:val="14"/>
              </w:rPr>
              <w:t>P01, PDF-S. 23;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bekennt sich klar zu deutschen und EU-Klimazielen</w:t>
            </w:r>
          </w:p>
        </w:tc>
        <w:tc>
          <w:tcPr>
            <w:tcW w:type="dxa" w:w="2018"/>
            <w:vAlign w:val="center"/>
            <w:tcMar>
              <w:top w:w="80" w:type="dxa"/>
              <w:start w:w="100" w:type="dxa"/>
              <w:bottom w:w="80" w:type="dxa"/>
              <w:end w:w="100" w:type="dxa"/>
            </w:tcMar>
          </w:tcPr>
          <w:p>
            <w:pPr>
              <w:spacing w:after="0" w:before="0"/>
            </w:pPr>
            <w:r>
              <w:rPr>
                <w:rFonts w:ascii="Aptos" w:hAnsi="Aptos"/>
                <w:sz w:val="14"/>
              </w:rPr>
              <w:t>P02, PDF-S. 33;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hält an Klimaneutralität 2045 und Zwischenzielen fest</w:t>
            </w:r>
          </w:p>
        </w:tc>
        <w:tc>
          <w:tcPr>
            <w:tcW w:type="dxa" w:w="2018"/>
            <w:vAlign w:val="center"/>
            <w:tcMar>
              <w:top w:w="80" w:type="dxa"/>
              <w:start w:w="100" w:type="dxa"/>
              <w:bottom w:w="80" w:type="dxa"/>
              <w:end w:w="100" w:type="dxa"/>
            </w:tcMar>
          </w:tcPr>
          <w:p>
            <w:pPr>
              <w:spacing w:after="0" w:before="0"/>
            </w:pPr>
            <w:r>
              <w:rPr>
                <w:rFonts w:ascii="Aptos" w:hAnsi="Aptos"/>
                <w:sz w:val="14"/>
              </w:rPr>
              <w:t>P03, PDF-S. 38;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Klimaschutzpolitik ab und will Paris verlassen</w:t>
            </w:r>
          </w:p>
        </w:tc>
        <w:tc>
          <w:tcPr>
            <w:tcW w:type="dxa" w:w="2018"/>
            <w:vAlign w:val="center"/>
            <w:tcMar>
              <w:top w:w="80" w:type="dxa"/>
              <w:start w:w="100" w:type="dxa"/>
              <w:bottom w:w="80" w:type="dxa"/>
              <w:end w:w="100" w:type="dxa"/>
            </w:tcMar>
          </w:tcPr>
          <w:p>
            <w:pPr>
              <w:spacing w:after="0" w:before="0"/>
            </w:pPr>
            <w:r>
              <w:rPr>
                <w:rFonts w:ascii="Aptos" w:hAnsi="Aptos"/>
                <w:sz w:val="14"/>
              </w:rPr>
              <w:t>P04, PDF-S. 80;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schnellere Emissionsminderung und verbindliche Ziele</w:t>
            </w:r>
          </w:p>
        </w:tc>
        <w:tc>
          <w:tcPr>
            <w:tcW w:type="dxa" w:w="2018"/>
            <w:vAlign w:val="center"/>
            <w:tcMar>
              <w:top w:w="80" w:type="dxa"/>
              <w:start w:w="100" w:type="dxa"/>
              <w:bottom w:w="80" w:type="dxa"/>
              <w:end w:w="100" w:type="dxa"/>
            </w:tcMar>
          </w:tcPr>
          <w:p>
            <w:pPr>
              <w:spacing w:after="0" w:before="0"/>
            </w:pPr>
            <w:r>
              <w:rPr>
                <w:rFonts w:ascii="Aptos" w:hAnsi="Aptos"/>
                <w:sz w:val="14"/>
              </w:rPr>
              <w:t>P05, PDF-S. 32;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kein klares 2045-Ziel; lehnt zentrale Instrumente ab</w:t>
            </w:r>
          </w:p>
        </w:tc>
        <w:tc>
          <w:tcPr>
            <w:tcW w:type="dxa" w:w="2018"/>
            <w:vAlign w:val="center"/>
            <w:tcMar>
              <w:top w:w="80" w:type="dxa"/>
              <w:start w:w="100" w:type="dxa"/>
              <w:bottom w:w="80" w:type="dxa"/>
              <w:end w:w="100" w:type="dxa"/>
            </w:tcMar>
          </w:tcPr>
          <w:p>
            <w:pPr>
              <w:spacing w:after="0" w:before="0"/>
            </w:pPr>
            <w:r>
              <w:rPr>
                <w:rFonts w:ascii="Aptos" w:hAnsi="Aptos"/>
                <w:sz w:val="14"/>
              </w:rPr>
              <w:t>P06, PDF-S. 10;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deutsches Ziel von 2045 auf EU-Ziel 2050 verschieben</w:t>
            </w:r>
          </w:p>
        </w:tc>
        <w:tc>
          <w:tcPr>
            <w:tcW w:type="dxa" w:w="2018"/>
            <w:vAlign w:val="center"/>
            <w:tcMar>
              <w:top w:w="80" w:type="dxa"/>
              <w:start w:w="100" w:type="dxa"/>
              <w:bottom w:w="80" w:type="dxa"/>
              <w:end w:w="100" w:type="dxa"/>
            </w:tcMar>
          </w:tcPr>
          <w:p>
            <w:pPr>
              <w:spacing w:after="0" w:before="0"/>
            </w:pPr>
            <w:r>
              <w:rPr>
                <w:rFonts w:ascii="Aptos" w:hAnsi="Aptos"/>
                <w:sz w:val="14"/>
              </w:rPr>
              <w:t>P07, PDF-S. 40;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verbindliches Ziel und Zwischenpfade → Investitions- und Planungssignale → Umbau von Energie, Industrie, Gebäuden und Verkehr → sinkende Treibhausgasemissionen → geringere langfristige Klimarisiken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Kurzfristig entstehen hohe Umstellungs- und Investitionsbedarfe. Mittel- und langfristig dominiert das Potenzial vermiedener Klima-, Gesundheits- und Importkosten.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Energieintensive Betriebe, Beschäftigte in Transformationsbranchen, Haushalte mit geringem Einkommen, Kommunen, zukünftige Generationen, klimasensible Regionen.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Wirkung hängt stark vom Instrumentenmix, europäischer Koordination und sozialer Ausgestaltung ab.</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Menschenwürdige Existenzsicherung, Versorgungssicherheit und demokratische Beteiligung dürfen nicht als bloße Akzeptanzkosten behandelt werden.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E01, E02</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höhere Planungs- und Investitionssicherheit</w:t>
            </w:r>
          </w:p>
        </w:tc>
        <w:tc>
          <w:tcPr>
            <w:tcW w:type="dxa" w:w="5046"/>
            <w:vAlign w:val="center"/>
            <w:tcMar>
              <w:top w:w="80" w:type="dxa"/>
              <w:start w:w="100" w:type="dxa"/>
              <w:bottom w:w="80" w:type="dxa"/>
              <w:end w:w="100" w:type="dxa"/>
            </w:tcMar>
          </w:tcPr>
          <w:p>
            <w:pPr>
              <w:spacing w:after="0" w:before="0"/>
            </w:pPr>
            <w:r>
              <w:rPr>
                <w:rFonts w:ascii="Aptos" w:hAnsi="Aptos"/>
                <w:sz w:val="16"/>
              </w:rPr>
              <w:t>• kurzfristige Investitions- und Verteilungslasten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geringeres Risiko später, abrupter und teurer nachsteuern zu müssen</w:t>
            </w:r>
          </w:p>
        </w:tc>
        <w:tc>
          <w:tcPr>
            <w:tcW w:type="dxa" w:w="5046"/>
            <w:vAlign w:val="center"/>
            <w:tcMar>
              <w:top w:w="80" w:type="dxa"/>
              <w:start w:w="100" w:type="dxa"/>
              <w:bottom w:w="80" w:type="dxa"/>
              <w:end w:w="100" w:type="dxa"/>
            </w:tcMar>
          </w:tcPr>
          <w:p>
            <w:pPr>
              <w:spacing w:after="0" w:before="0"/>
            </w:pPr>
            <w:r>
              <w:rPr>
                <w:rFonts w:ascii="Aptos" w:hAnsi="Aptos"/>
                <w:sz w:val="16"/>
              </w:rPr>
              <w:t>• Fehlsteuerung bei schlecht abgestimmten Instrumenten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Innovations- und Modernisierungsimpulse</w:t>
            </w:r>
          </w:p>
        </w:tc>
        <w:tc>
          <w:tcPr>
            <w:tcW w:type="dxa" w:w="5046"/>
            <w:vAlign w:val="center"/>
            <w:tcMar>
              <w:top w:w="80" w:type="dxa"/>
              <w:start w:w="100" w:type="dxa"/>
              <w:bottom w:w="80" w:type="dxa"/>
              <w:end w:w="100" w:type="dxa"/>
            </w:tcMar>
          </w:tcPr>
          <w:p>
            <w:pPr>
              <w:spacing w:after="0" w:before="0"/>
            </w:pPr>
            <w:r>
              <w:rPr>
                <w:rFonts w:ascii="Aptos" w:hAnsi="Aptos"/>
                <w:sz w:val="16"/>
              </w:rPr>
              <w:t>• Carbon Leakage ohne europäischen und internationalen Rahmen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Schutz zukünftiger Lebensgrundlagen</w:t>
            </w:r>
          </w:p>
        </w:tc>
        <w:tc>
          <w:tcPr>
            <w:tcW w:type="dxa" w:w="5046"/>
            <w:vAlign w:val="center"/>
            <w:tcMar>
              <w:top w:w="80" w:type="dxa"/>
              <w:start w:w="100" w:type="dxa"/>
              <w:bottom w:w="80" w:type="dxa"/>
              <w:end w:w="100" w:type="dxa"/>
            </w:tcMar>
          </w:tcPr>
          <w:p>
            <w:pPr>
              <w:spacing w:after="0" w:before="0"/>
            </w:pPr>
            <w:r>
              <w:rPr>
                <w:rFonts w:ascii="Aptos" w:hAnsi="Aptos"/>
                <w:sz w:val="16"/>
              </w:rPr>
              <w:t>• Akzeptanzverlust bei unzureichendem sozialem Ausgleich</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Klima &amp; Energie</w:t>
            </w:r>
          </w:p>
        </w:tc>
        <w:tc>
          <w:tcPr>
            <w:tcW w:type="dxa" w:w="3364"/>
            <w:vAlign w:val="center"/>
            <w:tcMar>
              <w:top w:w="80" w:type="dxa"/>
              <w:start w:w="100" w:type="dxa"/>
              <w:bottom w:w="80" w:type="dxa"/>
              <w:end w:w="100" w:type="dxa"/>
            </w:tcMar>
          </w:tcPr>
          <w:p>
            <w:pPr>
              <w:spacing w:after="0" w:before="0"/>
            </w:pPr>
            <w:r>
              <w:rPr>
                <w:rFonts w:ascii="Aptos" w:hAnsi="Aptos"/>
                <w:sz w:val="16"/>
              </w:rPr>
              <w:t>+2 bis +3</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+2 bis +3</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Ressourcen &amp; Biodiversität</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Treibhausgasemissionen nach Sektoren · Zielerreichung der Zwischenziele · Energiearmut · Investitionen in klimaneutrale Infrastruktur · Importabhängigkeit fossiler Energien</w:t>
      </w:r>
    </w:p>
    <w:p>
      <w:pPr>
        <w:pStyle w:val="Heading3"/>
        <w:spacing w:after="80"/>
        <w:keepNext/>
      </w:pPr>
      <w:r>
        <w:t>Neutrale Ergebnis-Microcopy</w:t>
      </w:r>
    </w:p>
    <w:p>
      <w:pPr>
        <w:pStyle w:val="ListBullet"/>
        <w:spacing w:after="20" w:before="0"/>
      </w:pPr>
      <w:r>
        <w:t>„Bei Klimaneutralität 2045 besteht eine {hohe/mittlere/geringe} positionale Nähe.“</w:t>
      </w:r>
    </w:p>
    <w:p>
      <w:pPr>
        <w:pStyle w:val="ListBullet"/>
        <w:spacing w:after="20" w:before="0"/>
      </w:pPr>
      <w:r>
        <w:t>„Die Option Klimaneutralität 2045 weist vor allem in den Dimensionen Klima &amp; Energie, Resilienz &amp; Generationengerechtigkeit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Q02 · CO₂-Preis mit sozialer Rückverteilung</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Steigende Einnahmen aus der CO₂-Bepreisung sollen pro Kopf zurückgegeben und durch gezielte Hilfen für besonders belastete Haushalte ergänzt werden.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Ein CO₂-Preis verändert Preise, kann aber ohne Rückverteilung regressiv wirken. Die Frage prüft deshalb das Instrument nur gemeinsam mit seiner sozialen Rückkopplung.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Klima &amp; Energie, Soziale Sicherheit &amp; Fairness, Resilienz &amp; Generationengerechtigkeit, Freiheit &amp; Selbstbestimmung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1, 7, 10, 12, 13</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verlässlicher CO₂-Preispfad plus pauschale Klimadividende und zusätzliche Härtefallhilfen. Reine Preissteigerungen ohne Rückverteilung sind nicht dieselbe Option.</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CO₂-Bepreisung mit sozialem Ausgleich, aber keine klare Pro-Kopf-Dividende</w:t>
            </w:r>
          </w:p>
        </w:tc>
        <w:tc>
          <w:tcPr>
            <w:tcW w:type="dxa" w:w="2018"/>
            <w:vAlign w:val="center"/>
            <w:tcMar>
              <w:top w:w="80" w:type="dxa"/>
              <w:start w:w="100" w:type="dxa"/>
              <w:bottom w:w="80" w:type="dxa"/>
              <w:end w:w="100" w:type="dxa"/>
            </w:tcMar>
          </w:tcPr>
          <w:p>
            <w:pPr>
              <w:spacing w:after="0" w:before="0"/>
            </w:pPr>
            <w:r>
              <w:rPr>
                <w:rFonts w:ascii="Aptos" w:hAnsi="Aptos"/>
                <w:sz w:val="14"/>
              </w:rPr>
              <w:t>P01, PDF-S. 22;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CO₂-Preis plus zielgerichtete Entlastung; Pro-Kopf-Modell nicht eindeutig</w:t>
            </w:r>
          </w:p>
        </w:tc>
        <w:tc>
          <w:tcPr>
            <w:tcW w:type="dxa" w:w="2018"/>
            <w:vAlign w:val="center"/>
            <w:tcMar>
              <w:top w:w="80" w:type="dxa"/>
              <w:start w:w="100" w:type="dxa"/>
              <w:bottom w:w="80" w:type="dxa"/>
              <w:end w:w="100" w:type="dxa"/>
            </w:tcMar>
          </w:tcPr>
          <w:p>
            <w:pPr>
              <w:spacing w:after="0" w:before="0"/>
            </w:pPr>
            <w:r>
              <w:rPr>
                <w:rFonts w:ascii="Aptos" w:hAnsi="Aptos"/>
                <w:sz w:val="14"/>
              </w:rPr>
              <w:t>P02, PDF-S. 33;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Klimageld soll direkt und antragslos ausgezahlt werden</w:t>
            </w:r>
          </w:p>
        </w:tc>
        <w:tc>
          <w:tcPr>
            <w:tcW w:type="dxa" w:w="2018"/>
            <w:vAlign w:val="center"/>
            <w:tcMar>
              <w:top w:w="80" w:type="dxa"/>
              <w:start w:w="100" w:type="dxa"/>
              <w:bottom w:w="80" w:type="dxa"/>
              <w:end w:w="100" w:type="dxa"/>
            </w:tcMar>
          </w:tcPr>
          <w:p>
            <w:pPr>
              <w:spacing w:after="0" w:before="0"/>
            </w:pPr>
            <w:r>
              <w:rPr>
                <w:rFonts w:ascii="Aptos" w:hAnsi="Aptos"/>
                <w:sz w:val="14"/>
              </w:rPr>
              <w:t>P03, PDF-S. 40;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CO₂-Abgaben und klimabezogene Steuern abschaffen</w:t>
            </w:r>
          </w:p>
        </w:tc>
        <w:tc>
          <w:tcPr>
            <w:tcW w:type="dxa" w:w="2018"/>
            <w:vAlign w:val="center"/>
            <w:tcMar>
              <w:top w:w="80" w:type="dxa"/>
              <w:start w:w="100" w:type="dxa"/>
              <w:bottom w:w="80" w:type="dxa"/>
              <w:end w:w="100" w:type="dxa"/>
            </w:tcMar>
          </w:tcPr>
          <w:p>
            <w:pPr>
              <w:spacing w:after="0" w:before="0"/>
            </w:pPr>
            <w:r>
              <w:rPr>
                <w:rFonts w:ascii="Aptos" w:hAnsi="Aptos"/>
                <w:sz w:val="14"/>
              </w:rPr>
              <w:t>P04, PDF-S. 80;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soziales Klimageld, lehnt aber ETS2 ab</w:t>
            </w:r>
          </w:p>
        </w:tc>
        <w:tc>
          <w:tcPr>
            <w:tcW w:type="dxa" w:w="2018"/>
            <w:vAlign w:val="center"/>
            <w:tcMar>
              <w:top w:w="80" w:type="dxa"/>
              <w:start w:w="100" w:type="dxa"/>
              <w:bottom w:w="80" w:type="dxa"/>
              <w:end w:w="100" w:type="dxa"/>
            </w:tcMar>
          </w:tcPr>
          <w:p>
            <w:pPr>
              <w:spacing w:after="0" w:before="0"/>
            </w:pPr>
            <w:r>
              <w:rPr>
                <w:rFonts w:ascii="Aptos" w:hAnsi="Aptos"/>
                <w:sz w:val="14"/>
              </w:rPr>
              <w:t>P05, PDF-S. 32;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den CO₂-Preis abschaffen</w:t>
            </w:r>
          </w:p>
        </w:tc>
        <w:tc>
          <w:tcPr>
            <w:tcW w:type="dxa" w:w="2018"/>
            <w:vAlign w:val="center"/>
            <w:tcMar>
              <w:top w:w="80" w:type="dxa"/>
              <w:start w:w="100" w:type="dxa"/>
              <w:bottom w:w="80" w:type="dxa"/>
              <w:end w:w="100" w:type="dxa"/>
            </w:tcMar>
          </w:tcPr>
          <w:p>
            <w:pPr>
              <w:spacing w:after="0" w:before="0"/>
            </w:pPr>
            <w:r>
              <w:rPr>
                <w:rFonts w:ascii="Aptos" w:hAnsi="Aptos"/>
                <w:sz w:val="14"/>
              </w:rPr>
              <w:t>P06, PDF-S. 10;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Klimadividende aus Emissionshandelseinnahmen</w:t>
            </w:r>
          </w:p>
        </w:tc>
        <w:tc>
          <w:tcPr>
            <w:tcW w:type="dxa" w:w="2018"/>
            <w:vAlign w:val="center"/>
            <w:tcMar>
              <w:top w:w="80" w:type="dxa"/>
              <w:start w:w="100" w:type="dxa"/>
              <w:bottom w:w="80" w:type="dxa"/>
              <w:end w:w="100" w:type="dxa"/>
            </w:tcMar>
          </w:tcPr>
          <w:p>
            <w:pPr>
              <w:spacing w:after="0" w:before="0"/>
            </w:pPr>
            <w:r>
              <w:rPr>
                <w:rFonts w:ascii="Aptos" w:hAnsi="Aptos"/>
                <w:sz w:val="14"/>
              </w:rPr>
              <w:t>P07, PDF-S. 40;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CO₂-Kosten werden sichtbarer → Haushalte und Unternehmen verändern Entscheidungen → Einnahmen fließen zurück → niedrige Emissionen werden relativ belohnt → soziale Härten werden abgefedert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Preissignal und Belastung wirken kurzfristig; Investitions- und Emissionswirkungen wachsen mittel- und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Pendler*innen, Mieter*innen mit fossiler Heizung, ländliche Haushalte, Unternehmen, Menschen mit niedrigen Einkommen.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Verteilung hängt von Höhe, Rückzahlungsweg, Energieverbrauch und verfügbaren Alternativen ab.</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Existenzgefährdende Energie- oder Mobilitätskosten dürfen nicht durch einen durchschnittlich positiven Verteilungseffekt verdeckt werden.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E03, E01</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marktwirtschaftliches Lenkungssignal</w:t>
            </w:r>
          </w:p>
        </w:tc>
        <w:tc>
          <w:tcPr>
            <w:tcW w:type="dxa" w:w="5046"/>
            <w:vAlign w:val="center"/>
            <w:tcMar>
              <w:top w:w="80" w:type="dxa"/>
              <w:start w:w="100" w:type="dxa"/>
              <w:bottom w:w="80" w:type="dxa"/>
              <w:end w:w="100" w:type="dxa"/>
            </w:tcMar>
          </w:tcPr>
          <w:p>
            <w:pPr>
              <w:spacing w:after="0" w:before="0"/>
            </w:pPr>
            <w:r>
              <w:rPr>
                <w:rFonts w:ascii="Aptos" w:hAnsi="Aptos"/>
                <w:sz w:val="16"/>
              </w:rPr>
              <w:t>• Belastung bei fehlenden Alternativen, etwa im ländlichen Raum</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Anreiz für Effizienz und klimafreundliche Alternativen</w:t>
            </w:r>
          </w:p>
        </w:tc>
        <w:tc>
          <w:tcPr>
            <w:tcW w:type="dxa" w:w="5046"/>
            <w:vAlign w:val="center"/>
            <w:tcMar>
              <w:top w:w="80" w:type="dxa"/>
              <w:start w:w="100" w:type="dxa"/>
              <w:bottom w:w="80" w:type="dxa"/>
              <w:end w:w="100" w:type="dxa"/>
            </w:tcMar>
          </w:tcPr>
          <w:p>
            <w:pPr>
              <w:spacing w:after="0" w:before="0"/>
            </w:pPr>
            <w:r>
              <w:rPr>
                <w:rFonts w:ascii="Aptos" w:hAnsi="Aptos"/>
                <w:sz w:val="16"/>
              </w:rPr>
              <w:t>• pauschale Rückzahlung gleicht hohe individuelle Härten nicht vollständig aus</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pro Kopf kann die Rückzahlung niedrige Einkommen relativ begünstigen</w:t>
            </w:r>
          </w:p>
        </w:tc>
        <w:tc>
          <w:tcPr>
            <w:tcW w:type="dxa" w:w="5046"/>
            <w:vAlign w:val="center"/>
            <w:tcMar>
              <w:top w:w="80" w:type="dxa"/>
              <w:start w:w="100" w:type="dxa"/>
              <w:bottom w:w="80" w:type="dxa"/>
              <w:end w:w="100" w:type="dxa"/>
            </w:tcMar>
          </w:tcPr>
          <w:p>
            <w:pPr>
              <w:spacing w:after="0" w:before="0"/>
            </w:pPr>
            <w:r>
              <w:rPr>
                <w:rFonts w:ascii="Aptos" w:hAnsi="Aptos"/>
                <w:sz w:val="16"/>
              </w:rPr>
              <w:t>• Preisschwankungen erschweren Planung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transparente Rückkopplung stärkt Akzeptanz</w:t>
            </w:r>
          </w:p>
        </w:tc>
        <w:tc>
          <w:tcPr>
            <w:tcW w:type="dxa" w:w="5046"/>
            <w:vAlign w:val="center"/>
            <w:tcMar>
              <w:top w:w="80" w:type="dxa"/>
              <w:start w:w="100" w:type="dxa"/>
              <w:bottom w:w="80" w:type="dxa"/>
              <w:end w:w="100" w:type="dxa"/>
            </w:tcMar>
          </w:tcPr>
          <w:p>
            <w:pPr>
              <w:spacing w:after="0" w:before="0"/>
            </w:pPr>
            <w:r>
              <w:rPr>
                <w:rFonts w:ascii="Aptos" w:hAnsi="Aptos"/>
                <w:sz w:val="16"/>
              </w:rPr>
              <w:t>• zu niedriger Preis bleibt wirkungsschwach</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Klima &amp; Energie</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0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 bis 0</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CO₂-Preis · Klimadividende pro Kopf · Belastungsquote nach Einkommensdezil · Emissionen in Verkehr und Gebäuden · Zugang zu Alternativen</w:t>
      </w:r>
    </w:p>
    <w:p>
      <w:pPr>
        <w:pStyle w:val="Heading3"/>
        <w:spacing w:after="80"/>
        <w:keepNext/>
      </w:pPr>
      <w:r>
        <w:t>Neutrale Ergebnis-Microcopy</w:t>
      </w:r>
    </w:p>
    <w:p>
      <w:pPr>
        <w:pStyle w:val="ListBullet"/>
        <w:spacing w:after="20" w:before="0"/>
      </w:pPr>
      <w:r>
        <w:t>„Bei CO₂-Preis mit sozialer Rückverteilung besteht eine {hohe/mittlere/geringe} positionale Nähe.“</w:t>
      </w:r>
    </w:p>
    <w:p>
      <w:pPr>
        <w:pStyle w:val="ListBullet"/>
        <w:spacing w:after="20" w:before="0"/>
      </w:pPr>
      <w:r>
        <w:t>„Die Option CO₂-Preis mit sozialer Rückverteilung weist vor allem in den Dimensionen Klima &amp; Energie, Soziale Sicherheit &amp; Fairness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Q03 · Erneuerbares Energiesystem statt Wiedereinstieg in Kernenergie</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Der Ausbau von erneuerbaren Energien, Netzen, Speichern, Effizienz und flexiblen Lasten soll der Hauptpfad der Stromversorgung bleiben. Ein Wiedereinstieg in die Kernenergie soll nicht Teil dieses Pfads sein.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betrachtet nicht nur Erzeugungskosten, sondern auch Bauzeit, Flexibilität, Systemintegration, Abfälle, Sicherheits- und Langzeitrisiken.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Klima &amp; Energie, Resilienz &amp; Generationengerechtigkeit, Ressourcen &amp; Biodiversität, Soziale Sicherheit &amp; Fairness</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7, 9, 12, 13; Art. 20a GG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erneuerbares System mit Netzen, Speichern, Lastmanagement und gesicherter Leistung; keine Wiederinbetriebnahme oder Neubauoption für Kernkraft.</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Kernkraftoption und mögliche Wiederinbetriebnahme offenhalten</w:t>
            </w:r>
          </w:p>
        </w:tc>
        <w:tc>
          <w:tcPr>
            <w:tcW w:type="dxa" w:w="2018"/>
            <w:vAlign w:val="center"/>
            <w:tcMar>
              <w:top w:w="80" w:type="dxa"/>
              <w:start w:w="100" w:type="dxa"/>
              <w:bottom w:w="80" w:type="dxa"/>
              <w:end w:w="100" w:type="dxa"/>
            </w:tcMar>
          </w:tcPr>
          <w:p>
            <w:pPr>
              <w:spacing w:after="0" w:before="0"/>
            </w:pPr>
            <w:r>
              <w:rPr>
                <w:rFonts w:ascii="Aptos" w:hAnsi="Aptos"/>
                <w:sz w:val="14"/>
              </w:rPr>
              <w:t>P01, PDF-S. 22;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setzt auf Erneuerbare; bezeichnet Atomausstieg als richtig</w:t>
            </w:r>
          </w:p>
        </w:tc>
        <w:tc>
          <w:tcPr>
            <w:tcW w:type="dxa" w:w="2018"/>
            <w:vAlign w:val="center"/>
            <w:tcMar>
              <w:top w:w="80" w:type="dxa"/>
              <w:start w:w="100" w:type="dxa"/>
              <w:bottom w:w="80" w:type="dxa"/>
              <w:end w:w="100" w:type="dxa"/>
            </w:tcMar>
          </w:tcPr>
          <w:p>
            <w:pPr>
              <w:spacing w:after="0" w:before="0"/>
            </w:pPr>
            <w:r>
              <w:rPr>
                <w:rFonts w:ascii="Aptos" w:hAnsi="Aptos"/>
                <w:sz w:val="14"/>
              </w:rPr>
              <w:t>P02, PDF-S. 53;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setzt auf Erneuerbare, Netze, Speicher; gegen Atomkraft</w:t>
            </w:r>
          </w:p>
        </w:tc>
        <w:tc>
          <w:tcPr>
            <w:tcW w:type="dxa" w:w="2018"/>
            <w:vAlign w:val="center"/>
            <w:tcMar>
              <w:top w:w="80" w:type="dxa"/>
              <w:start w:w="100" w:type="dxa"/>
              <w:bottom w:w="80" w:type="dxa"/>
              <w:end w:w="100" w:type="dxa"/>
            </w:tcMar>
          </w:tcPr>
          <w:p>
            <w:pPr>
              <w:spacing w:after="0" w:before="0"/>
            </w:pPr>
            <w:r>
              <w:rPr>
                <w:rFonts w:ascii="Aptos" w:hAnsi="Aptos"/>
                <w:sz w:val="14"/>
              </w:rPr>
              <w:t>P03, PDF-S. 41;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setzt auf Kernenergie und fossile Optionen</w:t>
            </w:r>
          </w:p>
        </w:tc>
        <w:tc>
          <w:tcPr>
            <w:tcW w:type="dxa" w:w="2018"/>
            <w:vAlign w:val="center"/>
            <w:tcMar>
              <w:top w:w="80" w:type="dxa"/>
              <w:start w:w="100" w:type="dxa"/>
              <w:bottom w:w="80" w:type="dxa"/>
              <w:end w:w="100" w:type="dxa"/>
            </w:tcMar>
          </w:tcPr>
          <w:p>
            <w:pPr>
              <w:spacing w:after="0" w:before="0"/>
            </w:pPr>
            <w:r>
              <w:rPr>
                <w:rFonts w:ascii="Aptos" w:hAnsi="Aptos"/>
                <w:sz w:val="14"/>
              </w:rPr>
              <w:t>P04, PDF-S. 42;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Erneuerbare und öffentliche Netze; gegen Atomenergie</w:t>
            </w:r>
          </w:p>
        </w:tc>
        <w:tc>
          <w:tcPr>
            <w:tcW w:type="dxa" w:w="2018"/>
            <w:vAlign w:val="center"/>
            <w:tcMar>
              <w:top w:w="80" w:type="dxa"/>
              <w:start w:w="100" w:type="dxa"/>
              <w:bottom w:w="80" w:type="dxa"/>
              <w:end w:w="100" w:type="dxa"/>
            </w:tcMar>
          </w:tcPr>
          <w:p>
            <w:pPr>
              <w:spacing w:after="0" w:before="0"/>
            </w:pPr>
            <w:r>
              <w:rPr>
                <w:rFonts w:ascii="Aptos" w:hAnsi="Aptos"/>
                <w:sz w:val="14"/>
              </w:rPr>
              <w:t>P05, PDF-S. 33;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gegen Neubau von Atomkraft, für Erneuerbare und Gasreserve</w:t>
            </w:r>
          </w:p>
        </w:tc>
        <w:tc>
          <w:tcPr>
            <w:tcW w:type="dxa" w:w="2018"/>
            <w:vAlign w:val="center"/>
            <w:tcMar>
              <w:top w:w="80" w:type="dxa"/>
              <w:start w:w="100" w:type="dxa"/>
              <w:bottom w:w="80" w:type="dxa"/>
              <w:end w:w="100" w:type="dxa"/>
            </w:tcMar>
          </w:tcPr>
          <w:p>
            <w:pPr>
              <w:spacing w:after="0" w:before="0"/>
            </w:pPr>
            <w:r>
              <w:rPr>
                <w:rFonts w:ascii="Aptos" w:hAnsi="Aptos"/>
                <w:sz w:val="14"/>
              </w:rPr>
              <w:t>P06, PDF-S. 11;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Wiederinbetriebnahme und neue Kernkraft rechtlich ermöglichen</w:t>
            </w:r>
          </w:p>
        </w:tc>
        <w:tc>
          <w:tcPr>
            <w:tcW w:type="dxa" w:w="2018"/>
            <w:vAlign w:val="center"/>
            <w:tcMar>
              <w:top w:w="80" w:type="dxa"/>
              <w:start w:w="100" w:type="dxa"/>
              <w:bottom w:w="80" w:type="dxa"/>
              <w:end w:w="100" w:type="dxa"/>
            </w:tcMar>
          </w:tcPr>
          <w:p>
            <w:pPr>
              <w:spacing w:after="0" w:before="0"/>
            </w:pPr>
            <w:r>
              <w:rPr>
                <w:rFonts w:ascii="Aptos" w:hAnsi="Aptos"/>
                <w:sz w:val="14"/>
              </w:rPr>
              <w:t>P07, PDF-S. 18;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beschleunigter Ausbau erneuerbarer Erzeugung → Netz-, Speicher- und Flexibilitätsausbau → sinkender fossiler Brennstoffbedarf → zunehmende Elektrifizierung → geringere Import- und Klimarisiken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Netz- und Investitionskosten entstehen kurzfristig; Vorteile durch niedrige variable Kosten und geringere Brennstoffabhängigkeit wirken über Jahrzehnte.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Stromkund*innen, Industrie, Netzregionen, Kommunen, Anwohner*innen von Anlagen, zukünftige Generationen.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Systemkosten hängen von Ausbaugeschwindigkeit, europäischer Kopplung, Speichern und Nachfrageflexibilität ab.</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Versorgungssicherheit, sichere Entsorgung radioaktiver Stoffe und irreversible Umweltschäden sind separat zu prüfen.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E02, E01</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schnell skalierbare heimische Energiequellen</w:t>
            </w:r>
          </w:p>
        </w:tc>
        <w:tc>
          <w:tcPr>
            <w:tcW w:type="dxa" w:w="5046"/>
            <w:vAlign w:val="center"/>
            <w:tcMar>
              <w:top w:w="80" w:type="dxa"/>
              <w:start w:w="100" w:type="dxa"/>
              <w:bottom w:w="80" w:type="dxa"/>
              <w:end w:w="100" w:type="dxa"/>
            </w:tcMar>
          </w:tcPr>
          <w:p>
            <w:pPr>
              <w:spacing w:after="0" w:before="0"/>
            </w:pPr>
            <w:r>
              <w:rPr>
                <w:rFonts w:ascii="Aptos" w:hAnsi="Aptos"/>
                <w:sz w:val="16"/>
              </w:rPr>
              <w:t>• Netzengpässe und Dunkelflauten bei verzögertem Systemausbau</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geringere Brennstoffpreisrisiken</w:t>
            </w:r>
          </w:p>
        </w:tc>
        <w:tc>
          <w:tcPr>
            <w:tcW w:type="dxa" w:w="5046"/>
            <w:vAlign w:val="center"/>
            <w:tcMar>
              <w:top w:w="80" w:type="dxa"/>
              <w:start w:w="100" w:type="dxa"/>
              <w:bottom w:w="80" w:type="dxa"/>
              <w:end w:w="100" w:type="dxa"/>
            </w:tcMar>
          </w:tcPr>
          <w:p>
            <w:pPr>
              <w:spacing w:after="0" w:before="0"/>
            </w:pPr>
            <w:r>
              <w:rPr>
                <w:rFonts w:ascii="Aptos" w:hAnsi="Aptos"/>
                <w:sz w:val="16"/>
              </w:rPr>
              <w:t>• Flächen- und Rohstoffkonflikte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weniger hochradioaktiver Abfall</w:t>
            </w:r>
          </w:p>
        </w:tc>
        <w:tc>
          <w:tcPr>
            <w:tcW w:type="dxa" w:w="5046"/>
            <w:vAlign w:val="center"/>
            <w:tcMar>
              <w:top w:w="80" w:type="dxa"/>
              <w:start w:w="100" w:type="dxa"/>
              <w:bottom w:w="80" w:type="dxa"/>
              <w:end w:w="100" w:type="dxa"/>
            </w:tcMar>
          </w:tcPr>
          <w:p>
            <w:pPr>
              <w:spacing w:after="0" w:before="0"/>
            </w:pPr>
            <w:r>
              <w:rPr>
                <w:rFonts w:ascii="Aptos" w:hAnsi="Aptos"/>
                <w:sz w:val="16"/>
              </w:rPr>
              <w:t>• Kosten für Reservekapazität</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dezentralere Wertschöpfung und Beteiligungsmöglichkeiten</w:t>
            </w:r>
          </w:p>
        </w:tc>
        <w:tc>
          <w:tcPr>
            <w:tcW w:type="dxa" w:w="5046"/>
            <w:vAlign w:val="center"/>
            <w:tcMar>
              <w:top w:w="80" w:type="dxa"/>
              <w:start w:w="100" w:type="dxa"/>
              <w:bottom w:w="80" w:type="dxa"/>
              <w:end w:w="100" w:type="dxa"/>
            </w:tcMar>
          </w:tcPr>
          <w:p>
            <w:pPr>
              <w:spacing w:after="0" w:before="0"/>
            </w:pPr>
            <w:r>
              <w:rPr>
                <w:rFonts w:ascii="Aptos" w:hAnsi="Aptos"/>
                <w:sz w:val="16"/>
              </w:rPr>
              <w:t>• Abhängigkeit von Importen kritischer Rohstoffe und Komponenten</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Klima &amp; Energie</w:t>
            </w:r>
          </w:p>
        </w:tc>
        <w:tc>
          <w:tcPr>
            <w:tcW w:type="dxa" w:w="3364"/>
            <w:vAlign w:val="center"/>
            <w:tcMar>
              <w:top w:w="80" w:type="dxa"/>
              <w:start w:w="100" w:type="dxa"/>
              <w:bottom w:w="80" w:type="dxa"/>
              <w:end w:w="100" w:type="dxa"/>
            </w:tcMar>
          </w:tcPr>
          <w:p>
            <w:pPr>
              <w:spacing w:after="0" w:before="0"/>
            </w:pPr>
            <w:r>
              <w:rPr>
                <w:rFonts w:ascii="Aptos" w:hAnsi="Aptos"/>
                <w:sz w:val="16"/>
              </w:rPr>
              <w:t>+1 bis +3</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 bis +3</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Ressourcen &amp; Biodiversität</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0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Anteil Erneuerbarer · gesicherte Leistung · Netzengpasskosten · Speicherkapazität · Stromimportabhängigkeit · Systememissionen g CO₂e/kWh</w:t>
      </w:r>
    </w:p>
    <w:p>
      <w:pPr>
        <w:pStyle w:val="Heading3"/>
        <w:spacing w:after="80"/>
        <w:keepNext/>
      </w:pPr>
      <w:r>
        <w:t>Neutrale Ergebnis-Microcopy</w:t>
      </w:r>
    </w:p>
    <w:p>
      <w:pPr>
        <w:pStyle w:val="ListBullet"/>
        <w:spacing w:after="20" w:before="0"/>
      </w:pPr>
      <w:r>
        <w:t>„Bei Erneuerbares Energiesystem statt Wiedereinstieg in Kernenergie besteht eine {hohe/mittlere/geringe} positionale Nähe.“</w:t>
      </w:r>
    </w:p>
    <w:p>
      <w:pPr>
        <w:pStyle w:val="ListBullet"/>
        <w:spacing w:after="20" w:before="0"/>
      </w:pPr>
      <w:r>
        <w:t>„Die Option Erneuerbares Energiesystem statt Wiedereinstieg in Kernenergie weist vor allem in den Dimensionen Klima &amp; Energie, Resilienz &amp; Generationengerechtigkeit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Q04 · Klimaschädliche Subventionen abbauen</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Steuervergünstigungen und Subventionen, die fossilen Energieverbrauch oder besonders hohe Emissionen begünstigen, sollen schrittweise abgebaut werden. Unzumutbare soziale Härten sollen gezielt ausgeglichen werden.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Subventionen verändern Preise und damit Verhalten. Die Frage verbindet den Abbau falscher Anreize mit einem gezielten, nicht pauschalen Ausgleich.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Klima &amp; Energie, Soziale Sicherheit &amp; Fairness, Resilienz &amp; Generationengerechtigkeit, Freiheit &amp; Selbstbestimmung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7, 10, 12, 13</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transparente Subventionsprüfung, veröffentlichter Abbaupfad und Härtefallausgleich. Nicht gemeint ist eine ersatzlose Streichung über Nacht.</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keine eindeutige klimabezogene Abbaustrategie im Programm</w:t>
            </w:r>
          </w:p>
        </w:tc>
        <w:tc>
          <w:tcPr>
            <w:tcW w:type="dxa" w:w="2018"/>
            <w:vAlign w:val="center"/>
            <w:tcMar>
              <w:top w:w="80" w:type="dxa"/>
              <w:start w:w="100" w:type="dxa"/>
              <w:bottom w:w="80" w:type="dxa"/>
              <w:end w:w="100" w:type="dxa"/>
            </w:tcMar>
          </w:tcPr>
          <w:p>
            <w:pPr>
              <w:spacing w:after="0" w:before="0"/>
            </w:pPr>
            <w:r>
              <w:rPr>
                <w:rFonts w:ascii="Aptos" w:hAnsi="Aptos"/>
                <w:sz w:val="14"/>
              </w:rPr>
              <w:t>P01, PDF-S. –; Vertrauen: niedrig</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keine systematische Fundstelle; einzelne Entlastungs- und Investitionsinstrumente</w:t>
            </w:r>
          </w:p>
        </w:tc>
        <w:tc>
          <w:tcPr>
            <w:tcW w:type="dxa" w:w="2018"/>
            <w:vAlign w:val="center"/>
            <w:tcMar>
              <w:top w:w="80" w:type="dxa"/>
              <w:start w:w="100" w:type="dxa"/>
              <w:bottom w:w="80" w:type="dxa"/>
              <w:end w:w="100" w:type="dxa"/>
            </w:tcMar>
          </w:tcPr>
          <w:p>
            <w:pPr>
              <w:spacing w:after="0" w:before="0"/>
            </w:pPr>
            <w:r>
              <w:rPr>
                <w:rFonts w:ascii="Aptos" w:hAnsi="Aptos"/>
                <w:sz w:val="14"/>
              </w:rPr>
              <w:t>P02, PDF-S. –; Vertrauen: niedrig</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klima- und umweltschädliche Subventionen schrittweise abbauen</w:t>
            </w:r>
          </w:p>
        </w:tc>
        <w:tc>
          <w:tcPr>
            <w:tcW w:type="dxa" w:w="2018"/>
            <w:vAlign w:val="center"/>
            <w:tcMar>
              <w:top w:w="80" w:type="dxa"/>
              <w:start w:w="100" w:type="dxa"/>
              <w:bottom w:w="80" w:type="dxa"/>
              <w:end w:w="100" w:type="dxa"/>
            </w:tcMar>
          </w:tcPr>
          <w:p>
            <w:pPr>
              <w:spacing w:after="0" w:before="0"/>
            </w:pPr>
            <w:r>
              <w:rPr>
                <w:rFonts w:ascii="Aptos" w:hAnsi="Aptos"/>
                <w:sz w:val="14"/>
              </w:rPr>
              <w:t>P03, PDF-S. 40;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wendet sich gegen klimabezogene Belastungen und will Privilegien erhalten/ausweiten</w:t>
            </w:r>
          </w:p>
        </w:tc>
        <w:tc>
          <w:tcPr>
            <w:tcW w:type="dxa" w:w="2018"/>
            <w:vAlign w:val="center"/>
            <w:tcMar>
              <w:top w:w="80" w:type="dxa"/>
              <w:start w:w="100" w:type="dxa"/>
              <w:bottom w:w="80" w:type="dxa"/>
              <w:end w:w="100" w:type="dxa"/>
            </w:tcMar>
          </w:tcPr>
          <w:p>
            <w:pPr>
              <w:spacing w:after="0" w:before="0"/>
            </w:pPr>
            <w:r>
              <w:rPr>
                <w:rFonts w:ascii="Aptos" w:hAnsi="Aptos"/>
                <w:sz w:val="14"/>
              </w:rPr>
              <w:t>P04, PDF-S. 80;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u. a. Dienstwagenprivileg und schädliche Förderung abbauen</w:t>
            </w:r>
          </w:p>
        </w:tc>
        <w:tc>
          <w:tcPr>
            <w:tcW w:type="dxa" w:w="2018"/>
            <w:vAlign w:val="center"/>
            <w:tcMar>
              <w:top w:w="80" w:type="dxa"/>
              <w:start w:w="100" w:type="dxa"/>
              <w:bottom w:w="80" w:type="dxa"/>
              <w:end w:w="100" w:type="dxa"/>
            </w:tcMar>
          </w:tcPr>
          <w:p>
            <w:pPr>
              <w:spacing w:after="0" w:before="0"/>
            </w:pPr>
            <w:r>
              <w:rPr>
                <w:rFonts w:ascii="Aptos" w:hAnsi="Aptos"/>
                <w:sz w:val="14"/>
              </w:rPr>
              <w:t>P05, PDF-S. 36;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priorisiert Entlastung von CO₂-Kosten; Abbaupfad nicht belegt</w:t>
            </w:r>
          </w:p>
        </w:tc>
        <w:tc>
          <w:tcPr>
            <w:tcW w:type="dxa" w:w="2018"/>
            <w:vAlign w:val="center"/>
            <w:tcMar>
              <w:top w:w="80" w:type="dxa"/>
              <w:start w:w="100" w:type="dxa"/>
              <w:bottom w:w="80" w:type="dxa"/>
              <w:end w:w="100" w:type="dxa"/>
            </w:tcMar>
          </w:tcPr>
          <w:p>
            <w:pPr>
              <w:spacing w:after="0" w:before="0"/>
            </w:pPr>
            <w:r>
              <w:rPr>
                <w:rFonts w:ascii="Aptos" w:hAnsi="Aptos"/>
                <w:sz w:val="14"/>
              </w:rPr>
              <w:t>P06, PDF-S. 10;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will Subventionen generell reduzieren, nicht spezifisch fossile Privilegien</w:t>
            </w:r>
          </w:p>
        </w:tc>
        <w:tc>
          <w:tcPr>
            <w:tcW w:type="dxa" w:w="2018"/>
            <w:vAlign w:val="center"/>
            <w:tcMar>
              <w:top w:w="80" w:type="dxa"/>
              <w:start w:w="100" w:type="dxa"/>
              <w:bottom w:w="80" w:type="dxa"/>
              <w:end w:w="100" w:type="dxa"/>
            </w:tcMar>
          </w:tcPr>
          <w:p>
            <w:pPr>
              <w:spacing w:after="0" w:before="0"/>
            </w:pPr>
            <w:r>
              <w:rPr>
                <w:rFonts w:ascii="Aptos" w:hAnsi="Aptos"/>
                <w:sz w:val="14"/>
              </w:rPr>
              <w:t>P07, PDF-S. 36; Vertrauen: mittel</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Subventionswirkung wird offengelegt → klimaschädliche Preisvorteile sinken → Haushaltsmittel werden frei → Alternativen werden relativ wettbewerbsfähiger → gezielter Ausgleich verhindert Härten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Preiseffekte treten kurzfristig ein; Struktur- und Investitionswirkungen entstehen mittel- bis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Pendler*innen, Landwirtschaft, Luftverkehr, energieintensive Branchen, Steuerzahlende, Haushalte mit geringen Einkommen.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Umfang und Verteilung hängen von der konkreten Definition der Subventionen und Ausgleichsregeln ab.</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Existenzsicherung und notwendige Daseinsvorsorge dürfen nicht durch pauschale Streichungen gefährdet werden.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E04</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kohärentere Klima- und Finanzpolitik</w:t>
            </w:r>
          </w:p>
        </w:tc>
        <w:tc>
          <w:tcPr>
            <w:tcW w:type="dxa" w:w="5046"/>
            <w:vAlign w:val="center"/>
            <w:tcMar>
              <w:top w:w="80" w:type="dxa"/>
              <w:start w:w="100" w:type="dxa"/>
              <w:bottom w:w="80" w:type="dxa"/>
              <w:end w:w="100" w:type="dxa"/>
            </w:tcMar>
          </w:tcPr>
          <w:p>
            <w:pPr>
              <w:spacing w:after="0" w:before="0"/>
            </w:pPr>
            <w:r>
              <w:rPr>
                <w:rFonts w:ascii="Aptos" w:hAnsi="Aptos"/>
                <w:sz w:val="16"/>
              </w:rPr>
              <w:t>• Belastung einzelner Branchen, Regionen und Pendlergruppen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weniger Anreize für hohe Emissionen</w:t>
            </w:r>
          </w:p>
        </w:tc>
        <w:tc>
          <w:tcPr>
            <w:tcW w:type="dxa" w:w="5046"/>
            <w:vAlign w:val="center"/>
            <w:tcMar>
              <w:top w:w="80" w:type="dxa"/>
              <w:start w:w="100" w:type="dxa"/>
              <w:bottom w:w="80" w:type="dxa"/>
              <w:end w:w="100" w:type="dxa"/>
            </w:tcMar>
          </w:tcPr>
          <w:p>
            <w:pPr>
              <w:spacing w:after="0" w:before="0"/>
            </w:pPr>
            <w:r>
              <w:rPr>
                <w:rFonts w:ascii="Aptos" w:hAnsi="Aptos"/>
                <w:sz w:val="16"/>
              </w:rPr>
              <w:t>• politische Ausnahmeregeln können Wirkung verwässern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zusätzlicher Spielraum für Infrastruktur oder Entlastung</w:t>
            </w:r>
          </w:p>
        </w:tc>
        <w:tc>
          <w:tcPr>
            <w:tcW w:type="dxa" w:w="5046"/>
            <w:vAlign w:val="center"/>
            <w:tcMar>
              <w:top w:w="80" w:type="dxa"/>
              <w:start w:w="100" w:type="dxa"/>
              <w:bottom w:w="80" w:type="dxa"/>
              <w:end w:w="100" w:type="dxa"/>
            </w:tcMar>
          </w:tcPr>
          <w:p>
            <w:pPr>
              <w:spacing w:after="0" w:before="0"/>
            </w:pPr>
            <w:r>
              <w:rPr>
                <w:rFonts w:ascii="Aptos" w:hAnsi="Aptos"/>
                <w:sz w:val="16"/>
              </w:rPr>
              <w:t>• Verlagerung ins Ausland</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Abbau von Mitnahmeeffekten</w:t>
            </w:r>
          </w:p>
        </w:tc>
        <w:tc>
          <w:tcPr>
            <w:tcW w:type="dxa" w:w="5046"/>
            <w:vAlign w:val="center"/>
            <w:tcMar>
              <w:top w:w="80" w:type="dxa"/>
              <w:start w:w="100" w:type="dxa"/>
              <w:bottom w:w="80" w:type="dxa"/>
              <w:end w:w="100" w:type="dxa"/>
            </w:tcMar>
          </w:tcPr>
          <w:p>
            <w:pPr>
              <w:spacing w:after="0" w:before="0"/>
            </w:pPr>
            <w:r>
              <w:rPr>
                <w:rFonts w:ascii="Aptos" w:hAnsi="Aptos"/>
                <w:sz w:val="16"/>
              </w:rPr>
              <w:t>• soziale Schieflage ohne zielgenauen Ausgleich</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Klima &amp; Energie</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 bis 0</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Volumen umweltschädlicher Subventionen · Emissionswirkung · Verteilung der Mehrbelastung · Mittelverwendung · Anteil zielgenauer Entlastung</w:t>
      </w:r>
    </w:p>
    <w:p>
      <w:pPr>
        <w:pStyle w:val="Heading3"/>
        <w:spacing w:after="80"/>
        <w:keepNext/>
      </w:pPr>
      <w:r>
        <w:t>Neutrale Ergebnis-Microcopy</w:t>
      </w:r>
    </w:p>
    <w:p>
      <w:pPr>
        <w:pStyle w:val="ListBullet"/>
        <w:spacing w:after="20" w:before="0"/>
      </w:pPr>
      <w:r>
        <w:t>„Bei Klimaschädliche Subventionen abbauen besteht eine {hohe/mittlere/geringe} positionale Nähe.“</w:t>
      </w:r>
    </w:p>
    <w:p>
      <w:pPr>
        <w:pStyle w:val="ListBullet"/>
        <w:spacing w:after="20" w:before="0"/>
      </w:pPr>
      <w:r>
        <w:t>„Die Option Klimaschädliche Subventionen abbauen weist vor allem in den Dimensionen Klima &amp; Energie, Resilienz &amp; Generationengerechtigkeit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1"/>
        <w:spacing w:after="80"/>
        <w:keepNext/>
        <w:pageBreakBefore w:val="true"/>
      </w:pPr>
      <w:r>
        <w:t>B. Mobilität, Gebäude, Landwirtschaft &amp; Natur</w:t>
      </w:r>
    </w:p>
    <w:p>
      <w:pPr>
        <w:spacing w:after="80"/>
      </w:pPr>
      <w:r>
        <w:t>Die folgenden vier Fragen bilden das Themenfeld ab. Jede Frage enthält Parteiposition und Wirkungsanalyse als getrennte Ebenen.</w:t>
      </w:r>
    </w:p>
    <w:p>
      <w:pPr>
        <w:pStyle w:val="Heading2"/>
        <w:spacing w:after="80"/>
        <w:keepNext/>
      </w:pPr>
      <w:r>
        <w:t>Q05 · Emissionsfreie Neuwagen ab 2035</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In der EU sollen ab 2035 grundsätzlich nur noch neue Pkw zugelassen werden, die im Betrieb keine CO₂-Emissionen ausstoßen. Der Schwerpunkt soll auf batterieelektrischer Mobilität und der nötigen Ladeinfrastruktur liegen.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prüft Planungssicherheit und Transformationsrichtung. Sie trennt Nischenanwendungen synthetischer Kraftstoffe von einem breiten Einsatz im Pkw-Massenmarkt.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Klima &amp; Energie, Resilienz &amp; Generationengerechtigkeit, Ressourcen &amp; Biodiversität, Soziale Sicherheit &amp; Fairness</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7, 9, 11, 12, 13</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Erhalt des europäischen 2035-Pfads, Ladeinfrastruktur, soziale Förderung kleiner effizienter Fahrzeuge und Transformationshilfen für Beschäftigte.</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Verbrenner-Aus rückgängig machen</w:t>
            </w:r>
          </w:p>
        </w:tc>
        <w:tc>
          <w:tcPr>
            <w:tcW w:type="dxa" w:w="2018"/>
            <w:vAlign w:val="center"/>
            <w:tcMar>
              <w:top w:w="80" w:type="dxa"/>
              <w:start w:w="100" w:type="dxa"/>
              <w:bottom w:w="80" w:type="dxa"/>
              <w:end w:w="100" w:type="dxa"/>
            </w:tcMar>
          </w:tcPr>
          <w:p>
            <w:pPr>
              <w:spacing w:after="0" w:before="0"/>
            </w:pPr>
            <w:r>
              <w:rPr>
                <w:rFonts w:ascii="Aptos" w:hAnsi="Aptos"/>
                <w:sz w:val="14"/>
              </w:rPr>
              <w:t>P01, PDF-S. 74;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klarer Fokus auf Elektrifizierung und E-Mobilität</w:t>
            </w:r>
          </w:p>
        </w:tc>
        <w:tc>
          <w:tcPr>
            <w:tcW w:type="dxa" w:w="2018"/>
            <w:vAlign w:val="center"/>
            <w:tcMar>
              <w:top w:w="80" w:type="dxa"/>
              <w:start w:w="100" w:type="dxa"/>
              <w:bottom w:w="80" w:type="dxa"/>
              <w:end w:w="100" w:type="dxa"/>
            </w:tcMar>
          </w:tcPr>
          <w:p>
            <w:pPr>
              <w:spacing w:after="0" w:before="0"/>
            </w:pPr>
            <w:r>
              <w:rPr>
                <w:rFonts w:ascii="Aptos" w:hAnsi="Aptos"/>
                <w:sz w:val="14"/>
              </w:rPr>
              <w:t>P02, PDF-S. 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hält am europäischen Pfad zur E-Mobilität fest</w:t>
            </w:r>
          </w:p>
        </w:tc>
        <w:tc>
          <w:tcPr>
            <w:tcW w:type="dxa" w:w="2018"/>
            <w:vAlign w:val="center"/>
            <w:tcMar>
              <w:top w:w="80" w:type="dxa"/>
              <w:start w:w="100" w:type="dxa"/>
              <w:bottom w:w="80" w:type="dxa"/>
              <w:end w:w="100" w:type="dxa"/>
            </w:tcMar>
          </w:tcPr>
          <w:p>
            <w:pPr>
              <w:spacing w:after="0" w:before="0"/>
            </w:pPr>
            <w:r>
              <w:rPr>
                <w:rFonts w:ascii="Aptos" w:hAnsi="Aptos"/>
                <w:sz w:val="14"/>
              </w:rPr>
              <w:t>P03, PDF-S. 47;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Verbrenner-Aus ab</w:t>
            </w:r>
          </w:p>
        </w:tc>
        <w:tc>
          <w:tcPr>
            <w:tcW w:type="dxa" w:w="2018"/>
            <w:vAlign w:val="center"/>
            <w:tcMar>
              <w:top w:w="80" w:type="dxa"/>
              <w:start w:w="100" w:type="dxa"/>
              <w:bottom w:w="80" w:type="dxa"/>
              <w:end w:w="100" w:type="dxa"/>
            </w:tcMar>
          </w:tcPr>
          <w:p>
            <w:pPr>
              <w:spacing w:after="0" w:before="0"/>
            </w:pPr>
            <w:r>
              <w:rPr>
                <w:rFonts w:ascii="Aptos" w:hAnsi="Aptos"/>
                <w:sz w:val="14"/>
              </w:rPr>
              <w:t>P04, PDF-S. 44;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konsequente Mobilitätswende statt E-Fuels im Pkw</w:t>
            </w:r>
          </w:p>
        </w:tc>
        <w:tc>
          <w:tcPr>
            <w:tcW w:type="dxa" w:w="2018"/>
            <w:vAlign w:val="center"/>
            <w:tcMar>
              <w:top w:w="80" w:type="dxa"/>
              <w:start w:w="100" w:type="dxa"/>
              <w:bottom w:w="80" w:type="dxa"/>
              <w:end w:w="100" w:type="dxa"/>
            </w:tcMar>
          </w:tcPr>
          <w:p>
            <w:pPr>
              <w:spacing w:after="0" w:before="0"/>
            </w:pPr>
            <w:r>
              <w:rPr>
                <w:rFonts w:ascii="Aptos" w:hAnsi="Aptos"/>
                <w:sz w:val="14"/>
              </w:rPr>
              <w:t>P05, PDF-S. 36;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Verbrenner-Aus ab und fördert effiziente Verbrenner/E-Fuels</w:t>
            </w:r>
          </w:p>
        </w:tc>
        <w:tc>
          <w:tcPr>
            <w:tcW w:type="dxa" w:w="2018"/>
            <w:vAlign w:val="center"/>
            <w:tcMar>
              <w:top w:w="80" w:type="dxa"/>
              <w:start w:w="100" w:type="dxa"/>
              <w:bottom w:w="80" w:type="dxa"/>
              <w:end w:w="100" w:type="dxa"/>
            </w:tcMar>
          </w:tcPr>
          <w:p>
            <w:pPr>
              <w:spacing w:after="0" w:before="0"/>
            </w:pPr>
            <w:r>
              <w:rPr>
                <w:rFonts w:ascii="Aptos" w:hAnsi="Aptos"/>
                <w:sz w:val="14"/>
              </w:rPr>
              <w:t>P06, PDF-S. 10;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Technologieverbote und Verbrenner-Aus ab</w:t>
            </w:r>
          </w:p>
        </w:tc>
        <w:tc>
          <w:tcPr>
            <w:tcW w:type="dxa" w:w="2018"/>
            <w:vAlign w:val="center"/>
            <w:tcMar>
              <w:top w:w="80" w:type="dxa"/>
              <w:start w:w="100" w:type="dxa"/>
              <w:bottom w:w="80" w:type="dxa"/>
              <w:end w:w="100" w:type="dxa"/>
            </w:tcMar>
          </w:tcPr>
          <w:p>
            <w:pPr>
              <w:spacing w:after="0" w:before="0"/>
            </w:pPr>
            <w:r>
              <w:rPr>
                <w:rFonts w:ascii="Aptos" w:hAnsi="Aptos"/>
                <w:sz w:val="14"/>
              </w:rPr>
              <w:t>P07, PDF-S. 40;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klare Flottenanforderung → Investitionen in E-Fahrzeuge und Batterien → Ausbau Ladeinfrastruktur → sinkender fossiler Kraftstoffbedarf → niedrigere Betriebs- und Verkehrsemissionen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Industrie- und Kaufentscheidungen wirken früh; der vollständige Flotteneffekt entsteht über den Fahrzeugbestand erst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Autoindustrie und Zulieferer, Beschäftigte, Haushalte ohne private Ladeoption, ländliche Räume, Rohstoffregionen.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Klimawirkung hängt von Fahrzeuggröße, Strommix, Haltbarkeit, Nutzung und Kreislaufführung ab.</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Menschenrechte und Umweltstandards in Rohstofflieferketten dürfen nicht mit der Klimawirkung verrechnet werden.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E05, E06</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Planungssicherheit für Industrie und Infrastruktur</w:t>
            </w:r>
          </w:p>
        </w:tc>
        <w:tc>
          <w:tcPr>
            <w:tcW w:type="dxa" w:w="5046"/>
            <w:vAlign w:val="center"/>
            <w:tcMar>
              <w:top w:w="80" w:type="dxa"/>
              <w:start w:w="100" w:type="dxa"/>
              <w:bottom w:w="80" w:type="dxa"/>
              <w:end w:w="100" w:type="dxa"/>
            </w:tcMar>
          </w:tcPr>
          <w:p>
            <w:pPr>
              <w:spacing w:after="0" w:before="0"/>
            </w:pPr>
            <w:r>
              <w:rPr>
                <w:rFonts w:ascii="Aptos" w:hAnsi="Aptos"/>
                <w:sz w:val="16"/>
              </w:rPr>
              <w:t>• Rohstoff- und Lieferkettenrisiken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höhere Energieeffizienz als Verbrennung und E-Fuels</w:t>
            </w:r>
          </w:p>
        </w:tc>
        <w:tc>
          <w:tcPr>
            <w:tcW w:type="dxa" w:w="5046"/>
            <w:vAlign w:val="center"/>
            <w:tcMar>
              <w:top w:w="80" w:type="dxa"/>
              <w:start w:w="100" w:type="dxa"/>
              <w:bottom w:w="80" w:type="dxa"/>
              <w:end w:w="100" w:type="dxa"/>
            </w:tcMar>
          </w:tcPr>
          <w:p>
            <w:pPr>
              <w:spacing w:after="0" w:before="0"/>
            </w:pPr>
            <w:r>
              <w:rPr>
                <w:rFonts w:ascii="Aptos" w:hAnsi="Aptos"/>
                <w:sz w:val="16"/>
              </w:rPr>
              <w:t>• hohe Anschaffungskosten bei fehlender Förderung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geringere lokale Luftschadstoffe</w:t>
            </w:r>
          </w:p>
        </w:tc>
        <w:tc>
          <w:tcPr>
            <w:tcW w:type="dxa" w:w="5046"/>
            <w:vAlign w:val="center"/>
            <w:tcMar>
              <w:top w:w="80" w:type="dxa"/>
              <w:start w:w="100" w:type="dxa"/>
              <w:bottom w:w="80" w:type="dxa"/>
              <w:end w:w="100" w:type="dxa"/>
            </w:tcMar>
          </w:tcPr>
          <w:p>
            <w:pPr>
              <w:spacing w:after="0" w:before="0"/>
            </w:pPr>
            <w:r>
              <w:rPr>
                <w:rFonts w:ascii="Aptos" w:hAnsi="Aptos"/>
                <w:sz w:val="16"/>
              </w:rPr>
              <w:t>• Belastung bestehender Zulieferstrukturen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sinkende Ölimportabhängigkeit</w:t>
            </w:r>
          </w:p>
        </w:tc>
        <w:tc>
          <w:tcPr>
            <w:tcW w:type="dxa" w:w="5046"/>
            <w:vAlign w:val="center"/>
            <w:tcMar>
              <w:top w:w="80" w:type="dxa"/>
              <w:start w:w="100" w:type="dxa"/>
              <w:bottom w:w="80" w:type="dxa"/>
              <w:end w:w="100" w:type="dxa"/>
            </w:tcMar>
          </w:tcPr>
          <w:p>
            <w:pPr>
              <w:spacing w:after="0" w:before="0"/>
            </w:pPr>
            <w:r>
              <w:rPr>
                <w:rFonts w:ascii="Aptos" w:hAnsi="Aptos"/>
                <w:sz w:val="16"/>
              </w:rPr>
              <w:t>• Rebound durch große und schwere Fahrzeuge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Netzbelastung bei schlechter Steuerung</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Klima &amp; Energie</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Ressourcen &amp; Biodiversität</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Neuzulassungsanteil emissionsfreier Pkw · Lebenszyklusemissionen · Ladepunktdichte · Fahrzeuggewicht · Batterierecycling · Beschäftigungsübergänge</w:t>
      </w:r>
    </w:p>
    <w:p>
      <w:pPr>
        <w:pStyle w:val="Heading3"/>
        <w:spacing w:after="80"/>
        <w:keepNext/>
      </w:pPr>
      <w:r>
        <w:t>Neutrale Ergebnis-Microcopy</w:t>
      </w:r>
    </w:p>
    <w:p>
      <w:pPr>
        <w:pStyle w:val="ListBullet"/>
        <w:spacing w:after="20" w:before="0"/>
      </w:pPr>
      <w:r>
        <w:t>„Bei Emissionsfreie Neuwagen ab 2035 besteht eine {hohe/mittlere/geringe} positionale Nähe.“</w:t>
      </w:r>
    </w:p>
    <w:p>
      <w:pPr>
        <w:pStyle w:val="ListBullet"/>
        <w:spacing w:after="20" w:before="0"/>
      </w:pPr>
      <w:r>
        <w:t>„Die Option Emissionsfreie Neuwagen ab 2035 weist vor allem in den Dimensionen Klima &amp; Energie, Resilienz &amp; Generationengerechtigkeit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Q06 · Allgemeines Tempolimit 130</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Auf Bundesautobahnen soll ein allgemeines Tempolimit von 130 km/h gelten.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Das Instrument ist schnell umsetzbar, kostengünstig und betrifft Klima, Unfallrisiko, Verkehrsfluss und individuelle Freiheit zugleich.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Klima &amp; Energie, Gesundheit, Bildung &amp; Teilhabe, Freiheit &amp; Selbstbestimmung, Resilienz &amp; Generationengerechtigkeit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3, 11, 13</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generelles Limit 130 km/h mit üblicher Verkehrsüberwachung; situativ niedrigere Grenzen bleiben möglich.</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generelles Tempolimit ausdrücklich ab</w:t>
            </w:r>
          </w:p>
        </w:tc>
        <w:tc>
          <w:tcPr>
            <w:tcW w:type="dxa" w:w="2018"/>
            <w:vAlign w:val="center"/>
            <w:tcMar>
              <w:top w:w="80" w:type="dxa"/>
              <w:start w:w="100" w:type="dxa"/>
              <w:bottom w:w="80" w:type="dxa"/>
              <w:end w:w="100" w:type="dxa"/>
            </w:tcMar>
          </w:tcPr>
          <w:p>
            <w:pPr>
              <w:spacing w:after="0" w:before="0"/>
            </w:pPr>
            <w:r>
              <w:rPr>
                <w:rFonts w:ascii="Aptos" w:hAnsi="Aptos"/>
                <w:sz w:val="14"/>
              </w:rPr>
              <w:t>P01, PDF-S. 74;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130 km/h ausdrücklich</w:t>
            </w:r>
          </w:p>
        </w:tc>
        <w:tc>
          <w:tcPr>
            <w:tcW w:type="dxa" w:w="2018"/>
            <w:vAlign w:val="center"/>
            <w:tcMar>
              <w:top w:w="80" w:type="dxa"/>
              <w:start w:w="100" w:type="dxa"/>
              <w:bottom w:w="80" w:type="dxa"/>
              <w:end w:w="100" w:type="dxa"/>
            </w:tcMar>
          </w:tcPr>
          <w:p>
            <w:pPr>
              <w:spacing w:after="0" w:before="0"/>
            </w:pPr>
            <w:r>
              <w:rPr>
                <w:rFonts w:ascii="Aptos" w:hAnsi="Aptos"/>
                <w:sz w:val="14"/>
              </w:rPr>
              <w:t>P02, PDF-S. 36;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Sicherheitstempo 130 km/h</w:t>
            </w:r>
          </w:p>
        </w:tc>
        <w:tc>
          <w:tcPr>
            <w:tcW w:type="dxa" w:w="2018"/>
            <w:vAlign w:val="center"/>
            <w:tcMar>
              <w:top w:w="80" w:type="dxa"/>
              <w:start w:w="100" w:type="dxa"/>
              <w:bottom w:w="80" w:type="dxa"/>
              <w:end w:w="100" w:type="dxa"/>
            </w:tcMar>
          </w:tcPr>
          <w:p>
            <w:pPr>
              <w:spacing w:after="0" w:before="0"/>
            </w:pPr>
            <w:r>
              <w:rPr>
                <w:rFonts w:ascii="Aptos" w:hAnsi="Aptos"/>
                <w:sz w:val="14"/>
              </w:rPr>
              <w:t>P03, PDF-S. 48;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Tempolimit strikt ab</w:t>
            </w:r>
          </w:p>
        </w:tc>
        <w:tc>
          <w:tcPr>
            <w:tcW w:type="dxa" w:w="2018"/>
            <w:vAlign w:val="center"/>
            <w:tcMar>
              <w:top w:w="80" w:type="dxa"/>
              <w:start w:w="100" w:type="dxa"/>
              <w:bottom w:w="80" w:type="dxa"/>
              <w:end w:w="100" w:type="dxa"/>
            </w:tcMar>
          </w:tcPr>
          <w:p>
            <w:pPr>
              <w:spacing w:after="0" w:before="0"/>
            </w:pPr>
            <w:r>
              <w:rPr>
                <w:rFonts w:ascii="Aptos" w:hAnsi="Aptos"/>
                <w:sz w:val="14"/>
              </w:rPr>
              <w:t>P04, PDF-S. 45;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120 km/h und stimmt der Richtung klar zu</w:t>
            </w:r>
          </w:p>
        </w:tc>
        <w:tc>
          <w:tcPr>
            <w:tcW w:type="dxa" w:w="2018"/>
            <w:vAlign w:val="center"/>
            <w:tcMar>
              <w:top w:w="80" w:type="dxa"/>
              <w:start w:w="100" w:type="dxa"/>
              <w:bottom w:w="80" w:type="dxa"/>
              <w:end w:w="100" w:type="dxa"/>
            </w:tcMar>
          </w:tcPr>
          <w:p>
            <w:pPr>
              <w:spacing w:after="0" w:before="0"/>
            </w:pPr>
            <w:r>
              <w:rPr>
                <w:rFonts w:ascii="Aptos" w:hAnsi="Aptos"/>
                <w:sz w:val="14"/>
              </w:rPr>
              <w:t>P05, PDF-S. 37;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keine eindeutige Position im Programm</w:t>
            </w:r>
          </w:p>
        </w:tc>
        <w:tc>
          <w:tcPr>
            <w:tcW w:type="dxa" w:w="2018"/>
            <w:vAlign w:val="center"/>
            <w:tcMar>
              <w:top w:w="80" w:type="dxa"/>
              <w:start w:w="100" w:type="dxa"/>
              <w:bottom w:w="80" w:type="dxa"/>
              <w:end w:w="100" w:type="dxa"/>
            </w:tcMar>
          </w:tcPr>
          <w:p>
            <w:pPr>
              <w:spacing w:after="0" w:before="0"/>
            </w:pPr>
            <w:r>
              <w:rPr>
                <w:rFonts w:ascii="Aptos" w:hAnsi="Aptos"/>
                <w:sz w:val="14"/>
              </w:rPr>
              <w:t>P06, PDF-S. –; Vertrauen: niedrig</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generelles Tempolimit ab</w:t>
            </w:r>
          </w:p>
        </w:tc>
        <w:tc>
          <w:tcPr>
            <w:tcW w:type="dxa" w:w="2018"/>
            <w:vAlign w:val="center"/>
            <w:tcMar>
              <w:top w:w="80" w:type="dxa"/>
              <w:start w:w="100" w:type="dxa"/>
              <w:bottom w:w="80" w:type="dxa"/>
              <w:end w:w="100" w:type="dxa"/>
            </w:tcMar>
          </w:tcPr>
          <w:p>
            <w:pPr>
              <w:spacing w:after="0" w:before="0"/>
            </w:pPr>
            <w:r>
              <w:rPr>
                <w:rFonts w:ascii="Aptos" w:hAnsi="Aptos"/>
                <w:sz w:val="14"/>
              </w:rPr>
              <w:t>P07, PDF-S. 41;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geringere Spitzengeschwindigkeiten → weniger Energieverbrauch und Emissionen → geringere Geschwindigkeitsdifferenzen → potenziell weniger schwere Unfälle → ruhigerer Verkehrsfluss</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Wirkungen auf Verbrauch und Geschwindigkeit treten sofort ein; Flotten- und Raumwirkungen bleiben begrenzt.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Autofahrende, Unfallbetroffene, Anwohner*innen, Logistik, Rettungs- und Verkehrssystem.</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niedrig bis mittel: Höhe der Emissionsminderung hängt von Befolgung und Ausgangsgeschwindigkeiten ab.</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Verkehrssicherheit ist gesondert zu beachten; Freiheitsverlust und Sicherheitsgewinn dürfen nicht bloß arithmetisch verrechnet werden.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E05</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sofortige Emissionsminderung ohne neue Infrastruktur</w:t>
            </w:r>
          </w:p>
        </w:tc>
        <w:tc>
          <w:tcPr>
            <w:tcW w:type="dxa" w:w="5046"/>
            <w:vAlign w:val="center"/>
            <w:tcMar>
              <w:top w:w="80" w:type="dxa"/>
              <w:start w:w="100" w:type="dxa"/>
              <w:bottom w:w="80" w:type="dxa"/>
              <w:end w:w="100" w:type="dxa"/>
            </w:tcMar>
          </w:tcPr>
          <w:p>
            <w:pPr>
              <w:spacing w:after="0" w:before="0"/>
            </w:pPr>
            <w:r>
              <w:rPr>
                <w:rFonts w:ascii="Aptos" w:hAnsi="Aptos"/>
                <w:sz w:val="16"/>
              </w:rPr>
              <w:t>• Eingriff in individuelle Geschwindigkeitswahl</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Sicherheits- und Lärmvorteile</w:t>
            </w:r>
          </w:p>
        </w:tc>
        <w:tc>
          <w:tcPr>
            <w:tcW w:type="dxa" w:w="5046"/>
            <w:vAlign w:val="center"/>
            <w:tcMar>
              <w:top w:w="80" w:type="dxa"/>
              <w:start w:w="100" w:type="dxa"/>
              <w:bottom w:w="80" w:type="dxa"/>
              <w:end w:w="100" w:type="dxa"/>
            </w:tcMar>
          </w:tcPr>
          <w:p>
            <w:pPr>
              <w:spacing w:after="0" w:before="0"/>
            </w:pPr>
            <w:r>
              <w:rPr>
                <w:rFonts w:ascii="Aptos" w:hAnsi="Aptos"/>
                <w:sz w:val="16"/>
              </w:rPr>
              <w:t>• Ausweichverkehr bei Fehlwahrnehmung oder Kontrolldefiziten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geringere Verbrauchskosten</w:t>
            </w:r>
          </w:p>
        </w:tc>
        <w:tc>
          <w:tcPr>
            <w:tcW w:type="dxa" w:w="5046"/>
            <w:vAlign w:val="center"/>
            <w:tcMar>
              <w:top w:w="80" w:type="dxa"/>
              <w:start w:w="100" w:type="dxa"/>
              <w:bottom w:w="80" w:type="dxa"/>
              <w:end w:w="100" w:type="dxa"/>
            </w:tcMar>
          </w:tcPr>
          <w:p>
            <w:pPr>
              <w:spacing w:after="0" w:before="0"/>
            </w:pPr>
            <w:r>
              <w:rPr>
                <w:rFonts w:ascii="Aptos" w:hAnsi="Aptos"/>
                <w:sz w:val="16"/>
              </w:rPr>
              <w:t>• begrenzte Gesamtwirkung gegenüber struktureller Mobilitätswende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leicht kontrollierbare Regel</w:t>
            </w:r>
          </w:p>
        </w:tc>
        <w:tc>
          <w:tcPr>
            <w:tcW w:type="dxa" w:w="5046"/>
            <w:vAlign w:val="center"/>
            <w:tcMar>
              <w:top w:w="80" w:type="dxa"/>
              <w:start w:w="100" w:type="dxa"/>
              <w:bottom w:w="80" w:type="dxa"/>
              <w:end w:w="100" w:type="dxa"/>
            </w:tcMar>
          </w:tcPr>
          <w:p>
            <w:pPr>
              <w:spacing w:after="0" w:before="0"/>
            </w:pPr>
            <w:r>
              <w:rPr>
                <w:rFonts w:ascii="Aptos" w:hAnsi="Aptos"/>
                <w:sz w:val="16"/>
              </w:rPr>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Klima &amp; Energie</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Durchschnittsgeschwindigkeit · Kraftstoff-/Stromverbrauch · CO₂-Emissionen · Unfälle nach Schwere · Lärmpegel</w:t>
      </w:r>
    </w:p>
    <w:p>
      <w:pPr>
        <w:pStyle w:val="Heading3"/>
        <w:spacing w:after="80"/>
        <w:keepNext/>
      </w:pPr>
      <w:r>
        <w:t>Neutrale Ergebnis-Microcopy</w:t>
      </w:r>
    </w:p>
    <w:p>
      <w:pPr>
        <w:pStyle w:val="ListBullet"/>
        <w:spacing w:after="20" w:before="0"/>
      </w:pPr>
      <w:r>
        <w:t>„Bei Allgemeines Tempolimit 130 besteht eine {hohe/mittlere/geringe} positionale Nähe.“</w:t>
      </w:r>
    </w:p>
    <w:p>
      <w:pPr>
        <w:pStyle w:val="ListBullet"/>
        <w:spacing w:after="20" w:before="0"/>
      </w:pPr>
      <w:r>
        <w:t>„Die Option Allgemeines Tempolimit 130 weist vor allem in den Dimensionen Klima &amp; Energie, Gesundheit, Bildung &amp; Teilhabe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Q07 · Sozial abgesicherte Wärmewende</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Der schrittweise Umstieg auf klimaneutrale Heizungen und Wärmenetze soll fortgesetzt werden. Förderhöhe und Zumutbarkeit sollen sich stärker am Einkommen und am Zustand des Gebäudes orientieren.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trennt das Transformationsziel von einer einheitlichen technischen Pflicht. Entscheidend sind Wärmeplanung, Verlässlichkeit und Schutz vor Überforderung.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Klima &amp; Energie, Soziale Sicherheit &amp; Fairness, Gesundheit, Bildung &amp; Teilhabe, Resilienz &amp; Generationengerechtigkeit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3, 7, 10, 11, 13</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verlässlicher Dekarbonisierungspfad für Gebäude, kommunale Wärmeplanung, einkommensabhängige Förderung und Härtefallregeln.</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Heizungsgesetz abschaffen; setzt auf CO₂-Preis und Technologieoffenheit</w:t>
            </w:r>
          </w:p>
        </w:tc>
        <w:tc>
          <w:tcPr>
            <w:tcW w:type="dxa" w:w="2018"/>
            <w:vAlign w:val="center"/>
            <w:tcMar>
              <w:top w:w="80" w:type="dxa"/>
              <w:start w:w="100" w:type="dxa"/>
              <w:bottom w:w="80" w:type="dxa"/>
              <w:end w:w="100" w:type="dxa"/>
            </w:tcMar>
          </w:tcPr>
          <w:p>
            <w:pPr>
              <w:spacing w:after="0" w:before="0"/>
            </w:pPr>
            <w:r>
              <w:rPr>
                <w:rFonts w:ascii="Aptos" w:hAnsi="Aptos"/>
                <w:sz w:val="14"/>
              </w:rPr>
              <w:t>P01, PDF-S. 22;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setzt auf Wärmeplanung, Netze und einkommensabhängige Förderung</w:t>
            </w:r>
          </w:p>
        </w:tc>
        <w:tc>
          <w:tcPr>
            <w:tcW w:type="dxa" w:w="2018"/>
            <w:vAlign w:val="center"/>
            <w:tcMar>
              <w:top w:w="80" w:type="dxa"/>
              <w:start w:w="100" w:type="dxa"/>
              <w:bottom w:w="80" w:type="dxa"/>
              <w:end w:w="100" w:type="dxa"/>
            </w:tcMar>
          </w:tcPr>
          <w:p>
            <w:pPr>
              <w:spacing w:after="0" w:before="0"/>
            </w:pPr>
            <w:r>
              <w:rPr>
                <w:rFonts w:ascii="Aptos" w:hAnsi="Aptos"/>
                <w:sz w:val="14"/>
              </w:rPr>
              <w:t>P02, PDF-S. 33;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klimaneutrales Heizen mit sozialer Förderung fortführen</w:t>
            </w:r>
          </w:p>
        </w:tc>
        <w:tc>
          <w:tcPr>
            <w:tcW w:type="dxa" w:w="2018"/>
            <w:vAlign w:val="center"/>
            <w:tcMar>
              <w:top w:w="80" w:type="dxa"/>
              <w:start w:w="100" w:type="dxa"/>
              <w:bottom w:w="80" w:type="dxa"/>
              <w:end w:w="100" w:type="dxa"/>
            </w:tcMar>
          </w:tcPr>
          <w:p>
            <w:pPr>
              <w:spacing w:after="0" w:before="0"/>
            </w:pPr>
            <w:r>
              <w:rPr>
                <w:rFonts w:ascii="Aptos" w:hAnsi="Aptos"/>
                <w:sz w:val="14"/>
              </w:rPr>
              <w:t>P03, PDF-S. 44;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Gebäudeenergiegesetz und Klimavorgaben zurücknehmen</w:t>
            </w:r>
          </w:p>
        </w:tc>
        <w:tc>
          <w:tcPr>
            <w:tcW w:type="dxa" w:w="2018"/>
            <w:vAlign w:val="center"/>
            <w:tcMar>
              <w:top w:w="80" w:type="dxa"/>
              <w:start w:w="100" w:type="dxa"/>
              <w:bottom w:w="80" w:type="dxa"/>
              <w:end w:w="100" w:type="dxa"/>
            </w:tcMar>
          </w:tcPr>
          <w:p>
            <w:pPr>
              <w:spacing w:after="0" w:before="0"/>
            </w:pPr>
            <w:r>
              <w:rPr>
                <w:rFonts w:ascii="Aptos" w:hAnsi="Aptos"/>
                <w:sz w:val="14"/>
              </w:rPr>
              <w:t>P04, PDF-S. 41;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sozial abgesicherte Wärmewende und warmmietenneutrale Sanierung</w:t>
            </w:r>
          </w:p>
        </w:tc>
        <w:tc>
          <w:tcPr>
            <w:tcW w:type="dxa" w:w="2018"/>
            <w:vAlign w:val="center"/>
            <w:tcMar>
              <w:top w:w="80" w:type="dxa"/>
              <w:start w:w="100" w:type="dxa"/>
              <w:bottom w:w="80" w:type="dxa"/>
              <w:end w:w="100" w:type="dxa"/>
            </w:tcMar>
          </w:tcPr>
          <w:p>
            <w:pPr>
              <w:spacing w:after="0" w:before="0"/>
            </w:pPr>
            <w:r>
              <w:rPr>
                <w:rFonts w:ascii="Aptos" w:hAnsi="Aptos"/>
                <w:sz w:val="14"/>
              </w:rPr>
              <w:t>P05, PDF-S. 34;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Heizungsgesetz zurücknehmen und Gasnetze erhalten</w:t>
            </w:r>
          </w:p>
        </w:tc>
        <w:tc>
          <w:tcPr>
            <w:tcW w:type="dxa" w:w="2018"/>
            <w:vAlign w:val="center"/>
            <w:tcMar>
              <w:top w:w="80" w:type="dxa"/>
              <w:start w:w="100" w:type="dxa"/>
              <w:bottom w:w="80" w:type="dxa"/>
              <w:end w:w="100" w:type="dxa"/>
            </w:tcMar>
          </w:tcPr>
          <w:p>
            <w:pPr>
              <w:spacing w:after="0" w:before="0"/>
            </w:pPr>
            <w:r>
              <w:rPr>
                <w:rFonts w:ascii="Aptos" w:hAnsi="Aptos"/>
                <w:sz w:val="14"/>
              </w:rPr>
              <w:t>P06, PDF-S. 10;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Heizungsgesetz abschaffen und Technologiezwang vermeiden</w:t>
            </w:r>
          </w:p>
        </w:tc>
        <w:tc>
          <w:tcPr>
            <w:tcW w:type="dxa" w:w="2018"/>
            <w:vAlign w:val="center"/>
            <w:tcMar>
              <w:top w:w="80" w:type="dxa"/>
              <w:start w:w="100" w:type="dxa"/>
              <w:bottom w:w="80" w:type="dxa"/>
              <w:end w:w="100" w:type="dxa"/>
            </w:tcMar>
          </w:tcPr>
          <w:p>
            <w:pPr>
              <w:spacing w:after="0" w:before="0"/>
            </w:pPr>
            <w:r>
              <w:rPr>
                <w:rFonts w:ascii="Aptos" w:hAnsi="Aptos"/>
                <w:sz w:val="14"/>
              </w:rPr>
              <w:t>P07, PDF-S. 45;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kommunale Wärmepläne schaffen Orientierung → fossile Heizungen werden schrittweise ersetzt → Förderung reduziert Investitionshürden → sinkende Emissionen und langfristige Preisrisiken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Kurzfristig dominieren Investitions- und Umsetzungsbelastungen; langfristig wirken Emissions-, Gesundheits- und Brennstoffkostenvorteile.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Mieter*innen, selbstnutzende Eigentümer*innen, Vermieter*innen, Kommunen, Handwerk, Wärmeversorger.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Ergebnis hängt von Förderung, Mietrecht, Strom-/Wärmepreisen, Gebäudezustand und kommunaler Planung ab.</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Wohnungsverlust, Energiearmut und gesundheitlich unzumutbare Temperaturen sind nicht kompensierbare Grenzen.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E01, E02</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Planungssicherheit für Eigentümer, Handwerk und Netze</w:t>
            </w:r>
          </w:p>
        </w:tc>
        <w:tc>
          <w:tcPr>
            <w:tcW w:type="dxa" w:w="5046"/>
            <w:vAlign w:val="center"/>
            <w:tcMar>
              <w:top w:w="80" w:type="dxa"/>
              <w:start w:w="100" w:type="dxa"/>
              <w:bottom w:w="80" w:type="dxa"/>
              <w:end w:w="100" w:type="dxa"/>
            </w:tcMar>
          </w:tcPr>
          <w:p>
            <w:pPr>
              <w:spacing w:after="0" w:before="0"/>
            </w:pPr>
            <w:r>
              <w:rPr>
                <w:rFonts w:ascii="Aptos" w:hAnsi="Aptos"/>
                <w:sz w:val="16"/>
              </w:rPr>
              <w:t>• hohe Vorabinvestitionen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geringere fossile Importabhängigkeit</w:t>
            </w:r>
          </w:p>
        </w:tc>
        <w:tc>
          <w:tcPr>
            <w:tcW w:type="dxa" w:w="5046"/>
            <w:vAlign w:val="center"/>
            <w:tcMar>
              <w:top w:w="80" w:type="dxa"/>
              <w:start w:w="100" w:type="dxa"/>
              <w:bottom w:w="80" w:type="dxa"/>
              <w:end w:w="100" w:type="dxa"/>
            </w:tcMar>
          </w:tcPr>
          <w:p>
            <w:pPr>
              <w:spacing w:after="0" w:before="0"/>
            </w:pPr>
            <w:r>
              <w:rPr>
                <w:rFonts w:ascii="Aptos" w:hAnsi="Aptos"/>
                <w:sz w:val="16"/>
              </w:rPr>
              <w:t>• Mieterhöhungs- und Verdrängungsrisiken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bessere Luftqualität</w:t>
            </w:r>
          </w:p>
        </w:tc>
        <w:tc>
          <w:tcPr>
            <w:tcW w:type="dxa" w:w="5046"/>
            <w:vAlign w:val="center"/>
            <w:tcMar>
              <w:top w:w="80" w:type="dxa"/>
              <w:start w:w="100" w:type="dxa"/>
              <w:bottom w:w="80" w:type="dxa"/>
              <w:end w:w="100" w:type="dxa"/>
            </w:tcMar>
          </w:tcPr>
          <w:p>
            <w:pPr>
              <w:spacing w:after="0" w:before="0"/>
            </w:pPr>
            <w:r>
              <w:rPr>
                <w:rFonts w:ascii="Aptos" w:hAnsi="Aptos"/>
                <w:sz w:val="16"/>
              </w:rPr>
              <w:t>• Fehlentscheidungen bei unklarer Wärmeplanung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Schutz einkommensschwacher Haushalte bei zielgenauer Förderung</w:t>
            </w:r>
          </w:p>
        </w:tc>
        <w:tc>
          <w:tcPr>
            <w:tcW w:type="dxa" w:w="5046"/>
            <w:vAlign w:val="center"/>
            <w:tcMar>
              <w:top w:w="80" w:type="dxa"/>
              <w:start w:w="100" w:type="dxa"/>
              <w:bottom w:w="80" w:type="dxa"/>
              <w:end w:w="100" w:type="dxa"/>
            </w:tcMar>
          </w:tcPr>
          <w:p>
            <w:pPr>
              <w:spacing w:after="0" w:before="0"/>
            </w:pPr>
            <w:r>
              <w:rPr>
                <w:rFonts w:ascii="Aptos" w:hAnsi="Aptos"/>
                <w:sz w:val="16"/>
              </w:rPr>
              <w:t>• Fachkräfte- und Materialengpässe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Lock-in in ungeeignete Infrastruktur</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Klima &amp; Energie</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Anteil erneuerbarer Wärme · Heizkostenbelastung nach Einkommen · Sanierungsrate · Warmmietenentwicklung · kommunale Wärmepläne · Gebäudeemissionen</w:t>
      </w:r>
    </w:p>
    <w:p>
      <w:pPr>
        <w:pStyle w:val="Heading3"/>
        <w:spacing w:after="80"/>
        <w:keepNext/>
      </w:pPr>
      <w:r>
        <w:t>Neutrale Ergebnis-Microcopy</w:t>
      </w:r>
    </w:p>
    <w:p>
      <w:pPr>
        <w:pStyle w:val="ListBullet"/>
        <w:spacing w:after="20" w:before="0"/>
      </w:pPr>
      <w:r>
        <w:t>„Bei Sozial abgesicherte Wärmewende besteht eine {hohe/mittlere/geringe} positionale Nähe.“</w:t>
      </w:r>
    </w:p>
    <w:p>
      <w:pPr>
        <w:pStyle w:val="ListBullet"/>
        <w:spacing w:after="20" w:before="0"/>
      </w:pPr>
      <w:r>
        <w:t>„Die Option Sozial abgesicherte Wärmewende weist vor allem in den Dimensionen Klima &amp; Energie, Soziale Sicherheit &amp; Fairness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Q08 · Agrarförderung nach messbarer Wirkung</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Öffentliche Agrargelder sollen stärker an nachweisbare Leistungen für Tierwohl, Bodenfruchtbarkeit, Wasser, Klima und Biodiversität gebunden werden. Kleine und mittlere Betriebe sollen bei der Umstellung besonders unterstützt werden.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verschiebt Förderung von Fläche und Besitz hin zu gesellschaftlicher Wirkung, ohne bäuerliche Existenzen zu ignorieren.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Ressourcen &amp; Biodiversität, Klima &amp; Energie, Soziale Sicherheit &amp; Fairness, Gesundheit, Bildung &amp; Teilhabe, Resilienz &amp; Generationengerechtigkeit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2, 3, 6, 8, 12, 13, 15</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zielorientierte Zahlungen für überprüfbare Leistungen, Beratung und Übergangshilfen; keine pauschale Kürzung der Agrarbudgets.</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Agrarleistungen stärker honorieren, bei weniger Auflagen</w:t>
            </w:r>
          </w:p>
        </w:tc>
        <w:tc>
          <w:tcPr>
            <w:tcW w:type="dxa" w:w="2018"/>
            <w:vAlign w:val="center"/>
            <w:tcMar>
              <w:top w:w="80" w:type="dxa"/>
              <w:start w:w="100" w:type="dxa"/>
              <w:bottom w:w="80" w:type="dxa"/>
              <w:end w:w="100" w:type="dxa"/>
            </w:tcMar>
          </w:tcPr>
          <w:p>
            <w:pPr>
              <w:spacing w:after="0" w:before="0"/>
            </w:pPr>
            <w:r>
              <w:rPr>
                <w:rFonts w:ascii="Aptos" w:hAnsi="Aptos"/>
                <w:sz w:val="14"/>
              </w:rPr>
              <w:t>P01, PDF-S. 37;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Agrarförderung stärker an Umwelt- und Tierwohlleistungen knüpfen</w:t>
            </w:r>
          </w:p>
        </w:tc>
        <w:tc>
          <w:tcPr>
            <w:tcW w:type="dxa" w:w="2018"/>
            <w:vAlign w:val="center"/>
            <w:tcMar>
              <w:top w:w="80" w:type="dxa"/>
              <w:start w:w="100" w:type="dxa"/>
              <w:bottom w:w="80" w:type="dxa"/>
              <w:end w:w="100" w:type="dxa"/>
            </w:tcMar>
          </w:tcPr>
          <w:p>
            <w:pPr>
              <w:spacing w:after="0" w:before="0"/>
            </w:pPr>
            <w:r>
              <w:rPr>
                <w:rFonts w:ascii="Aptos" w:hAnsi="Aptos"/>
                <w:sz w:val="14"/>
              </w:rPr>
              <w:t>P02, PDF-S. 53;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konsequent leistungsbezogene ökologische Agrarförderung</w:t>
            </w:r>
          </w:p>
        </w:tc>
        <w:tc>
          <w:tcPr>
            <w:tcW w:type="dxa" w:w="2018"/>
            <w:vAlign w:val="center"/>
            <w:tcMar>
              <w:top w:w="80" w:type="dxa"/>
              <w:start w:w="100" w:type="dxa"/>
              <w:bottom w:w="80" w:type="dxa"/>
              <w:end w:w="100" w:type="dxa"/>
            </w:tcMar>
          </w:tcPr>
          <w:p>
            <w:pPr>
              <w:spacing w:after="0" w:before="0"/>
            </w:pPr>
            <w:r>
              <w:rPr>
                <w:rFonts w:ascii="Aptos" w:hAnsi="Aptos"/>
                <w:sz w:val="14"/>
              </w:rPr>
              <w:t>P03, PDF-S. 57;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setzt auf Anreize und Prüfung ökologischen Nutzens, lehnt Vorgaben ab</w:t>
            </w:r>
          </w:p>
        </w:tc>
        <w:tc>
          <w:tcPr>
            <w:tcW w:type="dxa" w:w="2018"/>
            <w:vAlign w:val="center"/>
            <w:tcMar>
              <w:top w:w="80" w:type="dxa"/>
              <w:start w:w="100" w:type="dxa"/>
              <w:bottom w:w="80" w:type="dxa"/>
              <w:end w:w="100" w:type="dxa"/>
            </w:tcMar>
          </w:tcPr>
          <w:p>
            <w:pPr>
              <w:spacing w:after="0" w:before="0"/>
            </w:pPr>
            <w:r>
              <w:rPr>
                <w:rFonts w:ascii="Aptos" w:hAnsi="Aptos"/>
                <w:sz w:val="14"/>
              </w:rPr>
              <w:t>P04, PDF-S. 75;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soziale und ökologische Agrarwende mit verbindlichen Standards</w:t>
            </w:r>
          </w:p>
        </w:tc>
        <w:tc>
          <w:tcPr>
            <w:tcW w:type="dxa" w:w="2018"/>
            <w:vAlign w:val="center"/>
            <w:tcMar>
              <w:top w:w="80" w:type="dxa"/>
              <w:start w:w="100" w:type="dxa"/>
              <w:bottom w:w="80" w:type="dxa"/>
              <w:end w:w="100" w:type="dxa"/>
            </w:tcMar>
          </w:tcPr>
          <w:p>
            <w:pPr>
              <w:spacing w:after="0" w:before="0"/>
            </w:pPr>
            <w:r>
              <w:rPr>
                <w:rFonts w:ascii="Aptos" w:hAnsi="Aptos"/>
                <w:sz w:val="14"/>
              </w:rPr>
              <w:t>P05, PDF-S. 42;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unterstützt Tierwohl und nachhaltige Landwirtschaft, aber weniger systematisch</w:t>
            </w:r>
          </w:p>
        </w:tc>
        <w:tc>
          <w:tcPr>
            <w:tcW w:type="dxa" w:w="2018"/>
            <w:vAlign w:val="center"/>
            <w:tcMar>
              <w:top w:w="80" w:type="dxa"/>
              <w:start w:w="100" w:type="dxa"/>
              <w:bottom w:w="80" w:type="dxa"/>
              <w:end w:w="100" w:type="dxa"/>
            </w:tcMar>
          </w:tcPr>
          <w:p>
            <w:pPr>
              <w:spacing w:after="0" w:before="0"/>
            </w:pPr>
            <w:r>
              <w:rPr>
                <w:rFonts w:ascii="Aptos" w:hAnsi="Aptos"/>
                <w:sz w:val="14"/>
              </w:rPr>
              <w:t>P06, PDF-S. 20;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setzt auf Technologie und Produktivität statt verbindlicher Wirkungskriterien</w:t>
            </w:r>
          </w:p>
        </w:tc>
        <w:tc>
          <w:tcPr>
            <w:tcW w:type="dxa" w:w="2018"/>
            <w:vAlign w:val="center"/>
            <w:tcMar>
              <w:top w:w="80" w:type="dxa"/>
              <w:start w:w="100" w:type="dxa"/>
              <w:bottom w:w="80" w:type="dxa"/>
              <w:end w:w="100" w:type="dxa"/>
            </w:tcMar>
          </w:tcPr>
          <w:p>
            <w:pPr>
              <w:spacing w:after="0" w:before="0"/>
            </w:pPr>
            <w:r>
              <w:rPr>
                <w:rFonts w:ascii="Aptos" w:hAnsi="Aptos"/>
                <w:sz w:val="14"/>
              </w:rPr>
              <w:t>P07, PDF-S. 45; Vertrauen: mittel</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Wirkungsziele und Benchmarks werden festgelegt → Betriebe verändern Bewirtschaftung → Boden, Wasser und Lebensräume stabilisieren sich → Tierwohl steigt → öffentliche Gelder werden stärker ergebnisorientiert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Betriebswirtschaftliche Effekte treten kurzfristig ein; Boden-, Biodiversitäts- und Wasserwirkungen benötigen Jahre.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Landwirt*innen, Saisonarbeitskräfte, Verbraucher*innen, ländliche Räume, Tiere, Ökosysteme, Wasserwirtschaft.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Indikatoren, regionale Bedingungen und Kontrollkosten bestimmen die tatsächliche Wirkung.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Existenzgefährdung bäuerlicher Betriebe sowie Tierleid und irreversible Ökosystemschäden sind separat zu prüfen.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E07</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bessere Zielgenauigkeit öffentlicher Mittel</w:t>
            </w:r>
          </w:p>
        </w:tc>
        <w:tc>
          <w:tcPr>
            <w:tcW w:type="dxa" w:w="5046"/>
            <w:vAlign w:val="center"/>
            <w:tcMar>
              <w:top w:w="80" w:type="dxa"/>
              <w:start w:w="100" w:type="dxa"/>
              <w:bottom w:w="80" w:type="dxa"/>
              <w:end w:w="100" w:type="dxa"/>
            </w:tcMar>
          </w:tcPr>
          <w:p>
            <w:pPr>
              <w:spacing w:after="0" w:before="0"/>
            </w:pPr>
            <w:r>
              <w:rPr>
                <w:rFonts w:ascii="Aptos" w:hAnsi="Aptos"/>
                <w:sz w:val="16"/>
              </w:rPr>
              <w:t>• Mess- und Nachweisaufwand</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Stärkung von Ökosystemleistungen</w:t>
            </w:r>
          </w:p>
        </w:tc>
        <w:tc>
          <w:tcPr>
            <w:tcW w:type="dxa" w:w="5046"/>
            <w:vAlign w:val="center"/>
            <w:tcMar>
              <w:top w:w="80" w:type="dxa"/>
              <w:start w:w="100" w:type="dxa"/>
              <w:bottom w:w="80" w:type="dxa"/>
              <w:end w:w="100" w:type="dxa"/>
            </w:tcMar>
          </w:tcPr>
          <w:p>
            <w:pPr>
              <w:spacing w:after="0" w:before="0"/>
            </w:pPr>
            <w:r>
              <w:rPr>
                <w:rFonts w:ascii="Aptos" w:hAnsi="Aptos"/>
                <w:sz w:val="16"/>
              </w:rPr>
              <w:t>• Einkommensrisiken in der Übergangszeit</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geringere Folgekosten durch Nährstoffe, Pestizide und Bodendegradation</w:t>
            </w:r>
          </w:p>
        </w:tc>
        <w:tc>
          <w:tcPr>
            <w:tcW w:type="dxa" w:w="5046"/>
            <w:vAlign w:val="center"/>
            <w:tcMar>
              <w:top w:w="80" w:type="dxa"/>
              <w:start w:w="100" w:type="dxa"/>
              <w:bottom w:w="80" w:type="dxa"/>
              <w:end w:w="100" w:type="dxa"/>
            </w:tcMar>
          </w:tcPr>
          <w:p>
            <w:pPr>
              <w:spacing w:after="0" w:before="0"/>
            </w:pPr>
            <w:r>
              <w:rPr>
                <w:rFonts w:ascii="Aptos" w:hAnsi="Aptos"/>
                <w:sz w:val="16"/>
              </w:rPr>
              <w:t>• Verlagerung der Produktion in Länder mit geringeren Standards</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Transformationschance für regionale Betriebe</w:t>
            </w:r>
          </w:p>
        </w:tc>
        <w:tc>
          <w:tcPr>
            <w:tcW w:type="dxa" w:w="5046"/>
            <w:vAlign w:val="center"/>
            <w:tcMar>
              <w:top w:w="80" w:type="dxa"/>
              <w:start w:w="100" w:type="dxa"/>
              <w:bottom w:w="80" w:type="dxa"/>
              <w:end w:w="100" w:type="dxa"/>
            </w:tcMar>
          </w:tcPr>
          <w:p>
            <w:pPr>
              <w:spacing w:after="0" w:before="0"/>
            </w:pPr>
            <w:r>
              <w:rPr>
                <w:rFonts w:ascii="Aptos" w:hAnsi="Aptos"/>
                <w:sz w:val="16"/>
              </w:rPr>
              <w:t>• Zielkonflikte zwischen Ertrag, Ernährungssicherheit und Naturschutz</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Ressourcen &amp; Biodiversität</w:t>
            </w:r>
          </w:p>
        </w:tc>
        <w:tc>
          <w:tcPr>
            <w:tcW w:type="dxa" w:w="3364"/>
            <w:vAlign w:val="center"/>
            <w:tcMar>
              <w:top w:w="80" w:type="dxa"/>
              <w:start w:w="100" w:type="dxa"/>
              <w:bottom w:w="80" w:type="dxa"/>
              <w:end w:w="100" w:type="dxa"/>
            </w:tcMar>
          </w:tcPr>
          <w:p>
            <w:pPr>
              <w:spacing w:after="0" w:before="0"/>
            </w:pPr>
            <w:r>
              <w:rPr>
                <w:rFonts w:ascii="Aptos" w:hAnsi="Aptos"/>
                <w:sz w:val="16"/>
              </w:rPr>
              <w:t>+2 bis +3</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Klima &amp; Energie</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Bodenorganik · Nährstoffüberschuss · Pestizidrisiko · Tierwohlindikatoren · Artenvielfalt · Einkommen landwirtschaftlicher Haushalte · Förderanteil nach Leistung</w:t>
      </w:r>
    </w:p>
    <w:p>
      <w:pPr>
        <w:pStyle w:val="Heading3"/>
        <w:spacing w:after="80"/>
        <w:keepNext/>
      </w:pPr>
      <w:r>
        <w:t>Neutrale Ergebnis-Microcopy</w:t>
      </w:r>
    </w:p>
    <w:p>
      <w:pPr>
        <w:pStyle w:val="ListBullet"/>
        <w:spacing w:after="20" w:before="0"/>
      </w:pPr>
      <w:r>
        <w:t>„Bei Agrarförderung nach messbarer Wirkung besteht eine {hohe/mittlere/geringe} positionale Nähe.“</w:t>
      </w:r>
    </w:p>
    <w:p>
      <w:pPr>
        <w:pStyle w:val="ListBullet"/>
        <w:spacing w:after="20" w:before="0"/>
      </w:pPr>
      <w:r>
        <w:t>„Die Option Agrarförderung nach messbarer Wirkung weist vor allem in den Dimensionen Ressourcen &amp; Biodiversität, Klima &amp; Energie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1"/>
        <w:spacing w:after="80"/>
        <w:keepNext/>
        <w:pageBreakBefore w:val="true"/>
      </w:pPr>
      <w:r>
        <w:t>C. Wirtschaft, Finanzen &amp; Industrie</w:t>
      </w:r>
    </w:p>
    <w:p>
      <w:pPr>
        <w:spacing w:after="80"/>
      </w:pPr>
      <w:r>
        <w:t>Die folgenden vier Fragen bilden das Themenfeld ab. Jede Frage enthält Parteiposition und Wirkungsanalyse als getrennte Ebenen.</w:t>
      </w:r>
    </w:p>
    <w:p>
      <w:pPr>
        <w:pStyle w:val="Heading2"/>
        <w:spacing w:after="80"/>
        <w:keepNext/>
      </w:pPr>
      <w:r>
        <w:t>Q09 · Investitionsorientierte Schuldenregel</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Die Schuldenbremse soll so reformiert werden, dass zusätzliche, klar definierte Nettoinvestitionen in Infrastruktur, Bildung, Digitalisierung, Klimaschutz und Resilienz kreditfinanziert werden können.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unterscheidet Zukunftsinvestitionen von dauerhaft ungedecktem Konsum. Auch unterlassene Investitionen können künftige Lasten erzeugen.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Resilienz &amp; Generationengerechtigkeit, Gesundheit, Bildung &amp; Teilhabe, Soziale Sicherheit &amp; Fairness, Informationsqualität &amp; demokratischer Zusammenhalt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4, 7, 9, 11, 13, 16</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regelgebundene Investitionsklausel, Transparenz über Zusätzlichkeit, Tilgungs- und Tragfähigkeitsregeln sowie unabhängige Evaluation.</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hält ausdrücklich an der Schuldenbremse fest</w:t>
            </w:r>
          </w:p>
        </w:tc>
        <w:tc>
          <w:tcPr>
            <w:tcW w:type="dxa" w:w="2018"/>
            <w:vAlign w:val="center"/>
            <w:tcMar>
              <w:top w:w="80" w:type="dxa"/>
              <w:start w:w="100" w:type="dxa"/>
              <w:bottom w:w="80" w:type="dxa"/>
              <w:end w:w="100" w:type="dxa"/>
            </w:tcMar>
          </w:tcPr>
          <w:p>
            <w:pPr>
              <w:spacing w:after="0" w:before="0"/>
            </w:pPr>
            <w:r>
              <w:rPr>
                <w:rFonts w:ascii="Aptos" w:hAnsi="Aptos"/>
                <w:sz w:val="14"/>
              </w:rPr>
              <w:t>P01, PDF-S. 10;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Schuldenregel für Zukunftsinvestitionen reformieren</w:t>
            </w:r>
          </w:p>
        </w:tc>
        <w:tc>
          <w:tcPr>
            <w:tcW w:type="dxa" w:w="2018"/>
            <w:vAlign w:val="center"/>
            <w:tcMar>
              <w:top w:w="80" w:type="dxa"/>
              <w:start w:w="100" w:type="dxa"/>
              <w:bottom w:w="80" w:type="dxa"/>
              <w:end w:w="100" w:type="dxa"/>
            </w:tcMar>
          </w:tcPr>
          <w:p>
            <w:pPr>
              <w:spacing w:after="0" w:before="0"/>
            </w:pPr>
            <w:r>
              <w:rPr>
                <w:rFonts w:ascii="Aptos" w:hAnsi="Aptos"/>
                <w:sz w:val="14"/>
              </w:rPr>
              <w:t>P02, PDF-S. 17;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investitionsorientierte Reform und dauerhaft mehr Spielraum</w:t>
            </w:r>
          </w:p>
        </w:tc>
        <w:tc>
          <w:tcPr>
            <w:tcW w:type="dxa" w:w="2018"/>
            <w:vAlign w:val="center"/>
            <w:tcMar>
              <w:top w:w="80" w:type="dxa"/>
              <w:start w:w="100" w:type="dxa"/>
              <w:bottom w:w="80" w:type="dxa"/>
              <w:end w:w="100" w:type="dxa"/>
            </w:tcMar>
          </w:tcPr>
          <w:p>
            <w:pPr>
              <w:spacing w:after="0" w:before="0"/>
            </w:pPr>
            <w:r>
              <w:rPr>
                <w:rFonts w:ascii="Aptos" w:hAnsi="Aptos"/>
                <w:sz w:val="14"/>
              </w:rPr>
              <w:t>P03, PDF-S. 36;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hält an strikter Schuldenbegrenzung fest</w:t>
            </w:r>
          </w:p>
        </w:tc>
        <w:tc>
          <w:tcPr>
            <w:tcW w:type="dxa" w:w="2018"/>
            <w:vAlign w:val="center"/>
            <w:tcMar>
              <w:top w:w="80" w:type="dxa"/>
              <w:start w:w="100" w:type="dxa"/>
              <w:bottom w:w="80" w:type="dxa"/>
              <w:end w:w="100" w:type="dxa"/>
            </w:tcMar>
          </w:tcPr>
          <w:p>
            <w:pPr>
              <w:spacing w:after="0" w:before="0"/>
            </w:pPr>
            <w:r>
              <w:rPr>
                <w:rFonts w:ascii="Aptos" w:hAnsi="Aptos"/>
                <w:sz w:val="14"/>
              </w:rPr>
              <w:t>P04, PDF-S. 55;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Schuldenbremse abschaffen bzw. Investitionen ausnehmen</w:t>
            </w:r>
          </w:p>
        </w:tc>
        <w:tc>
          <w:tcPr>
            <w:tcW w:type="dxa" w:w="2018"/>
            <w:vAlign w:val="center"/>
            <w:tcMar>
              <w:top w:w="80" w:type="dxa"/>
              <w:start w:w="100" w:type="dxa"/>
              <w:bottom w:w="80" w:type="dxa"/>
              <w:end w:w="100" w:type="dxa"/>
            </w:tcMar>
          </w:tcPr>
          <w:p>
            <w:pPr>
              <w:spacing w:after="0" w:before="0"/>
            </w:pPr>
            <w:r>
              <w:rPr>
                <w:rFonts w:ascii="Aptos" w:hAnsi="Aptos"/>
                <w:sz w:val="14"/>
              </w:rPr>
              <w:t>P05, PDF-S. 13;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Infrastrukturinvestitionen aus der Schuldenbremse ausklammern</w:t>
            </w:r>
          </w:p>
        </w:tc>
        <w:tc>
          <w:tcPr>
            <w:tcW w:type="dxa" w:w="2018"/>
            <w:vAlign w:val="center"/>
            <w:tcMar>
              <w:top w:w="80" w:type="dxa"/>
              <w:start w:w="100" w:type="dxa"/>
              <w:bottom w:w="80" w:type="dxa"/>
              <w:end w:w="100" w:type="dxa"/>
            </w:tcMar>
          </w:tcPr>
          <w:p>
            <w:pPr>
              <w:spacing w:after="0" w:before="0"/>
            </w:pPr>
            <w:r>
              <w:rPr>
                <w:rFonts w:ascii="Aptos" w:hAnsi="Aptos"/>
                <w:sz w:val="14"/>
              </w:rPr>
              <w:t>P06, PDF-S. 15;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Aufweichung ab und fordert strikte Haushaltsregeln</w:t>
            </w:r>
          </w:p>
        </w:tc>
        <w:tc>
          <w:tcPr>
            <w:tcW w:type="dxa" w:w="2018"/>
            <w:vAlign w:val="center"/>
            <w:tcMar>
              <w:top w:w="80" w:type="dxa"/>
              <w:start w:w="100" w:type="dxa"/>
              <w:bottom w:w="80" w:type="dxa"/>
              <w:end w:w="100" w:type="dxa"/>
            </w:tcMar>
          </w:tcPr>
          <w:p>
            <w:pPr>
              <w:spacing w:after="0" w:before="0"/>
            </w:pPr>
            <w:r>
              <w:rPr>
                <w:rFonts w:ascii="Aptos" w:hAnsi="Aptos"/>
                <w:sz w:val="14"/>
              </w:rPr>
              <w:t>P07, PDF-S. 35;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zusätzlicher fiskalischer Spielraum → Investitionen in langlebige öffentliche Vermögenswerte → höhere Leistungsfähigkeit und Resilienz → Nutzen und Finanzierung werden über Generationen verteilt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Konjunkturelle Impulse wirken kurz- bis mittelfristig; Infrastruktur- und Produktivitätseffekte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Steuerzahlende, Nutzer*innen öffentlicher Infrastruktur, Bauwirtschaft, Länder und Kommunen, zukünftige Generationen.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Wirkung hängt von Zusätzlichkeit, Projektqualität, Baukapazitäten und Fiskalregeln ab.</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Haushaltstransparenz und demokratische Budgetkontrolle dürfen nicht durch Sonderkonstruktionen umgangen werden.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E08</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Abbau von Investitionsstau</w:t>
            </w:r>
          </w:p>
        </w:tc>
        <w:tc>
          <w:tcPr>
            <w:tcW w:type="dxa" w:w="5046"/>
            <w:vAlign w:val="center"/>
            <w:tcMar>
              <w:top w:w="80" w:type="dxa"/>
              <w:start w:w="100" w:type="dxa"/>
              <w:bottom w:w="80" w:type="dxa"/>
              <w:end w:w="100" w:type="dxa"/>
            </w:tcMar>
          </w:tcPr>
          <w:p>
            <w:pPr>
              <w:spacing w:after="0" w:before="0"/>
            </w:pPr>
            <w:r>
              <w:rPr>
                <w:rFonts w:ascii="Aptos" w:hAnsi="Aptos"/>
                <w:sz w:val="16"/>
              </w:rPr>
              <w:t>• Umdeklaration laufender Ausgaben als Investitionen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Stabilisierung in Krisen</w:t>
            </w:r>
          </w:p>
        </w:tc>
        <w:tc>
          <w:tcPr>
            <w:tcW w:type="dxa" w:w="5046"/>
            <w:vAlign w:val="center"/>
            <w:tcMar>
              <w:top w:w="80" w:type="dxa"/>
              <w:start w:w="100" w:type="dxa"/>
              <w:bottom w:w="80" w:type="dxa"/>
              <w:end w:w="100" w:type="dxa"/>
            </w:tcMar>
          </w:tcPr>
          <w:p>
            <w:pPr>
              <w:spacing w:after="0" w:before="0"/>
            </w:pPr>
            <w:r>
              <w:rPr>
                <w:rFonts w:ascii="Aptos" w:hAnsi="Aptos"/>
                <w:sz w:val="16"/>
              </w:rPr>
              <w:t>• höhere Zins- und Tilgungslasten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bessere öffentliche Infrastruktur</w:t>
            </w:r>
          </w:p>
        </w:tc>
        <w:tc>
          <w:tcPr>
            <w:tcW w:type="dxa" w:w="5046"/>
            <w:vAlign w:val="center"/>
            <w:tcMar>
              <w:top w:w="80" w:type="dxa"/>
              <w:start w:w="100" w:type="dxa"/>
              <w:bottom w:w="80" w:type="dxa"/>
              <w:end w:w="100" w:type="dxa"/>
            </w:tcMar>
          </w:tcPr>
          <w:p>
            <w:pPr>
              <w:spacing w:after="0" w:before="0"/>
            </w:pPr>
            <w:r>
              <w:rPr>
                <w:rFonts w:ascii="Aptos" w:hAnsi="Aptos"/>
                <w:sz w:val="16"/>
              </w:rPr>
              <w:t>• Verdrängung privater Investitionen bei Kapazitätsengpässen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Vermeidung von „Investitionsschulden“</w:t>
            </w:r>
          </w:p>
        </w:tc>
        <w:tc>
          <w:tcPr>
            <w:tcW w:type="dxa" w:w="5046"/>
            <w:vAlign w:val="center"/>
            <w:tcMar>
              <w:top w:w="80" w:type="dxa"/>
              <w:start w:w="100" w:type="dxa"/>
              <w:bottom w:w="80" w:type="dxa"/>
              <w:end w:w="100" w:type="dxa"/>
            </w:tcMar>
          </w:tcPr>
          <w:p>
            <w:pPr>
              <w:spacing w:after="0" w:before="0"/>
            </w:pPr>
            <w:r>
              <w:rPr>
                <w:rFonts w:ascii="Aptos" w:hAnsi="Aptos"/>
                <w:sz w:val="16"/>
              </w:rPr>
              <w:t>• ineffiziente Projekte ohne Priorisierung</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 bis +3</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Nettoinvestitionsquote · Zusätzlichkeit · Infrastrukturzustand · Zinslast · Projekt-Nutzen · kommunaler Investitionsstau</w:t>
      </w:r>
    </w:p>
    <w:p>
      <w:pPr>
        <w:pStyle w:val="Heading3"/>
        <w:spacing w:after="80"/>
        <w:keepNext/>
      </w:pPr>
      <w:r>
        <w:t>Neutrale Ergebnis-Microcopy</w:t>
      </w:r>
    </w:p>
    <w:p>
      <w:pPr>
        <w:pStyle w:val="ListBullet"/>
        <w:spacing w:after="20" w:before="0"/>
      </w:pPr>
      <w:r>
        <w:t>„Bei Investitionsorientierte Schuldenregel besteht eine {hohe/mittlere/geringe} positionale Nähe.“</w:t>
      </w:r>
    </w:p>
    <w:p>
      <w:pPr>
        <w:pStyle w:val="ListBullet"/>
        <w:spacing w:after="20" w:before="0"/>
      </w:pPr>
      <w:r>
        <w:t>„Die Option Investitionsorientierte Schuldenregel weist vor allem in den Dimensionen Resilienz &amp; Generationengerechtigkeit, Gesundheit, Bildung &amp; Teilhabe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Q10 · Stärkere Besteuerung sehr großer Vermögen und Erbschaften</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Sehr große Vermögen und Erbschaften sollen stärker zur Finanzierung öffentlicher Aufgaben beitragen. Betriebsvermögen soll nur dann entlastet werden, wenn Arbeitsplätze und Fortbestand tatsächlich gefährdet sind.</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verbindet Verteilungsgerechtigkeit mit Investitions- und Nachfolgewirkungen. Sie betrifft nicht gewöhnliches Wohneigentum oder kleine Erbschaften.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Soziale Sicherheit &amp; Fairness, Gesundheit, Bildung &amp; Teilhabe, Freiheit &amp; Selbstbestimmung, Resilienz &amp; Generationengerechtigkeit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1, 4, 10, 16</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hohe Freibeträge, progressivere Belastung sehr großer Übertragungen, weniger Ausnahmen, Stundung bei nachgewiesener Unternehmensgefährdung.</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Vermögensteuer ab und will Erbschaftsfreibeträge erhöhen</w:t>
            </w:r>
          </w:p>
        </w:tc>
        <w:tc>
          <w:tcPr>
            <w:tcW w:type="dxa" w:w="2018"/>
            <w:vAlign w:val="center"/>
            <w:tcMar>
              <w:top w:w="80" w:type="dxa"/>
              <w:start w:w="100" w:type="dxa"/>
              <w:bottom w:w="80" w:type="dxa"/>
              <w:end w:w="100" w:type="dxa"/>
            </w:tcMar>
          </w:tcPr>
          <w:p>
            <w:pPr>
              <w:spacing w:after="0" w:before="0"/>
            </w:pPr>
            <w:r>
              <w:rPr>
                <w:rFonts w:ascii="Aptos" w:hAnsi="Aptos"/>
                <w:sz w:val="14"/>
              </w:rPr>
              <w:t>P01, PDF-S. 34;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sehr hohe Vermögen und Erbschaften stärker heranziehen</w:t>
            </w:r>
          </w:p>
        </w:tc>
        <w:tc>
          <w:tcPr>
            <w:tcW w:type="dxa" w:w="2018"/>
            <w:vAlign w:val="center"/>
            <w:tcMar>
              <w:top w:w="80" w:type="dxa"/>
              <w:start w:w="100" w:type="dxa"/>
              <w:bottom w:w="80" w:type="dxa"/>
              <w:end w:w="100" w:type="dxa"/>
            </w:tcMar>
          </w:tcPr>
          <w:p>
            <w:pPr>
              <w:spacing w:after="0" w:before="0"/>
            </w:pPr>
            <w:r>
              <w:rPr>
                <w:rFonts w:ascii="Aptos" w:hAnsi="Aptos"/>
                <w:sz w:val="14"/>
              </w:rPr>
              <w:t>P02, PDF-S. 19;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höhere Belastung großer Vermögen und Erbschaften</w:t>
            </w:r>
          </w:p>
        </w:tc>
        <w:tc>
          <w:tcPr>
            <w:tcW w:type="dxa" w:w="2018"/>
            <w:vAlign w:val="center"/>
            <w:tcMar>
              <w:top w:w="80" w:type="dxa"/>
              <w:start w:w="100" w:type="dxa"/>
              <w:bottom w:w="80" w:type="dxa"/>
              <w:end w:w="100" w:type="dxa"/>
            </w:tcMar>
          </w:tcPr>
          <w:p>
            <w:pPr>
              <w:spacing w:after="0" w:before="0"/>
            </w:pPr>
            <w:r>
              <w:rPr>
                <w:rFonts w:ascii="Aptos" w:hAnsi="Aptos"/>
                <w:sz w:val="14"/>
              </w:rPr>
              <w:t>P03, PDF-S. 18;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Vermögensteuer ab und entlastet Vermögensübertragungen</w:t>
            </w:r>
          </w:p>
        </w:tc>
        <w:tc>
          <w:tcPr>
            <w:tcW w:type="dxa" w:w="2018"/>
            <w:vAlign w:val="center"/>
            <w:tcMar>
              <w:top w:w="80" w:type="dxa"/>
              <w:start w:w="100" w:type="dxa"/>
              <w:bottom w:w="80" w:type="dxa"/>
              <w:end w:w="100" w:type="dxa"/>
            </w:tcMar>
          </w:tcPr>
          <w:p>
            <w:pPr>
              <w:spacing w:after="0" w:before="0"/>
            </w:pPr>
            <w:r>
              <w:rPr>
                <w:rFonts w:ascii="Aptos" w:hAnsi="Aptos"/>
                <w:sz w:val="14"/>
              </w:rPr>
              <w:t>P04, PDF-S. 61;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Millionärs-/Vermögensteuer und schärfere Erbschaftsteuer</w:t>
            </w:r>
          </w:p>
        </w:tc>
        <w:tc>
          <w:tcPr>
            <w:tcW w:type="dxa" w:w="2018"/>
            <w:vAlign w:val="center"/>
            <w:tcMar>
              <w:top w:w="80" w:type="dxa"/>
              <w:start w:w="100" w:type="dxa"/>
              <w:bottom w:w="80" w:type="dxa"/>
              <w:end w:w="100" w:type="dxa"/>
            </w:tcMar>
          </w:tcPr>
          <w:p>
            <w:pPr>
              <w:spacing w:after="0" w:before="0"/>
            </w:pPr>
            <w:r>
              <w:rPr>
                <w:rFonts w:ascii="Aptos" w:hAnsi="Aptos"/>
                <w:sz w:val="14"/>
              </w:rPr>
              <w:t>P05, PDF-S. 10;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Vermögensteuer und stärkere Besteuerung großer Erbschaften</w:t>
            </w:r>
          </w:p>
        </w:tc>
        <w:tc>
          <w:tcPr>
            <w:tcW w:type="dxa" w:w="2018"/>
            <w:vAlign w:val="center"/>
            <w:tcMar>
              <w:top w:w="80" w:type="dxa"/>
              <w:start w:w="100" w:type="dxa"/>
              <w:bottom w:w="80" w:type="dxa"/>
              <w:end w:w="100" w:type="dxa"/>
            </w:tcMar>
          </w:tcPr>
          <w:p>
            <w:pPr>
              <w:spacing w:after="0" w:before="0"/>
            </w:pPr>
            <w:r>
              <w:rPr>
                <w:rFonts w:ascii="Aptos" w:hAnsi="Aptos"/>
                <w:sz w:val="14"/>
              </w:rPr>
              <w:t>P06, PDF-S. 16;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Vermögensteuer ab und will Erbschaftsteuer senken</w:t>
            </w:r>
          </w:p>
        </w:tc>
        <w:tc>
          <w:tcPr>
            <w:tcW w:type="dxa" w:w="2018"/>
            <w:vAlign w:val="center"/>
            <w:tcMar>
              <w:top w:w="80" w:type="dxa"/>
              <w:start w:w="100" w:type="dxa"/>
              <w:bottom w:w="80" w:type="dxa"/>
              <w:end w:w="100" w:type="dxa"/>
            </w:tcMar>
          </w:tcPr>
          <w:p>
            <w:pPr>
              <w:spacing w:after="0" w:before="0"/>
            </w:pPr>
            <w:r>
              <w:rPr>
                <w:rFonts w:ascii="Aptos" w:hAnsi="Aptos"/>
                <w:sz w:val="14"/>
              </w:rPr>
              <w:t>P07, PDF-S. 14;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höhere Beiträge großer Vermögen → mehr Einnahmen oder geringere Belastung anderer Gruppen → geringere dynastische Vermögenskonzentration → Finanzierung öffentlicher Leistungen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Verteilungs- und Einnahmewirkungen entstehen mittelfristig; Vermögenskonzentration verändert sich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Erbende großer Vermögen, Familienunternehmen, Beschäftigte, öffentliche Haushalte, Menschen ohne Erbschaftsperspektive.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mittel bis 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bis hoch: erhebliche Designabhängigkeit bei Freibeträgen, Bewertung, Stundung und internationaler Koordination.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Existenzfähige Unternehmen und Arbeitsplätze dürfen nicht pauschal als Steuervermeidungsargument oder als Kollateralschaden behandelt werden.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E09</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Stärkung von Chancengleichheit</w:t>
            </w:r>
          </w:p>
        </w:tc>
        <w:tc>
          <w:tcPr>
            <w:tcW w:type="dxa" w:w="5046"/>
            <w:vAlign w:val="center"/>
            <w:tcMar>
              <w:top w:w="80" w:type="dxa"/>
              <w:start w:w="100" w:type="dxa"/>
              <w:bottom w:w="80" w:type="dxa"/>
              <w:end w:w="100" w:type="dxa"/>
            </w:tcMar>
          </w:tcPr>
          <w:p>
            <w:pPr>
              <w:spacing w:after="0" w:before="0"/>
            </w:pPr>
            <w:r>
              <w:rPr>
                <w:rFonts w:ascii="Aptos" w:hAnsi="Aptos"/>
                <w:sz w:val="16"/>
              </w:rPr>
              <w:t>• Bewertungs- und Umgehungsprobleme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breitere Finanzierungsbasis</w:t>
            </w:r>
          </w:p>
        </w:tc>
        <w:tc>
          <w:tcPr>
            <w:tcW w:type="dxa" w:w="5046"/>
            <w:vAlign w:val="center"/>
            <w:tcMar>
              <w:top w:w="80" w:type="dxa"/>
              <w:start w:w="100" w:type="dxa"/>
              <w:bottom w:w="80" w:type="dxa"/>
              <w:end w:w="100" w:type="dxa"/>
            </w:tcMar>
          </w:tcPr>
          <w:p>
            <w:pPr>
              <w:spacing w:after="0" w:before="0"/>
            </w:pPr>
            <w:r>
              <w:rPr>
                <w:rFonts w:ascii="Aptos" w:hAnsi="Aptos"/>
                <w:sz w:val="16"/>
              </w:rPr>
              <w:t>• Liquiditätsrisiken bei illiquidem Betriebsvermögen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weniger steuerliche Privilegierung passiven Vermögenstransfers</w:t>
            </w:r>
          </w:p>
        </w:tc>
        <w:tc>
          <w:tcPr>
            <w:tcW w:type="dxa" w:w="5046"/>
            <w:vAlign w:val="center"/>
            <w:tcMar>
              <w:top w:w="80" w:type="dxa"/>
              <w:start w:w="100" w:type="dxa"/>
              <w:bottom w:w="80" w:type="dxa"/>
              <w:end w:w="100" w:type="dxa"/>
            </w:tcMar>
          </w:tcPr>
          <w:p>
            <w:pPr>
              <w:spacing w:after="0" w:before="0"/>
            </w:pPr>
            <w:r>
              <w:rPr>
                <w:rFonts w:ascii="Aptos" w:hAnsi="Aptos"/>
                <w:sz w:val="16"/>
              </w:rPr>
              <w:t>• Kapitalverlagerung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administrativer Aufwand</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Investitionshemmnisse bei schlechtem Design</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 bis 0</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0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effektive Steuersätze nach Vermögenshöhe · Steuerausnahmen · Unternehmensfortführungen · Vermögenskonzentration · Steueraufkommen · Ausweichreaktionen</w:t>
      </w:r>
    </w:p>
    <w:p>
      <w:pPr>
        <w:pStyle w:val="Heading3"/>
        <w:spacing w:after="80"/>
        <w:keepNext/>
      </w:pPr>
      <w:r>
        <w:t>Neutrale Ergebnis-Microcopy</w:t>
      </w:r>
    </w:p>
    <w:p>
      <w:pPr>
        <w:pStyle w:val="ListBullet"/>
        <w:spacing w:after="20" w:before="0"/>
      </w:pPr>
      <w:r>
        <w:t>„Bei Stärkere Besteuerung sehr großer Vermögen und Erbschaften besteht eine {hohe/mittlere/geringe} positionale Nähe.“</w:t>
      </w:r>
    </w:p>
    <w:p>
      <w:pPr>
        <w:pStyle w:val="ListBullet"/>
        <w:spacing w:after="20" w:before="0"/>
      </w:pPr>
      <w:r>
        <w:t>„Die Option Stärkere Besteuerung sehr großer Vermögen und Erbschaften weist vor allem in den Dimensionen Soziale Sicherheit &amp; Fairness, Gesundheit, Bildung &amp; Teilhabe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Q11 · Pauschale Entlastung von Unternehmen und Regulierung</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Unternehmenssteuern und regulatorische Pflichten sollen deutlich gesenkt werden, um Investitionen und Wettbewerbsfähigkeit zu stärken – auch wenn dadurch kurzfristig öffentliche Einnahmen sinken und Schutzstandards überprüft werden müssen.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macht sichtbar, ob Entlastung als generelles Wachstumsinstrument oder nur zielgerichtet für nachweisbare Investitionen eingesetzt werden soll.</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Freiheit &amp; Selbstbestimmung, Soziale Sicherheit &amp; Fairness, Resilienz &amp; Generationengerechtigkeit, Klima &amp; Energie, Informationsqualität &amp; demokratischer Zusammenhalt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8, 9, 10, 12, 16</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breite Steuer- und Regulierungssenkung. Sie ist von gezielten Investitionsanreizen oder rein administrativer Vereinfachung zu unterscheiden.</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breite Unternehmenssteuersenkungen und Bürokratieabbau</w:t>
            </w:r>
          </w:p>
        </w:tc>
        <w:tc>
          <w:tcPr>
            <w:tcW w:type="dxa" w:w="2018"/>
            <w:vAlign w:val="center"/>
            <w:tcMar>
              <w:top w:w="80" w:type="dxa"/>
              <w:start w:w="100" w:type="dxa"/>
              <w:bottom w:w="80" w:type="dxa"/>
              <w:end w:w="100" w:type="dxa"/>
            </w:tcMar>
          </w:tcPr>
          <w:p>
            <w:pPr>
              <w:spacing w:after="0" w:before="0"/>
            </w:pPr>
            <w:r>
              <w:rPr>
                <w:rFonts w:ascii="Aptos" w:hAnsi="Aptos"/>
                <w:sz w:val="14"/>
              </w:rPr>
              <w:t>P01, PDF-S. 17;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setzt auf gezielte Investitionsprämien statt pauschaler Senkung</w:t>
            </w:r>
          </w:p>
        </w:tc>
        <w:tc>
          <w:tcPr>
            <w:tcW w:type="dxa" w:w="2018"/>
            <w:vAlign w:val="center"/>
            <w:tcMar>
              <w:top w:w="80" w:type="dxa"/>
              <w:start w:w="100" w:type="dxa"/>
              <w:bottom w:w="80" w:type="dxa"/>
              <w:end w:w="100" w:type="dxa"/>
            </w:tcMar>
          </w:tcPr>
          <w:p>
            <w:pPr>
              <w:spacing w:after="0" w:before="0"/>
            </w:pPr>
            <w:r>
              <w:rPr>
                <w:rFonts w:ascii="Aptos" w:hAnsi="Aptos"/>
                <w:sz w:val="14"/>
              </w:rPr>
              <w:t>P02, PDF-S. 8;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setzt eher auf gezielte Investitionen und Standards als pauschale Senkung</w:t>
            </w:r>
          </w:p>
        </w:tc>
        <w:tc>
          <w:tcPr>
            <w:tcW w:type="dxa" w:w="2018"/>
            <w:vAlign w:val="center"/>
            <w:tcMar>
              <w:top w:w="80" w:type="dxa"/>
              <w:start w:w="100" w:type="dxa"/>
              <w:bottom w:w="80" w:type="dxa"/>
              <w:end w:w="100" w:type="dxa"/>
            </w:tcMar>
          </w:tcPr>
          <w:p>
            <w:pPr>
              <w:spacing w:after="0" w:before="0"/>
            </w:pPr>
            <w:r>
              <w:rPr>
                <w:rFonts w:ascii="Aptos" w:hAnsi="Aptos"/>
                <w:sz w:val="14"/>
              </w:rPr>
              <w:t>P03, PDF-S. 18;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deutliche Steuer- und Regulierungssenkung</w:t>
            </w:r>
          </w:p>
        </w:tc>
        <w:tc>
          <w:tcPr>
            <w:tcW w:type="dxa" w:w="2018"/>
            <w:vAlign w:val="center"/>
            <w:tcMar>
              <w:top w:w="80" w:type="dxa"/>
              <w:start w:w="100" w:type="dxa"/>
              <w:bottom w:w="80" w:type="dxa"/>
              <w:end w:w="100" w:type="dxa"/>
            </w:tcMar>
          </w:tcPr>
          <w:p>
            <w:pPr>
              <w:spacing w:after="0" w:before="0"/>
            </w:pPr>
            <w:r>
              <w:rPr>
                <w:rFonts w:ascii="Aptos" w:hAnsi="Aptos"/>
                <w:sz w:val="14"/>
              </w:rPr>
              <w:t>P04, PDF-S. 13;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Unternehmen und hohe Gewinne stärker belasten</w:t>
            </w:r>
          </w:p>
        </w:tc>
        <w:tc>
          <w:tcPr>
            <w:tcW w:type="dxa" w:w="2018"/>
            <w:vAlign w:val="center"/>
            <w:tcMar>
              <w:top w:w="80" w:type="dxa"/>
              <w:start w:w="100" w:type="dxa"/>
              <w:bottom w:w="80" w:type="dxa"/>
              <w:end w:w="100" w:type="dxa"/>
            </w:tcMar>
          </w:tcPr>
          <w:p>
            <w:pPr>
              <w:spacing w:after="0" w:before="0"/>
            </w:pPr>
            <w:r>
              <w:rPr>
                <w:rFonts w:ascii="Aptos" w:hAnsi="Aptos"/>
                <w:sz w:val="14"/>
              </w:rPr>
              <w:t>P05, PDF-S. 12;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Entlastung von Mittelstand und Bürokratie, zugleich aktive Industriepolitik</w:t>
            </w:r>
          </w:p>
        </w:tc>
        <w:tc>
          <w:tcPr>
            <w:tcW w:type="dxa" w:w="2018"/>
            <w:vAlign w:val="center"/>
            <w:tcMar>
              <w:top w:w="80" w:type="dxa"/>
              <w:start w:w="100" w:type="dxa"/>
              <w:bottom w:w="80" w:type="dxa"/>
              <w:end w:w="100" w:type="dxa"/>
            </w:tcMar>
          </w:tcPr>
          <w:p>
            <w:pPr>
              <w:spacing w:after="0" w:before="0"/>
            </w:pPr>
            <w:r>
              <w:rPr>
                <w:rFonts w:ascii="Aptos" w:hAnsi="Aptos"/>
                <w:sz w:val="14"/>
              </w:rPr>
              <w:t>P06, PDF-S. 13;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breite Steuersenkung, Deregulierung und schlanken Staat</w:t>
            </w:r>
          </w:p>
        </w:tc>
        <w:tc>
          <w:tcPr>
            <w:tcW w:type="dxa" w:w="2018"/>
            <w:vAlign w:val="center"/>
            <w:tcMar>
              <w:top w:w="80" w:type="dxa"/>
              <w:start w:w="100" w:type="dxa"/>
              <w:bottom w:w="80" w:type="dxa"/>
              <w:end w:w="100" w:type="dxa"/>
            </w:tcMar>
          </w:tcPr>
          <w:p>
            <w:pPr>
              <w:spacing w:after="0" w:before="0"/>
            </w:pPr>
            <w:r>
              <w:rPr>
                <w:rFonts w:ascii="Aptos" w:hAnsi="Aptos"/>
                <w:sz w:val="14"/>
              </w:rPr>
              <w:t>P07, PDF-S. 15;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geringere Steuer- und Compliancekosten → höhere erwartete Rendite → mögliche zusätzliche Investitionen und Gründungen → kurzfristig geringere Staatseinnahmen → abhängig vom Abbau können Schutzwirkungen sinken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Steuer- und Kosteneffekte entstehen kurzfristig; Investitions-, Beschäftigungs- und Einnahmewirkungen sind mittel- bis langfristig und konjunkturabhängig.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Unternehmen verschiedener Größen, Beschäftigte, öffentliche Haushalte, Verbraucher*innen, Umwelt und Kommunen.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mittel</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hoch: Effekte unterscheiden sich stark nach Steuerart, Konjunktur, Finanzierung und Art der Regulierung.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Menschenrechte, Arbeitsschutz, Produktsicherheit, Klima- und Rechtsstaatsstandards dürfen nicht als bloße Bürokratie kompensiert werden.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E10</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mehr unternehmerischer Handlungsspielraum</w:t>
            </w:r>
          </w:p>
        </w:tc>
        <w:tc>
          <w:tcPr>
            <w:tcW w:type="dxa" w:w="5046"/>
            <w:vAlign w:val="center"/>
            <w:tcMar>
              <w:top w:w="80" w:type="dxa"/>
              <w:start w:w="100" w:type="dxa"/>
              <w:bottom w:w="80" w:type="dxa"/>
              <w:end w:w="100" w:type="dxa"/>
            </w:tcMar>
          </w:tcPr>
          <w:p>
            <w:pPr>
              <w:spacing w:after="0" w:before="0"/>
            </w:pPr>
            <w:r>
              <w:rPr>
                <w:rFonts w:ascii="Aptos" w:hAnsi="Aptos"/>
                <w:sz w:val="16"/>
              </w:rPr>
              <w:t>• Mitnahmeeffekte ohne zusätzliche Investition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geringere Markteintrittskosten</w:t>
            </w:r>
          </w:p>
        </w:tc>
        <w:tc>
          <w:tcPr>
            <w:tcW w:type="dxa" w:w="5046"/>
            <w:vAlign w:val="center"/>
            <w:tcMar>
              <w:top w:w="80" w:type="dxa"/>
              <w:start w:w="100" w:type="dxa"/>
              <w:bottom w:w="80" w:type="dxa"/>
              <w:end w:w="100" w:type="dxa"/>
            </w:tcMar>
          </w:tcPr>
          <w:p>
            <w:pPr>
              <w:spacing w:after="0" w:before="0"/>
            </w:pPr>
            <w:r>
              <w:rPr>
                <w:rFonts w:ascii="Aptos" w:hAnsi="Aptos"/>
                <w:sz w:val="16"/>
              </w:rPr>
              <w:t>• Verlust öffentlicher Finanzierungsspielräume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schnellere Entscheidungen</w:t>
            </w:r>
          </w:p>
        </w:tc>
        <w:tc>
          <w:tcPr>
            <w:tcW w:type="dxa" w:w="5046"/>
            <w:vAlign w:val="center"/>
            <w:tcMar>
              <w:top w:w="80" w:type="dxa"/>
              <w:start w:w="100" w:type="dxa"/>
              <w:bottom w:w="80" w:type="dxa"/>
              <w:end w:w="100" w:type="dxa"/>
            </w:tcMar>
          </w:tcPr>
          <w:p>
            <w:pPr>
              <w:spacing w:after="0" w:before="0"/>
            </w:pPr>
            <w:r>
              <w:rPr>
                <w:rFonts w:ascii="Aptos" w:hAnsi="Aptos"/>
                <w:sz w:val="16"/>
              </w:rPr>
              <w:t>• Abbau wirksamer Umwelt-, Arbeits- oder Verbraucherstandards</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potenziell höhere private Investitionen</w:t>
            </w:r>
          </w:p>
        </w:tc>
        <w:tc>
          <w:tcPr>
            <w:tcW w:type="dxa" w:w="5046"/>
            <w:vAlign w:val="center"/>
            <w:tcMar>
              <w:top w:w="80" w:type="dxa"/>
              <w:start w:w="100" w:type="dxa"/>
              <w:bottom w:w="80" w:type="dxa"/>
              <w:end w:w="100" w:type="dxa"/>
            </w:tcMar>
          </w:tcPr>
          <w:p>
            <w:pPr>
              <w:spacing w:after="0" w:before="0"/>
            </w:pPr>
            <w:r>
              <w:rPr>
                <w:rFonts w:ascii="Aptos" w:hAnsi="Aptos"/>
                <w:sz w:val="16"/>
              </w:rPr>
              <w:t>• Vorteile konzentrieren sich bei profitablen Unternehmen</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Klima &amp; Energie</w:t>
            </w:r>
          </w:p>
        </w:tc>
        <w:tc>
          <w:tcPr>
            <w:tcW w:type="dxa" w:w="3364"/>
            <w:vAlign w:val="center"/>
            <w:tcMar>
              <w:top w:w="80" w:type="dxa"/>
              <w:start w:w="100" w:type="dxa"/>
              <w:bottom w:w="80" w:type="dxa"/>
              <w:end w:w="100" w:type="dxa"/>
            </w:tcMar>
          </w:tcPr>
          <w:p>
            <w:pPr>
              <w:spacing w:after="0" w:before="0"/>
            </w:pPr>
            <w:r>
              <w:rPr>
                <w:rFonts w:ascii="Aptos" w:hAnsi="Aptos"/>
                <w:sz w:val="16"/>
              </w:rPr>
              <w:t>−1 bis 0</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private Investitionen · Unternehmensgründungen · effektive Steuerquote · zusätzliche Beschäftigung · öffentliche Einnahmen · Schutzstandard-Verstöße</w:t>
      </w:r>
    </w:p>
    <w:p>
      <w:pPr>
        <w:pStyle w:val="Heading3"/>
        <w:spacing w:after="80"/>
        <w:keepNext/>
      </w:pPr>
      <w:r>
        <w:t>Neutrale Ergebnis-Microcopy</w:t>
      </w:r>
    </w:p>
    <w:p>
      <w:pPr>
        <w:pStyle w:val="ListBullet"/>
        <w:spacing w:after="20" w:before="0"/>
      </w:pPr>
      <w:r>
        <w:t>„Bei Pauschale Entlastung von Unternehmen und Regulierung besteht eine {hohe/mittlere/geringe} positionale Nähe.“</w:t>
      </w:r>
    </w:p>
    <w:p>
      <w:pPr>
        <w:pStyle w:val="ListBullet"/>
        <w:spacing w:after="20" w:before="0"/>
      </w:pPr>
      <w:r>
        <w:t>„Die Option Pauschale Entlastung von Unternehmen und Regulierung weist vor allem in den Dimensionen Freiheit &amp; Selbstbestimmung, Soziale Sicherheit &amp; Fairness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Q12 · Industrieförderung mit verbindlichen Bedingungen</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Staatliche Industriehilfen sollen nur vergeben werden, wenn Unternehmen verbindliche Zusagen zu Standort, Beschäftigung, Transformation, Tarifstandards und transparenter Mittelverwendung erfüllen.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Öffentliche Förderung kann Transformation beschleunigen, aber auch Gewinne privatisieren und Risiken sozialisieren. Bedingungen schaffen eine Wirkungsrückkopplung.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Soziale Sicherheit &amp; Fairness, Klima &amp; Energie, Resilienz &amp; Generationengerechtigkeit, Informationsqualität &amp; demokratischer Zusammenhalt, Freiheit &amp; Selbstbestimmung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8, 9, 10, 12, 13, 16</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zeitlich befristete, transparente Förderung mit messbaren Bedingungen, Rückzahlungsklauseln und öffentlicher Evaluation.</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unterstützt Industrie, aber verbindliche soziale/klimatische Bedingungen nicht klar</w:t>
            </w:r>
          </w:p>
        </w:tc>
        <w:tc>
          <w:tcPr>
            <w:tcW w:type="dxa" w:w="2018"/>
            <w:vAlign w:val="center"/>
            <w:tcMar>
              <w:top w:w="80" w:type="dxa"/>
              <w:start w:w="100" w:type="dxa"/>
              <w:bottom w:w="80" w:type="dxa"/>
              <w:end w:w="100" w:type="dxa"/>
            </w:tcMar>
          </w:tcPr>
          <w:p>
            <w:pPr>
              <w:spacing w:after="0" w:before="0"/>
            </w:pPr>
            <w:r>
              <w:rPr>
                <w:rFonts w:ascii="Aptos" w:hAnsi="Aptos"/>
                <w:sz w:val="14"/>
              </w:rPr>
              <w:t>P01, PDF-S. 20;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knüpft Unterstützung an Jobs, Standort und Transformation</w:t>
            </w:r>
          </w:p>
        </w:tc>
        <w:tc>
          <w:tcPr>
            <w:tcW w:type="dxa" w:w="2018"/>
            <w:vAlign w:val="center"/>
            <w:tcMar>
              <w:top w:w="80" w:type="dxa"/>
              <w:start w:w="100" w:type="dxa"/>
              <w:bottom w:w="80" w:type="dxa"/>
              <w:end w:w="100" w:type="dxa"/>
            </w:tcMar>
          </w:tcPr>
          <w:p>
            <w:pPr>
              <w:spacing w:after="0" w:before="0"/>
            </w:pPr>
            <w:r>
              <w:rPr>
                <w:rFonts w:ascii="Aptos" w:hAnsi="Aptos"/>
                <w:sz w:val="14"/>
              </w:rPr>
              <w:t>P02, PDF-S. 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aktive, konditionierte Transformations- und Industriepolitik</w:t>
            </w:r>
          </w:p>
        </w:tc>
        <w:tc>
          <w:tcPr>
            <w:tcW w:type="dxa" w:w="2018"/>
            <w:vAlign w:val="center"/>
            <w:tcMar>
              <w:top w:w="80" w:type="dxa"/>
              <w:start w:w="100" w:type="dxa"/>
              <w:bottom w:w="80" w:type="dxa"/>
              <w:end w:w="100" w:type="dxa"/>
            </w:tcMar>
          </w:tcPr>
          <w:p>
            <w:pPr>
              <w:spacing w:after="0" w:before="0"/>
            </w:pPr>
            <w:r>
              <w:rPr>
                <w:rFonts w:ascii="Aptos" w:hAnsi="Aptos"/>
                <w:sz w:val="14"/>
              </w:rPr>
              <w:t>P03, PDF-S. 40;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wendet sich gegen klimapolitische Subventionslenkung</w:t>
            </w:r>
          </w:p>
        </w:tc>
        <w:tc>
          <w:tcPr>
            <w:tcW w:type="dxa" w:w="2018"/>
            <w:vAlign w:val="center"/>
            <w:tcMar>
              <w:top w:w="80" w:type="dxa"/>
              <w:start w:w="100" w:type="dxa"/>
              <w:bottom w:w="80" w:type="dxa"/>
              <w:end w:w="100" w:type="dxa"/>
            </w:tcMar>
          </w:tcPr>
          <w:p>
            <w:pPr>
              <w:spacing w:after="0" w:before="0"/>
            </w:pPr>
            <w:r>
              <w:rPr>
                <w:rFonts w:ascii="Aptos" w:hAnsi="Aptos"/>
                <w:sz w:val="14"/>
              </w:rPr>
              <w:t>P04, PDF-S. 41;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öffentliche Beteiligung und strenge Beschäftigungs-/Transformationsauflagen</w:t>
            </w:r>
          </w:p>
        </w:tc>
        <w:tc>
          <w:tcPr>
            <w:tcW w:type="dxa" w:w="2018"/>
            <w:vAlign w:val="center"/>
            <w:tcMar>
              <w:top w:w="80" w:type="dxa"/>
              <w:start w:w="100" w:type="dxa"/>
              <w:bottom w:w="80" w:type="dxa"/>
              <w:end w:w="100" w:type="dxa"/>
            </w:tcMar>
          </w:tcPr>
          <w:p>
            <w:pPr>
              <w:spacing w:after="0" w:before="0"/>
            </w:pPr>
            <w:r>
              <w:rPr>
                <w:rFonts w:ascii="Aptos" w:hAnsi="Aptos"/>
                <w:sz w:val="14"/>
              </w:rPr>
              <w:t>P05, PDF-S. 30;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aktive Industriepolitik, Standortbindung und Tarifauflagen</w:t>
            </w:r>
          </w:p>
        </w:tc>
        <w:tc>
          <w:tcPr>
            <w:tcW w:type="dxa" w:w="2018"/>
            <w:vAlign w:val="center"/>
            <w:tcMar>
              <w:top w:w="80" w:type="dxa"/>
              <w:start w:w="100" w:type="dxa"/>
              <w:bottom w:w="80" w:type="dxa"/>
              <w:end w:w="100" w:type="dxa"/>
            </w:tcMar>
          </w:tcPr>
          <w:p>
            <w:pPr>
              <w:spacing w:after="0" w:before="0"/>
            </w:pPr>
            <w:r>
              <w:rPr>
                <w:rFonts w:ascii="Aptos" w:hAnsi="Aptos"/>
                <w:sz w:val="14"/>
              </w:rPr>
              <w:t>P06, PDF-S. 13;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Subventionen zurückfahren und Staatsbeteiligungen veräußern</w:t>
            </w:r>
          </w:p>
        </w:tc>
        <w:tc>
          <w:tcPr>
            <w:tcW w:type="dxa" w:w="2018"/>
            <w:vAlign w:val="center"/>
            <w:tcMar>
              <w:top w:w="80" w:type="dxa"/>
              <w:start w:w="100" w:type="dxa"/>
              <w:bottom w:w="80" w:type="dxa"/>
              <w:end w:w="100" w:type="dxa"/>
            </w:tcMar>
          </w:tcPr>
          <w:p>
            <w:pPr>
              <w:spacing w:after="0" w:before="0"/>
            </w:pPr>
            <w:r>
              <w:rPr>
                <w:rFonts w:ascii="Aptos" w:hAnsi="Aptos"/>
                <w:sz w:val="14"/>
              </w:rPr>
              <w:t>P07, PDF-S. 36;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öffentliche Mittel senken Investitionsrisiken → Unternehmen investieren in strategische Technologien → Bedingungen sichern Jobs und Transformation → Evaluation und Rückforderung begrenzen Mitnahme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Investitions- und Standorteffekte können kurzfristig beginnen; Transformations- und Innovationswirkungen sind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Industriebeschäftigte, Regionen, Unternehmen, Zulieferer, Steuerzahlende, zukünftige Generationen.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mittel bis 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stark abhängig von Auswahlverfahren, Konditionalität, europäischem Beihilferecht und Evaluation.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Förderung darf keine schweren Umwelt-, Arbeits- oder Korruptionsverstöße legitimieren.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E08, E10</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Beschleunigung industrieller Erneuerung</w:t>
            </w:r>
          </w:p>
        </w:tc>
        <w:tc>
          <w:tcPr>
            <w:tcW w:type="dxa" w:w="5046"/>
            <w:vAlign w:val="center"/>
            <w:tcMar>
              <w:top w:w="80" w:type="dxa"/>
              <w:start w:w="100" w:type="dxa"/>
              <w:bottom w:w="80" w:type="dxa"/>
              <w:end w:w="100" w:type="dxa"/>
            </w:tcMar>
          </w:tcPr>
          <w:p>
            <w:pPr>
              <w:spacing w:after="0" w:before="0"/>
            </w:pPr>
            <w:r>
              <w:rPr>
                <w:rFonts w:ascii="Aptos" w:hAnsi="Aptos"/>
                <w:sz w:val="16"/>
              </w:rPr>
              <w:t>• politische Fehlallokation und Lobbyeinfluss</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Schutz von Wertschöpfung und Beschäftigung</w:t>
            </w:r>
          </w:p>
        </w:tc>
        <w:tc>
          <w:tcPr>
            <w:tcW w:type="dxa" w:w="5046"/>
            <w:vAlign w:val="center"/>
            <w:tcMar>
              <w:top w:w="80" w:type="dxa"/>
              <w:start w:w="100" w:type="dxa"/>
              <w:bottom w:w="80" w:type="dxa"/>
              <w:end w:w="100" w:type="dxa"/>
            </w:tcMar>
          </w:tcPr>
          <w:p>
            <w:pPr>
              <w:spacing w:after="0" w:before="0"/>
            </w:pPr>
            <w:r>
              <w:rPr>
                <w:rFonts w:ascii="Aptos" w:hAnsi="Aptos"/>
                <w:sz w:val="16"/>
              </w:rPr>
              <w:t>• Festhalten an nicht tragfähigen Geschäftsmodellen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Aufbau strategischer Fähigkeiten</w:t>
            </w:r>
          </w:p>
        </w:tc>
        <w:tc>
          <w:tcPr>
            <w:tcW w:type="dxa" w:w="5046"/>
            <w:vAlign w:val="center"/>
            <w:tcMar>
              <w:top w:w="80" w:type="dxa"/>
              <w:start w:w="100" w:type="dxa"/>
              <w:bottom w:w="80" w:type="dxa"/>
              <w:end w:w="100" w:type="dxa"/>
            </w:tcMar>
          </w:tcPr>
          <w:p>
            <w:pPr>
              <w:spacing w:after="0" w:before="0"/>
            </w:pPr>
            <w:r>
              <w:rPr>
                <w:rFonts w:ascii="Aptos" w:hAnsi="Aptos"/>
                <w:sz w:val="16"/>
              </w:rPr>
              <w:t>• Wettbewerbsverzerrung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höhere öffentliche Gegenleistung</w:t>
            </w:r>
          </w:p>
        </w:tc>
        <w:tc>
          <w:tcPr>
            <w:tcW w:type="dxa" w:w="5046"/>
            <w:vAlign w:val="center"/>
            <w:tcMar>
              <w:top w:w="80" w:type="dxa"/>
              <w:start w:w="100" w:type="dxa"/>
              <w:bottom w:w="80" w:type="dxa"/>
              <w:end w:w="100" w:type="dxa"/>
            </w:tcMar>
          </w:tcPr>
          <w:p>
            <w:pPr>
              <w:spacing w:after="0" w:before="0"/>
            </w:pPr>
            <w:r>
              <w:rPr>
                <w:rFonts w:ascii="Aptos" w:hAnsi="Aptos"/>
                <w:sz w:val="16"/>
              </w:rPr>
              <w:t>• hohe fiskalische Risiken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komplexe Kontrolle</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Klima &amp; Energie</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 bis 0</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zusätzliche Investitionen · gesicherte Arbeitsplätze · Tarifbindung · Transformationsmeilensteine · Rückforderungsfälle · öffentliche Kosten je Wirkungseinheit</w:t>
      </w:r>
    </w:p>
    <w:p>
      <w:pPr>
        <w:pStyle w:val="Heading3"/>
        <w:spacing w:after="80"/>
        <w:keepNext/>
      </w:pPr>
      <w:r>
        <w:t>Neutrale Ergebnis-Microcopy</w:t>
      </w:r>
    </w:p>
    <w:p>
      <w:pPr>
        <w:pStyle w:val="ListBullet"/>
        <w:spacing w:after="20" w:before="0"/>
      </w:pPr>
      <w:r>
        <w:t>„Bei Industrieförderung mit verbindlichen Bedingungen besteht eine {hohe/mittlere/geringe} positionale Nähe.“</w:t>
      </w:r>
    </w:p>
    <w:p>
      <w:pPr>
        <w:pStyle w:val="ListBullet"/>
        <w:spacing w:after="20" w:before="0"/>
      </w:pPr>
      <w:r>
        <w:t>„Die Option Industrieförderung mit verbindlichen Bedingungen weist vor allem in den Dimensionen Soziale Sicherheit &amp; Fairness, Klima &amp; Energie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1"/>
        <w:spacing w:after="80"/>
        <w:keepNext/>
        <w:pageBreakBefore w:val="true"/>
      </w:pPr>
      <w:r>
        <w:t>D. Arbeit, soziale Sicherung &amp; Gesundheit</w:t>
      </w:r>
    </w:p>
    <w:p>
      <w:pPr>
        <w:spacing w:after="80"/>
      </w:pPr>
      <w:r>
        <w:t>Die folgenden vier Fragen bilden das Themenfeld ab. Jede Frage enthält Parteiposition und Wirkungsanalyse als getrennte Ebenen.</w:t>
      </w:r>
    </w:p>
    <w:p>
      <w:pPr>
        <w:pStyle w:val="Heading2"/>
        <w:spacing w:after="80"/>
        <w:keepNext/>
      </w:pPr>
      <w:r>
        <w:t>Q13 · Mindestlohn 15 Euro und Tariftreue</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Der gesetzliche Mindestlohn soll auf 15 Euro steigen. Öffentliche Aufträge und Förderungen sollen grundsätzlich nur an Unternehmen gehen, die Tariflöhne oder gleichwertige Arbeitsbedingungen einhalten.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verbindet eine Lohnuntergrenze mit der Wirkung öffentlicher Nachfrage auf Tarifbindung und faire Arbeit.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Soziale Sicherheit &amp; Fairness, Gesundheit, Bildung &amp; Teilhabe, Resilienz &amp; Generationengerechtigkeit, Freiheit &amp; Selbstbestimmung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1, 3, 5, 8, 10</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15 Euro Mindestlohn plus Tariftreue bei öffentlichen Geldern; Ausnahmen und Übergänge müssen transparent sein.</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gegen politisch festgelegte 15 Euro; Mindestlohnkommission und Tarifautonomie</w:t>
            </w:r>
          </w:p>
        </w:tc>
        <w:tc>
          <w:tcPr>
            <w:tcW w:type="dxa" w:w="2018"/>
            <w:vAlign w:val="center"/>
            <w:tcMar>
              <w:top w:w="80" w:type="dxa"/>
              <w:start w:w="100" w:type="dxa"/>
              <w:bottom w:w="80" w:type="dxa"/>
              <w:end w:w="100" w:type="dxa"/>
            </w:tcMar>
          </w:tcPr>
          <w:p>
            <w:pPr>
              <w:spacing w:after="0" w:before="0"/>
            </w:pPr>
            <w:r>
              <w:rPr>
                <w:rFonts w:ascii="Aptos" w:hAnsi="Aptos"/>
                <w:sz w:val="14"/>
              </w:rPr>
              <w:t>P01, PDF-S. 32;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15 Euro und Bundestariftreue</w:t>
            </w:r>
          </w:p>
        </w:tc>
        <w:tc>
          <w:tcPr>
            <w:tcW w:type="dxa" w:w="2018"/>
            <w:vAlign w:val="center"/>
            <w:tcMar>
              <w:top w:w="80" w:type="dxa"/>
              <w:start w:w="100" w:type="dxa"/>
              <w:bottom w:w="80" w:type="dxa"/>
              <w:end w:w="100" w:type="dxa"/>
            </w:tcMar>
          </w:tcPr>
          <w:p>
            <w:pPr>
              <w:spacing w:after="0" w:before="0"/>
            </w:pPr>
            <w:r>
              <w:rPr>
                <w:rFonts w:ascii="Aptos" w:hAnsi="Aptos"/>
                <w:sz w:val="14"/>
              </w:rPr>
              <w:t>P02, PDF-S. 23;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15 Euro, Tariftreue und stärkere Tarifbindung</w:t>
            </w:r>
          </w:p>
        </w:tc>
        <w:tc>
          <w:tcPr>
            <w:tcW w:type="dxa" w:w="2018"/>
            <w:vAlign w:val="center"/>
            <w:tcMar>
              <w:top w:w="80" w:type="dxa"/>
              <w:start w:w="100" w:type="dxa"/>
              <w:bottom w:w="80" w:type="dxa"/>
              <w:end w:w="100" w:type="dxa"/>
            </w:tcMar>
          </w:tcPr>
          <w:p>
            <w:pPr>
              <w:spacing w:after="0" w:before="0"/>
            </w:pPr>
            <w:r>
              <w:rPr>
                <w:rFonts w:ascii="Aptos" w:hAnsi="Aptos"/>
                <w:sz w:val="14"/>
              </w:rPr>
              <w:t>P03, PDF-S. 67;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kein allgemeines 15-Euro-Ziel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P04, PDF-S. 23;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15 Euro und umfassende Tariftreue</w:t>
            </w:r>
          </w:p>
        </w:tc>
        <w:tc>
          <w:tcPr>
            <w:tcW w:type="dxa" w:w="2018"/>
            <w:vAlign w:val="center"/>
            <w:tcMar>
              <w:top w:w="80" w:type="dxa"/>
              <w:start w:w="100" w:type="dxa"/>
              <w:bottom w:w="80" w:type="dxa"/>
              <w:end w:w="100" w:type="dxa"/>
            </w:tcMar>
          </w:tcPr>
          <w:p>
            <w:pPr>
              <w:spacing w:after="0" w:before="0"/>
            </w:pPr>
            <w:r>
              <w:rPr>
                <w:rFonts w:ascii="Aptos" w:hAnsi="Aptos"/>
                <w:sz w:val="14"/>
              </w:rPr>
              <w:t>P05, PDF-S. 26;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unverzüglich 15 Euro und Subventionen nur bei Tariflohn</w:t>
            </w:r>
          </w:p>
        </w:tc>
        <w:tc>
          <w:tcPr>
            <w:tcW w:type="dxa" w:w="2018"/>
            <w:vAlign w:val="center"/>
            <w:tcMar>
              <w:top w:w="80" w:type="dxa"/>
              <w:start w:w="100" w:type="dxa"/>
              <w:bottom w:w="80" w:type="dxa"/>
              <w:end w:w="100" w:type="dxa"/>
            </w:tcMar>
          </w:tcPr>
          <w:p>
            <w:pPr>
              <w:spacing w:after="0" w:before="0"/>
            </w:pPr>
            <w:r>
              <w:rPr>
                <w:rFonts w:ascii="Aptos" w:hAnsi="Aptos"/>
                <w:sz w:val="14"/>
              </w:rPr>
              <w:t>P06, PDF-S. 21;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gegen politischen Eingriff in Mindestlohnkommission</w:t>
            </w:r>
          </w:p>
        </w:tc>
        <w:tc>
          <w:tcPr>
            <w:tcW w:type="dxa" w:w="2018"/>
            <w:vAlign w:val="center"/>
            <w:tcMar>
              <w:top w:w="80" w:type="dxa"/>
              <w:start w:w="100" w:type="dxa"/>
              <w:bottom w:w="80" w:type="dxa"/>
              <w:end w:w="100" w:type="dxa"/>
            </w:tcMar>
          </w:tcPr>
          <w:p>
            <w:pPr>
              <w:spacing w:after="0" w:before="0"/>
            </w:pPr>
            <w:r>
              <w:rPr>
                <w:rFonts w:ascii="Aptos" w:hAnsi="Aptos"/>
                <w:sz w:val="14"/>
              </w:rPr>
              <w:t>P07, PDF-S. 18;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höhere Löhne am unteren Rand → mehr Kaufkraft und geringere Erwerbsarmut → Anpassung von Preisen, Produktivität und Arbeitsnachfrage → öffentliche Beschaffung stärkt Tarifstandards</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Lohn- und Kosteneffekte treten sofort ein; Beschäftigungs-, Produktivitäts- und Armutswirkungen zeigen sich über mehrere Jahre.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Niedriglohnbeschäftigte, Frauen, Minijobber*innen, kleine Betriebe, Verbraucher*innen, öffentliche Auftraggeber.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Beschäftigungseffekte hängen von Höhe, Konjunktur, Produktivität und Durchsetzung ab.</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Existenzsichernde Arbeit und Schutz vor Ausbeutung sind Mindestbedingungen; Unternehmensschließungen dürfen zugleich nicht ignoriert werden.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E11, E12</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geringere Lohnarmut</w:t>
            </w:r>
          </w:p>
        </w:tc>
        <w:tc>
          <w:tcPr>
            <w:tcW w:type="dxa" w:w="5046"/>
            <w:vAlign w:val="center"/>
            <w:tcMar>
              <w:top w:w="80" w:type="dxa"/>
              <w:start w:w="100" w:type="dxa"/>
              <w:bottom w:w="80" w:type="dxa"/>
              <w:end w:w="100" w:type="dxa"/>
            </w:tcMar>
          </w:tcPr>
          <w:p>
            <w:pPr>
              <w:spacing w:after="0" w:before="0"/>
            </w:pPr>
            <w:r>
              <w:rPr>
                <w:rFonts w:ascii="Aptos" w:hAnsi="Aptos"/>
                <w:sz w:val="16"/>
              </w:rPr>
              <w:t>• Kosten- und Preisdruck in margenschwachen Branchen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Stärkung von Binnennachfrage und Sozialbeiträgen</w:t>
            </w:r>
          </w:p>
        </w:tc>
        <w:tc>
          <w:tcPr>
            <w:tcW w:type="dxa" w:w="5046"/>
            <w:vAlign w:val="center"/>
            <w:tcMar>
              <w:top w:w="80" w:type="dxa"/>
              <w:start w:w="100" w:type="dxa"/>
              <w:bottom w:w="80" w:type="dxa"/>
              <w:end w:w="100" w:type="dxa"/>
            </w:tcMar>
          </w:tcPr>
          <w:p>
            <w:pPr>
              <w:spacing w:after="0" w:before="0"/>
            </w:pPr>
            <w:r>
              <w:rPr>
                <w:rFonts w:ascii="Aptos" w:hAnsi="Aptos"/>
                <w:sz w:val="16"/>
              </w:rPr>
              <w:t>• Arbeitszeit- oder Beschäftigungsanpassungen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weniger Unterbietungswettbewerb bei öffentlichen Aufträgen</w:t>
            </w:r>
          </w:p>
        </w:tc>
        <w:tc>
          <w:tcPr>
            <w:tcW w:type="dxa" w:w="5046"/>
            <w:vAlign w:val="center"/>
            <w:tcMar>
              <w:top w:w="80" w:type="dxa"/>
              <w:start w:w="100" w:type="dxa"/>
              <w:bottom w:w="80" w:type="dxa"/>
              <w:end w:w="100" w:type="dxa"/>
            </w:tcMar>
          </w:tcPr>
          <w:p>
            <w:pPr>
              <w:spacing w:after="0" w:before="0"/>
            </w:pPr>
            <w:r>
              <w:rPr>
                <w:rFonts w:ascii="Aptos" w:hAnsi="Aptos"/>
                <w:sz w:val="16"/>
              </w:rPr>
              <w:t>• Belastung kleiner Betriebe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mögliche Verringerung geschlechtsspezifischer Lohnlücken</w:t>
            </w:r>
          </w:p>
        </w:tc>
        <w:tc>
          <w:tcPr>
            <w:tcW w:type="dxa" w:w="5046"/>
            <w:vAlign w:val="center"/>
            <w:tcMar>
              <w:top w:w="80" w:type="dxa"/>
              <w:start w:w="100" w:type="dxa"/>
              <w:bottom w:w="80" w:type="dxa"/>
              <w:end w:w="100" w:type="dxa"/>
            </w:tcMar>
          </w:tcPr>
          <w:p>
            <w:pPr>
              <w:spacing w:after="0" w:before="0"/>
            </w:pPr>
            <w:r>
              <w:rPr>
                <w:rFonts w:ascii="Aptos" w:hAnsi="Aptos"/>
                <w:sz w:val="16"/>
              </w:rPr>
              <w:t>• Ausweichstrategien und Kontrolldefizite</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 bis 0</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Stundenlöhne · Niedriglohnquote · Beschäftigung und Arbeitszeit · Tarifbindung · Preisentwicklung · Kontrollverstöße</w:t>
      </w:r>
    </w:p>
    <w:p>
      <w:pPr>
        <w:pStyle w:val="Heading3"/>
        <w:spacing w:after="80"/>
        <w:keepNext/>
      </w:pPr>
      <w:r>
        <w:t>Neutrale Ergebnis-Microcopy</w:t>
      </w:r>
    </w:p>
    <w:p>
      <w:pPr>
        <w:pStyle w:val="ListBullet"/>
        <w:spacing w:after="20" w:before="0"/>
      </w:pPr>
      <w:r>
        <w:t>„Bei Mindestlohn 15 Euro und Tariftreue besteht eine {hohe/mittlere/geringe} positionale Nähe.“</w:t>
      </w:r>
    </w:p>
    <w:p>
      <w:pPr>
        <w:pStyle w:val="ListBullet"/>
        <w:spacing w:after="20" w:before="0"/>
      </w:pPr>
      <w:r>
        <w:t>„Die Option Mindestlohn 15 Euro und Tariftreue weist vor allem in den Dimensionen Soziale Sicherheit &amp; Fairness, Gesundheit, Bildung &amp; Teilhabe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Q14 · Sanktionen in der Grundsicherung</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Wer trotz Arbeitsfähigkeit wiederholt eine zumutbare Arbeit ohne wichtigen Grund ablehnt, soll spürbar sanktioniert werden. Unterkunft, Gesundheit und das verfassungsrechtliche Existenzminimum müssen dennoch gesichert bleiben.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trennt Aktivierungswirkung von existenzgefährdender Bestrafung. Empirisch sind schnellere Übergänge und schlechtere Beschäftigungsqualität zugleich möglich.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Soziale Sicherheit &amp; Fairness, Gesundheit, Bildung &amp; Teilhabe, Freiheit &amp; Selbstbestimmung, Resilienz &amp; Generationengerechtigkeit, Rechtsstaat &amp; Grundrechte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1, 3, 8, 10, 16</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abgestufte, verhältnismäßige Sanktionen mit Härtefallprüfung, Beratung, Qualifizierung und geschütztem Existenzminimum.</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Bürgergeld durch strengere Grundsicherung ersetzen</w:t>
            </w:r>
          </w:p>
        </w:tc>
        <w:tc>
          <w:tcPr>
            <w:tcW w:type="dxa" w:w="2018"/>
            <w:vAlign w:val="center"/>
            <w:tcMar>
              <w:top w:w="80" w:type="dxa"/>
              <w:start w:w="100" w:type="dxa"/>
              <w:bottom w:w="80" w:type="dxa"/>
              <w:end w:w="100" w:type="dxa"/>
            </w:tcMar>
          </w:tcPr>
          <w:p>
            <w:pPr>
              <w:spacing w:after="0" w:before="0"/>
            </w:pPr>
            <w:r>
              <w:rPr>
                <w:rFonts w:ascii="Aptos" w:hAnsi="Aptos"/>
                <w:sz w:val="14"/>
              </w:rPr>
              <w:t>P01, PDF-S. 31;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hält Sanktionen bei Pflichtverletzungen grundsätzlich aufrecht</w:t>
            </w:r>
          </w:p>
        </w:tc>
        <w:tc>
          <w:tcPr>
            <w:tcW w:type="dxa" w:w="2018"/>
            <w:vAlign w:val="center"/>
            <w:tcMar>
              <w:top w:w="80" w:type="dxa"/>
              <w:start w:w="100" w:type="dxa"/>
              <w:bottom w:w="80" w:type="dxa"/>
              <w:end w:w="100" w:type="dxa"/>
            </w:tcMar>
          </w:tcPr>
          <w:p>
            <w:pPr>
              <w:spacing w:after="0" w:before="0"/>
            </w:pPr>
            <w:r>
              <w:rPr>
                <w:rFonts w:ascii="Aptos" w:hAnsi="Aptos"/>
                <w:sz w:val="14"/>
              </w:rPr>
              <w:t>P02, PDF-S. 14;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setzt stärker auf Qualifizierung und verhältnismäßige Mitwirkung</w:t>
            </w:r>
          </w:p>
        </w:tc>
        <w:tc>
          <w:tcPr>
            <w:tcW w:type="dxa" w:w="2018"/>
            <w:vAlign w:val="center"/>
            <w:tcMar>
              <w:top w:w="80" w:type="dxa"/>
              <w:start w:w="100" w:type="dxa"/>
              <w:bottom w:w="80" w:type="dxa"/>
              <w:end w:w="100" w:type="dxa"/>
            </w:tcMar>
          </w:tcPr>
          <w:p>
            <w:pPr>
              <w:spacing w:after="0" w:before="0"/>
            </w:pPr>
            <w:r>
              <w:rPr>
                <w:rFonts w:ascii="Aptos" w:hAnsi="Aptos"/>
                <w:sz w:val="14"/>
              </w:rPr>
              <w:t>P03, PDF-S. 99;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deutliche Verschärfung und Aktivierung</w:t>
            </w:r>
          </w:p>
        </w:tc>
        <w:tc>
          <w:tcPr>
            <w:tcW w:type="dxa" w:w="2018"/>
            <w:vAlign w:val="center"/>
            <w:tcMar>
              <w:top w:w="80" w:type="dxa"/>
              <w:start w:w="100" w:type="dxa"/>
              <w:bottom w:w="80" w:type="dxa"/>
              <w:end w:w="100" w:type="dxa"/>
            </w:tcMar>
          </w:tcPr>
          <w:p>
            <w:pPr>
              <w:spacing w:after="0" w:before="0"/>
            </w:pPr>
            <w:r>
              <w:rPr>
                <w:rFonts w:ascii="Aptos" w:hAnsi="Aptos"/>
                <w:sz w:val="14"/>
              </w:rPr>
              <w:t>P04, PDF-S. 26;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Sanktionen und Bürgergeldlogik weitgehend überwinden</w:t>
            </w:r>
          </w:p>
        </w:tc>
        <w:tc>
          <w:tcPr>
            <w:tcW w:type="dxa" w:w="2018"/>
            <w:vAlign w:val="center"/>
            <w:tcMar>
              <w:top w:w="80" w:type="dxa"/>
              <w:start w:w="100" w:type="dxa"/>
              <w:bottom w:w="80" w:type="dxa"/>
              <w:end w:w="100" w:type="dxa"/>
            </w:tcMar>
          </w:tcPr>
          <w:p>
            <w:pPr>
              <w:spacing w:after="0" w:before="0"/>
            </w:pPr>
            <w:r>
              <w:rPr>
                <w:rFonts w:ascii="Aptos" w:hAnsi="Aptos"/>
                <w:sz w:val="14"/>
              </w:rPr>
              <w:t>P05, PDF-S. 16;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strenge Sanktionen für Arbeitsverweigerung</w:t>
            </w:r>
          </w:p>
        </w:tc>
        <w:tc>
          <w:tcPr>
            <w:tcW w:type="dxa" w:w="2018"/>
            <w:vAlign w:val="center"/>
            <w:tcMar>
              <w:top w:w="80" w:type="dxa"/>
              <w:start w:w="100" w:type="dxa"/>
              <w:bottom w:w="80" w:type="dxa"/>
              <w:end w:w="100" w:type="dxa"/>
            </w:tcMar>
          </w:tcPr>
          <w:p>
            <w:pPr>
              <w:spacing w:after="0" w:before="0"/>
            </w:pPr>
            <w:r>
              <w:rPr>
                <w:rFonts w:ascii="Aptos" w:hAnsi="Aptos"/>
                <w:sz w:val="14"/>
              </w:rPr>
              <w:t>P06, PDF-S. 22;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härtere Sanktionen und neue Grundsicherung</w:t>
            </w:r>
          </w:p>
        </w:tc>
        <w:tc>
          <w:tcPr>
            <w:tcW w:type="dxa" w:w="2018"/>
            <w:vAlign w:val="center"/>
            <w:tcMar>
              <w:top w:w="80" w:type="dxa"/>
              <w:start w:w="100" w:type="dxa"/>
              <w:bottom w:w="80" w:type="dxa"/>
              <w:end w:w="100" w:type="dxa"/>
            </w:tcMar>
          </w:tcPr>
          <w:p>
            <w:pPr>
              <w:spacing w:after="0" w:before="0"/>
            </w:pPr>
            <w:r>
              <w:rPr>
                <w:rFonts w:ascii="Aptos" w:hAnsi="Aptos"/>
                <w:sz w:val="14"/>
              </w:rPr>
              <w:t>P07, PDF-S. 19;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Pflichten werden verdeutlicht → Suchintensität kann steigen → Übergang in Beschäftigung kann beschleunigt werden → bei zu hoher Sanktion sinken Stabilität und Beschäftigungsqualität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Such- und Einkommenseffekte wirken kurzfristig; Beschäftigungsqualität, Gesundheit und Stabilität zeigen sich mittel- bis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Leistungsberechtigte, Kinder in Bedarfsgemeinschaften, Jobcenter, Arbeitgeber, Kommunen und Wohnungssystem.</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mittel bis 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hoch: Wirkungen variieren nach Sanktionshöhe, Zielgruppe, Beratung und Arbeitsmarktangebot.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Menschenwürde, Unterkunft, medizinische Versorgung und kindliche Existenzsicherung sind nicht kompensierbar.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E11</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Anreiz zur Mitwirkung</w:t>
            </w:r>
          </w:p>
        </w:tc>
        <w:tc>
          <w:tcPr>
            <w:tcW w:type="dxa" w:w="5046"/>
            <w:vAlign w:val="center"/>
            <w:tcMar>
              <w:top w:w="80" w:type="dxa"/>
              <w:start w:w="100" w:type="dxa"/>
              <w:bottom w:w="80" w:type="dxa"/>
              <w:end w:w="100" w:type="dxa"/>
            </w:tcMar>
          </w:tcPr>
          <w:p>
            <w:pPr>
              <w:spacing w:after="0" w:before="0"/>
            </w:pPr>
            <w:r>
              <w:rPr>
                <w:rFonts w:ascii="Aptos" w:hAnsi="Aptos"/>
                <w:sz w:val="16"/>
              </w:rPr>
              <w:t>• Armut, Verschuldung, Wohnungs- und Gesundheitsrisiken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wahrgenommene Gegenseitigkeit des Systems</w:t>
            </w:r>
          </w:p>
        </w:tc>
        <w:tc>
          <w:tcPr>
            <w:tcW w:type="dxa" w:w="5046"/>
            <w:vAlign w:val="center"/>
            <w:tcMar>
              <w:top w:w="80" w:type="dxa"/>
              <w:start w:w="100" w:type="dxa"/>
              <w:bottom w:w="80" w:type="dxa"/>
              <w:end w:w="100" w:type="dxa"/>
            </w:tcMar>
          </w:tcPr>
          <w:p>
            <w:pPr>
              <w:spacing w:after="0" w:before="0"/>
            </w:pPr>
            <w:r>
              <w:rPr>
                <w:rFonts w:ascii="Aptos" w:hAnsi="Aptos"/>
                <w:sz w:val="16"/>
              </w:rPr>
              <w:t>• Druck in ungeeignete oder instabile Beschäftigung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möglicherweise schnellere Arbeitsaufnahme</w:t>
            </w:r>
          </w:p>
        </w:tc>
        <w:tc>
          <w:tcPr>
            <w:tcW w:type="dxa" w:w="5046"/>
            <w:vAlign w:val="center"/>
            <w:tcMar>
              <w:top w:w="80" w:type="dxa"/>
              <w:start w:w="100" w:type="dxa"/>
              <w:bottom w:w="80" w:type="dxa"/>
              <w:end w:w="100" w:type="dxa"/>
            </w:tcMar>
          </w:tcPr>
          <w:p>
            <w:pPr>
              <w:spacing w:after="0" w:before="0"/>
            </w:pPr>
            <w:r>
              <w:rPr>
                <w:rFonts w:ascii="Aptos" w:hAnsi="Aptos"/>
                <w:sz w:val="16"/>
              </w:rPr>
              <w:t>• Vertrauensverlust und Kontaktabbruch</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Fehlentscheidungen der Verwaltung</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−2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−1 bis 0</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 bis 0</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0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Rechtsstaat &amp; Grundrechte</w:t>
            </w:r>
          </w:p>
        </w:tc>
        <w:tc>
          <w:tcPr>
            <w:tcW w:type="dxa" w:w="3364"/>
            <w:vAlign w:val="center"/>
            <w:tcMar>
              <w:top w:w="80" w:type="dxa"/>
              <w:start w:w="100" w:type="dxa"/>
              <w:bottom w:w="80" w:type="dxa"/>
              <w:end w:w="100" w:type="dxa"/>
            </w:tcMar>
          </w:tcPr>
          <w:p>
            <w:pPr>
              <w:spacing w:after="0" w:before="0"/>
            </w:pPr>
            <w:r>
              <w:rPr>
                <w:rFonts w:ascii="Aptos" w:hAnsi="Aptos"/>
                <w:sz w:val="16"/>
              </w:rPr>
              <w:t>−1 bis 0</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Übergang in Beschäftigung · Beschäftigungsdauer und Lohn · Wohnungsverlust · Gesundheitsindikatoren · Widersprüche/Fehlerquote · Qualifizierungsteilnahme</w:t>
      </w:r>
    </w:p>
    <w:p>
      <w:pPr>
        <w:pStyle w:val="Heading3"/>
        <w:spacing w:after="80"/>
        <w:keepNext/>
      </w:pPr>
      <w:r>
        <w:t>Neutrale Ergebnis-Microcopy</w:t>
      </w:r>
    </w:p>
    <w:p>
      <w:pPr>
        <w:pStyle w:val="ListBullet"/>
        <w:spacing w:after="20" w:before="0"/>
      </w:pPr>
      <w:r>
        <w:t>„Bei Sanktionen in der Grundsicherung besteht eine {hohe/mittlere/geringe} positionale Nähe.“</w:t>
      </w:r>
    </w:p>
    <w:p>
      <w:pPr>
        <w:pStyle w:val="ListBullet"/>
        <w:spacing w:after="20" w:before="0"/>
      </w:pPr>
      <w:r>
        <w:t>„Die Option Sanktionen in der Grundsicherung weist vor allem in den Dimensionen Soziale Sicherheit &amp; Fairness, Gesundheit, Bildung &amp; Teilhabe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Q15 · Rentenniveau sichern und Finanzierung verbreitern</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Das gesetzliche Rentenniveau soll mindestens 48 Prozent betragen. Eine generelle weitere Anhebung des Rentenalters soll vermieden und die Finanzierung durch mehr versicherte Einkommensarten und Erwerbstätige verbreitert werden.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verbindet Leistungsniveau, Lebensarbeitszeit und Finanzierungsbasis. Eine Zusage ohne tragfähige Finanzierung wäre nur Vorgriffswohlstand.</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Soziale Sicherheit &amp; Fairness, Resilienz &amp; Generationengerechtigkeit, Gesundheit, Bildung &amp; Teilhabe, Freiheit &amp; Selbstbestimmung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1, 3, 8, 10</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Haltelinie beim Rentenniveau, keine pauschale weitere Altersgrenze, breitere Beitragsbasis und ergänzende kapitalgedeckte Elemente nur unter Risiko- und Wirkungskriterien.</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keine Rentenkürzung, bestehendes Eintrittsalter; kapitalgedeckte Ergänzung</w:t>
            </w:r>
          </w:p>
        </w:tc>
        <w:tc>
          <w:tcPr>
            <w:tcW w:type="dxa" w:w="2018"/>
            <w:vAlign w:val="center"/>
            <w:tcMar>
              <w:top w:w="80" w:type="dxa"/>
              <w:start w:w="100" w:type="dxa"/>
              <w:bottom w:w="80" w:type="dxa"/>
              <w:end w:w="100" w:type="dxa"/>
            </w:tcMar>
          </w:tcPr>
          <w:p>
            <w:pPr>
              <w:spacing w:after="0" w:before="0"/>
            </w:pPr>
            <w:r>
              <w:rPr>
                <w:rFonts w:ascii="Aptos" w:hAnsi="Aptos"/>
                <w:sz w:val="14"/>
              </w:rPr>
              <w:t>P01, PDF-S. 35;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sichert 48 Prozent und lehnt weitere Anhebung ab</w:t>
            </w:r>
          </w:p>
        </w:tc>
        <w:tc>
          <w:tcPr>
            <w:tcW w:type="dxa" w:w="2018"/>
            <w:vAlign w:val="center"/>
            <w:tcMar>
              <w:top w:w="80" w:type="dxa"/>
              <w:start w:w="100" w:type="dxa"/>
              <w:bottom w:w="80" w:type="dxa"/>
              <w:end w:w="100" w:type="dxa"/>
            </w:tcMar>
          </w:tcPr>
          <w:p>
            <w:pPr>
              <w:spacing w:after="0" w:before="0"/>
            </w:pPr>
            <w:r>
              <w:rPr>
                <w:rFonts w:ascii="Aptos" w:hAnsi="Aptos"/>
                <w:sz w:val="14"/>
              </w:rPr>
              <w:t>P02, PDF-S. 25;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gesetzliche Rente stärken und Niveau stabilisieren</w:t>
            </w:r>
          </w:p>
        </w:tc>
        <w:tc>
          <w:tcPr>
            <w:tcW w:type="dxa" w:w="2018"/>
            <w:vAlign w:val="center"/>
            <w:tcMar>
              <w:top w:w="80" w:type="dxa"/>
              <w:start w:w="100" w:type="dxa"/>
              <w:bottom w:w="80" w:type="dxa"/>
              <w:end w:w="100" w:type="dxa"/>
            </w:tcMar>
          </w:tcPr>
          <w:p>
            <w:pPr>
              <w:spacing w:after="0" w:before="0"/>
            </w:pPr>
            <w:r>
              <w:rPr>
                <w:rFonts w:ascii="Aptos" w:hAnsi="Aptos"/>
                <w:sz w:val="14"/>
              </w:rPr>
              <w:t>P03, PDF-S. 97;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Leistungsniveau stärken, breitere Finanzierung nur teilweise</w:t>
            </w:r>
          </w:p>
        </w:tc>
        <w:tc>
          <w:tcPr>
            <w:tcW w:type="dxa" w:w="2018"/>
            <w:vAlign w:val="center"/>
            <w:tcMar>
              <w:top w:w="80" w:type="dxa"/>
              <w:start w:w="100" w:type="dxa"/>
              <w:bottom w:w="80" w:type="dxa"/>
              <w:end w:w="100" w:type="dxa"/>
            </w:tcMar>
          </w:tcPr>
          <w:p>
            <w:pPr>
              <w:spacing w:after="0" w:before="0"/>
            </w:pPr>
            <w:r>
              <w:rPr>
                <w:rFonts w:ascii="Aptos" w:hAnsi="Aptos"/>
                <w:sz w:val="14"/>
              </w:rPr>
              <w:t>P04, PDF-S. 18;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höheres Rentenniveau, Erwerbstätigenversicherung und niedrigere Altersgrenzen</w:t>
            </w:r>
          </w:p>
        </w:tc>
        <w:tc>
          <w:tcPr>
            <w:tcW w:type="dxa" w:w="2018"/>
            <w:vAlign w:val="center"/>
            <w:tcMar>
              <w:top w:w="80" w:type="dxa"/>
              <w:start w:w="100" w:type="dxa"/>
              <w:bottom w:w="80" w:type="dxa"/>
              <w:end w:w="100" w:type="dxa"/>
            </w:tcMar>
          </w:tcPr>
          <w:p>
            <w:pPr>
              <w:spacing w:after="0" w:before="0"/>
            </w:pPr>
            <w:r>
              <w:rPr>
                <w:rFonts w:ascii="Aptos" w:hAnsi="Aptos"/>
                <w:sz w:val="14"/>
              </w:rPr>
              <w:t>P05, PDF-S. 15;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österreichähnliche Bürgerrente und höheres Niveau</w:t>
            </w:r>
          </w:p>
        </w:tc>
        <w:tc>
          <w:tcPr>
            <w:tcW w:type="dxa" w:w="2018"/>
            <w:vAlign w:val="center"/>
            <w:tcMar>
              <w:top w:w="80" w:type="dxa"/>
              <w:start w:w="100" w:type="dxa"/>
              <w:bottom w:w="80" w:type="dxa"/>
              <w:end w:w="100" w:type="dxa"/>
            </w:tcMar>
          </w:tcPr>
          <w:p>
            <w:pPr>
              <w:spacing w:after="0" w:before="0"/>
            </w:pPr>
            <w:r>
              <w:rPr>
                <w:rFonts w:ascii="Aptos" w:hAnsi="Aptos"/>
                <w:sz w:val="14"/>
              </w:rPr>
              <w:t>P06, PDF-S. 23;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setzt stärker auf Kapitaldeckung und flexibleren späteren Ruhestand</w:t>
            </w:r>
          </w:p>
        </w:tc>
        <w:tc>
          <w:tcPr>
            <w:tcW w:type="dxa" w:w="2018"/>
            <w:vAlign w:val="center"/>
            <w:tcMar>
              <w:top w:w="80" w:type="dxa"/>
              <w:start w:w="100" w:type="dxa"/>
              <w:bottom w:w="80" w:type="dxa"/>
              <w:end w:w="100" w:type="dxa"/>
            </w:tcMar>
          </w:tcPr>
          <w:p>
            <w:pPr>
              <w:spacing w:after="0" w:before="0"/>
            </w:pPr>
            <w:r>
              <w:rPr>
                <w:rFonts w:ascii="Aptos" w:hAnsi="Aptos"/>
                <w:sz w:val="14"/>
              </w:rPr>
              <w:t>P07, PDF-S. 21; Vertrauen: mittel</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Leistungsniveau stabilisiert Alterseinkommen → breitere Basis verteilt Finanzierung → höhere Erwerbsbeteiligung und Produktivität werden wichtiger → demografische Last bleibt sichtbar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Leistungsversprechen wirken sofort auf Vertrauen; fiskalische und demografische Wirkungen bauen sich über Jahrzehnte auf.</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Rentner*innen, Beschäftigte, Selbstständige, Beamt*innen, Arbeitgeber, Bundeshaushalt und kommende Beitragsgenerationen.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hoch: Finanzierung hängt von Demografie, Migration, Produktivität, Erwerbsquote und Leistungsdefinition ab.</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Altersarmut und generationelle Überlastung dürfen nicht gegeneinander aufgerechnet werden; beide sind Mindestbedingungen einer tragfähigen Lösung.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E13</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Schutz vor Altersarmut und Vertrauensverlust</w:t>
            </w:r>
          </w:p>
        </w:tc>
        <w:tc>
          <w:tcPr>
            <w:tcW w:type="dxa" w:w="5046"/>
            <w:vAlign w:val="center"/>
            <w:tcMar>
              <w:top w:w="80" w:type="dxa"/>
              <w:start w:w="100" w:type="dxa"/>
              <w:bottom w:w="80" w:type="dxa"/>
              <w:end w:w="100" w:type="dxa"/>
            </w:tcMar>
          </w:tcPr>
          <w:p>
            <w:pPr>
              <w:spacing w:after="0" w:before="0"/>
            </w:pPr>
            <w:r>
              <w:rPr>
                <w:rFonts w:ascii="Aptos" w:hAnsi="Aptos"/>
                <w:sz w:val="16"/>
              </w:rPr>
              <w:t>• steigende Beiträge oder Bundeszuschüsse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stabilere Einnahmebasis</w:t>
            </w:r>
          </w:p>
        </w:tc>
        <w:tc>
          <w:tcPr>
            <w:tcW w:type="dxa" w:w="5046"/>
            <w:vAlign w:val="center"/>
            <w:tcMar>
              <w:top w:w="80" w:type="dxa"/>
              <w:start w:w="100" w:type="dxa"/>
              <w:bottom w:w="80" w:type="dxa"/>
              <w:end w:w="100" w:type="dxa"/>
            </w:tcMar>
          </w:tcPr>
          <w:p>
            <w:pPr>
              <w:spacing w:after="0" w:before="0"/>
            </w:pPr>
            <w:r>
              <w:rPr>
                <w:rFonts w:ascii="Aptos" w:hAnsi="Aptos"/>
                <w:sz w:val="16"/>
              </w:rPr>
              <w:t>• Belastung jüngerer Generationen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Anerkennung unterschiedlicher Erwerbsbiografien</w:t>
            </w:r>
          </w:p>
        </w:tc>
        <w:tc>
          <w:tcPr>
            <w:tcW w:type="dxa" w:w="5046"/>
            <w:vAlign w:val="center"/>
            <w:tcMar>
              <w:top w:w="80" w:type="dxa"/>
              <w:start w:w="100" w:type="dxa"/>
              <w:bottom w:w="80" w:type="dxa"/>
              <w:end w:w="100" w:type="dxa"/>
            </w:tcMar>
          </w:tcPr>
          <w:p>
            <w:pPr>
              <w:spacing w:after="0" w:before="0"/>
            </w:pPr>
            <w:r>
              <w:rPr>
                <w:rFonts w:ascii="Aptos" w:hAnsi="Aptos"/>
                <w:sz w:val="16"/>
              </w:rPr>
              <w:t>• Arbeitsanreize und Wettbewerbsfragen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politische Verschiebung notwendiger Anpassungen</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0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Rentenniveau · Beitragssatz · Bundeszuschuss · Armutsgefährdung im Alter · Erwerbsquote Älterer · Versichertenbasis</w:t>
      </w:r>
    </w:p>
    <w:p>
      <w:pPr>
        <w:pStyle w:val="Heading3"/>
        <w:spacing w:after="80"/>
        <w:keepNext/>
      </w:pPr>
      <w:r>
        <w:t>Neutrale Ergebnis-Microcopy</w:t>
      </w:r>
    </w:p>
    <w:p>
      <w:pPr>
        <w:pStyle w:val="ListBullet"/>
        <w:spacing w:after="20" w:before="0"/>
      </w:pPr>
      <w:r>
        <w:t>„Bei Rentenniveau sichern und Finanzierung verbreitern besteht eine {hohe/mittlere/geringe} positionale Nähe.“</w:t>
      </w:r>
    </w:p>
    <w:p>
      <w:pPr>
        <w:pStyle w:val="ListBullet"/>
        <w:spacing w:after="20" w:before="0"/>
      </w:pPr>
      <w:r>
        <w:t>„Die Option Rentenniveau sichern und Finanzierung verbreitern weist vor allem in den Dimensionen Soziale Sicherheit &amp; Fairness, Resilienz &amp; Generationengerechtigkeit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Q16 · Solidarische Bürgerkrankenversicherung</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Alle Bürgerinnen und Bürger sollen in ein gemeinsames Krankenversicherungssystem einbezogen werden. Auch weitere Einkommensarten sollen zur Finanzierung beitragen; private Zusatzversicherungen können bestehen bleiben.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betrifft Verteilung, Zugang, Risikostruktur und Übergangskosten – nicht die Abschaffung medizinischer Wahlfreiheit.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Gesundheit, Bildung &amp; Teilhabe, Soziale Sicherheit &amp; Fairness, Freiheit &amp; Selbstbestimmung, Resilienz &amp; Generationengerechtigkeit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3, 10</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integrierte Bürgerversicherung mit einheitlichem Leistungskern, breiterer Beitragsbasis und geordnetem Übergang.</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hält am gegliederten System und privater Krankenversicherung fest</w:t>
            </w:r>
          </w:p>
        </w:tc>
        <w:tc>
          <w:tcPr>
            <w:tcW w:type="dxa" w:w="2018"/>
            <w:vAlign w:val="center"/>
            <w:tcMar>
              <w:top w:w="80" w:type="dxa"/>
              <w:start w:w="100" w:type="dxa"/>
              <w:bottom w:w="80" w:type="dxa"/>
              <w:end w:w="100" w:type="dxa"/>
            </w:tcMar>
          </w:tcPr>
          <w:p>
            <w:pPr>
              <w:spacing w:after="0" w:before="0"/>
            </w:pPr>
            <w:r>
              <w:rPr>
                <w:rFonts w:ascii="Aptos" w:hAnsi="Aptos"/>
                <w:sz w:val="14"/>
              </w:rPr>
              <w:t>P01, PDF-S. 35;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solidarische Bürgerversicherung</w:t>
            </w:r>
          </w:p>
        </w:tc>
        <w:tc>
          <w:tcPr>
            <w:tcW w:type="dxa" w:w="2018"/>
            <w:vAlign w:val="center"/>
            <w:tcMar>
              <w:top w:w="80" w:type="dxa"/>
              <w:start w:w="100" w:type="dxa"/>
              <w:bottom w:w="80" w:type="dxa"/>
              <w:end w:w="100" w:type="dxa"/>
            </w:tcMar>
          </w:tcPr>
          <w:p>
            <w:pPr>
              <w:spacing w:after="0" w:before="0"/>
            </w:pPr>
            <w:r>
              <w:rPr>
                <w:rFonts w:ascii="Aptos" w:hAnsi="Aptos"/>
                <w:sz w:val="14"/>
              </w:rPr>
              <w:t>P02, PDF-S. 29;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Bürger*innenversicherung und breitere Beitragsbasis</w:t>
            </w:r>
          </w:p>
        </w:tc>
        <w:tc>
          <w:tcPr>
            <w:tcW w:type="dxa" w:w="2018"/>
            <w:vAlign w:val="center"/>
            <w:tcMar>
              <w:top w:w="80" w:type="dxa"/>
              <w:start w:w="100" w:type="dxa"/>
              <w:bottom w:w="80" w:type="dxa"/>
              <w:end w:w="100" w:type="dxa"/>
            </w:tcMar>
          </w:tcPr>
          <w:p>
            <w:pPr>
              <w:spacing w:after="0" w:before="0"/>
            </w:pPr>
            <w:r>
              <w:rPr>
                <w:rFonts w:ascii="Aptos" w:hAnsi="Aptos"/>
                <w:sz w:val="14"/>
              </w:rPr>
              <w:t>P03, PDF-S. 94;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kein gemeinsames Versicherungssystem; private Vorsorge bleibt zentral</w:t>
            </w:r>
          </w:p>
        </w:tc>
        <w:tc>
          <w:tcPr>
            <w:tcW w:type="dxa" w:w="2018"/>
            <w:vAlign w:val="center"/>
            <w:tcMar>
              <w:top w:w="80" w:type="dxa"/>
              <w:start w:w="100" w:type="dxa"/>
              <w:bottom w:w="80" w:type="dxa"/>
              <w:end w:w="100" w:type="dxa"/>
            </w:tcMar>
          </w:tcPr>
          <w:p>
            <w:pPr>
              <w:spacing w:after="0" w:before="0"/>
            </w:pPr>
            <w:r>
              <w:rPr>
                <w:rFonts w:ascii="Aptos" w:hAnsi="Aptos"/>
                <w:sz w:val="14"/>
              </w:rPr>
              <w:t>P04, PDF-S. 18;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solidarische Gesundheitsversicherung für alle</w:t>
            </w:r>
          </w:p>
        </w:tc>
        <w:tc>
          <w:tcPr>
            <w:tcW w:type="dxa" w:w="2018"/>
            <w:vAlign w:val="center"/>
            <w:tcMar>
              <w:top w:w="80" w:type="dxa"/>
              <w:start w:w="100" w:type="dxa"/>
              <w:bottom w:w="80" w:type="dxa"/>
              <w:end w:w="100" w:type="dxa"/>
            </w:tcMar>
          </w:tcPr>
          <w:p>
            <w:pPr>
              <w:spacing w:after="0" w:before="0"/>
            </w:pPr>
            <w:r>
              <w:rPr>
                <w:rFonts w:ascii="Aptos" w:hAnsi="Aptos"/>
                <w:sz w:val="14"/>
              </w:rPr>
              <w:t>P05, PDF-S. 15;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Bürgerversicherung und Ende der Zwei-Klassen-Medizin</w:t>
            </w:r>
          </w:p>
        </w:tc>
        <w:tc>
          <w:tcPr>
            <w:tcW w:type="dxa" w:w="2018"/>
            <w:vAlign w:val="center"/>
            <w:tcMar>
              <w:top w:w="80" w:type="dxa"/>
              <w:start w:w="100" w:type="dxa"/>
              <w:bottom w:w="80" w:type="dxa"/>
              <w:end w:w="100" w:type="dxa"/>
            </w:tcMar>
          </w:tcPr>
          <w:p>
            <w:pPr>
              <w:spacing w:after="0" w:before="0"/>
            </w:pPr>
            <w:r>
              <w:rPr>
                <w:rFonts w:ascii="Aptos" w:hAnsi="Aptos"/>
                <w:sz w:val="14"/>
              </w:rPr>
              <w:t>P06, PDF-S. 27;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verteidigt Wahlfreiheit und private Krankenversicherung</w:t>
            </w:r>
          </w:p>
        </w:tc>
        <w:tc>
          <w:tcPr>
            <w:tcW w:type="dxa" w:w="2018"/>
            <w:vAlign w:val="center"/>
            <w:tcMar>
              <w:top w:w="80" w:type="dxa"/>
              <w:start w:w="100" w:type="dxa"/>
              <w:bottom w:w="80" w:type="dxa"/>
              <w:end w:w="100" w:type="dxa"/>
            </w:tcMar>
          </w:tcPr>
          <w:p>
            <w:pPr>
              <w:spacing w:after="0" w:before="0"/>
            </w:pPr>
            <w:r>
              <w:rPr>
                <w:rFonts w:ascii="Aptos" w:hAnsi="Aptos"/>
                <w:sz w:val="14"/>
              </w:rPr>
              <w:t>P07, PDF-S. 31;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Risikopools werden zusammengeführt → Finanzierungsbasis verbreitert sich → unterschiedliche Vergütungs- und Zugangslogiken werden angeglichen → Übergangsregeln verändern Beiträge und Einkommen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Übergangskosten sind kurzfristig hoch; Verteilungs- und Systemeffekte entstehen mittel- bis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Gesetzlich und privat Versicherte, Beamt*innen, Selbstständige, Arbeitgeber, Ärzt*innen, Versicherungsunternehmen.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mittel</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hoch: Systemdesign, Vergütung und Übergang entscheiden über Zugang, Kosten und Effizienz.</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Universeller Zugang zu notwendiger Versorgung und Schutz bereits erworbener Rechte benötigen eigenständige Sicherungen.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E14</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mehr Solidarität und gleichere Zugangsbedingungen</w:t>
            </w:r>
          </w:p>
        </w:tc>
        <w:tc>
          <w:tcPr>
            <w:tcW w:type="dxa" w:w="5046"/>
            <w:vAlign w:val="center"/>
            <w:tcMar>
              <w:top w:w="80" w:type="dxa"/>
              <w:start w:w="100" w:type="dxa"/>
              <w:bottom w:w="80" w:type="dxa"/>
              <w:end w:w="100" w:type="dxa"/>
            </w:tcMar>
          </w:tcPr>
          <w:p>
            <w:pPr>
              <w:spacing w:after="0" w:before="0"/>
            </w:pPr>
            <w:r>
              <w:rPr>
                <w:rFonts w:ascii="Aptos" w:hAnsi="Aptos"/>
                <w:sz w:val="16"/>
              </w:rPr>
              <w:t>• komplexe Übergangs- und Eigentumsfragen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geringere Segmentierung</w:t>
            </w:r>
          </w:p>
        </w:tc>
        <w:tc>
          <w:tcPr>
            <w:tcW w:type="dxa" w:w="5046"/>
            <w:vAlign w:val="center"/>
            <w:tcMar>
              <w:top w:w="80" w:type="dxa"/>
              <w:start w:w="100" w:type="dxa"/>
              <w:bottom w:w="80" w:type="dxa"/>
              <w:end w:w="100" w:type="dxa"/>
            </w:tcMar>
          </w:tcPr>
          <w:p>
            <w:pPr>
              <w:spacing w:after="0" w:before="0"/>
            </w:pPr>
            <w:r>
              <w:rPr>
                <w:rFonts w:ascii="Aptos" w:hAnsi="Aptos"/>
                <w:sz w:val="16"/>
              </w:rPr>
              <w:t>• Belastungsverschiebungen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möglicherweise stabilere Einnahmebasis</w:t>
            </w:r>
          </w:p>
        </w:tc>
        <w:tc>
          <w:tcPr>
            <w:tcW w:type="dxa" w:w="5046"/>
            <w:vAlign w:val="center"/>
            <w:tcMar>
              <w:top w:w="80" w:type="dxa"/>
              <w:start w:w="100" w:type="dxa"/>
              <w:bottom w:w="80" w:type="dxa"/>
              <w:end w:w="100" w:type="dxa"/>
            </w:tcMar>
          </w:tcPr>
          <w:p>
            <w:pPr>
              <w:spacing w:after="0" w:before="0"/>
            </w:pPr>
            <w:r>
              <w:rPr>
                <w:rFonts w:ascii="Aptos" w:hAnsi="Aptos"/>
                <w:sz w:val="16"/>
              </w:rPr>
              <w:t>• mögliche Einkommenseffekte bei Leistungserbringern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Effizienzgewinne nicht automatisch</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0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0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Beitragsbasis · Wartezeiten nach Versicherungsstatus · Zugang zu Versorgung · Verwaltungskosten · Risikostruktur · Gesundheitsausgaben</w:t>
      </w:r>
    </w:p>
    <w:p>
      <w:pPr>
        <w:pStyle w:val="Heading3"/>
        <w:spacing w:after="80"/>
        <w:keepNext/>
      </w:pPr>
      <w:r>
        <w:t>Neutrale Ergebnis-Microcopy</w:t>
      </w:r>
    </w:p>
    <w:p>
      <w:pPr>
        <w:pStyle w:val="ListBullet"/>
        <w:spacing w:after="20" w:before="0"/>
      </w:pPr>
      <w:r>
        <w:t>„Bei Solidarische Bürgerkrankenversicherung besteht eine {hohe/mittlere/geringe} positionale Nähe.“</w:t>
      </w:r>
    </w:p>
    <w:p>
      <w:pPr>
        <w:pStyle w:val="ListBullet"/>
        <w:spacing w:after="20" w:before="0"/>
      </w:pPr>
      <w:r>
        <w:t>„Die Option Solidarische Bürgerkrankenversicherung weist vor allem in den Dimensionen Gesundheit, Bildung &amp; Teilhabe, Soziale Sicherheit &amp; Fairness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1"/>
        <w:spacing w:after="80"/>
        <w:keepNext/>
        <w:pageBreakBefore w:val="true"/>
      </w:pPr>
      <w:r>
        <w:t>E. Wohnen, Boden &amp; öffentliche Daseinsvorsorge</w:t>
      </w:r>
    </w:p>
    <w:p>
      <w:pPr>
        <w:spacing w:after="80"/>
      </w:pPr>
      <w:r>
        <w:t>Die folgenden vier Fragen bilden das Themenfeld ab. Jede Frage enthält Parteiposition und Wirkungsanalyse als getrennte Ebenen.</w:t>
      </w:r>
    </w:p>
    <w:p>
      <w:pPr>
        <w:pStyle w:val="Heading2"/>
        <w:spacing w:after="80"/>
        <w:keepNext/>
      </w:pPr>
      <w:r>
        <w:t>Q17 · Strengere Mietbegrenzung in angespannten Märkten</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In angespannten Wohnungsmärkten sollen Mieterhöhungen und Wiedervermietungsmieten strenger begrenzt, Schlupflöcher geschlossen und Mietwucher leichter sanktioniert werden.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Mietregulierung kann Haushalte kurzfristig schützen, löst aber den Wohnungsmangel allein nicht. Die Frage muss deshalb gemeinsam mit Neubau und Bestandspolitik betrachtet werden.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Soziale Sicherheit &amp; Fairness, Gesundheit, Bildung &amp; Teilhabe, Freiheit &amp; Selbstbestimmung, Resilienz &amp; Generationengerechtigkeit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1, 3, 10, 11</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wirksamere Mietpreisbremse/Kappungsgrenzen, Transparenz und Rechtsdurchsetzung; Neubau und gemeinnütziger Bestand bleiben gesonderte Hebel.</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wirksamer Mieterschutz genannt, aber keine klare Verschärfung</w:t>
            </w:r>
          </w:p>
        </w:tc>
        <w:tc>
          <w:tcPr>
            <w:tcW w:type="dxa" w:w="2018"/>
            <w:vAlign w:val="center"/>
            <w:tcMar>
              <w:top w:w="80" w:type="dxa"/>
              <w:start w:w="100" w:type="dxa"/>
              <w:bottom w:w="80" w:type="dxa"/>
              <w:end w:w="100" w:type="dxa"/>
            </w:tcMar>
          </w:tcPr>
          <w:p>
            <w:pPr>
              <w:spacing w:after="0" w:before="0"/>
            </w:pPr>
            <w:r>
              <w:rPr>
                <w:rFonts w:ascii="Aptos" w:hAnsi="Aptos"/>
                <w:sz w:val="14"/>
              </w:rPr>
              <w:t>P01, PDF-S. 10;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unbefristete, verschärfte Mietpreisbremse und Kappungsgrenzen</w:t>
            </w:r>
          </w:p>
        </w:tc>
        <w:tc>
          <w:tcPr>
            <w:tcW w:type="dxa" w:w="2018"/>
            <w:vAlign w:val="center"/>
            <w:tcMar>
              <w:top w:w="80" w:type="dxa"/>
              <w:start w:w="100" w:type="dxa"/>
              <w:bottom w:w="80" w:type="dxa"/>
              <w:end w:w="100" w:type="dxa"/>
            </w:tcMar>
          </w:tcPr>
          <w:p>
            <w:pPr>
              <w:spacing w:after="0" w:before="0"/>
            </w:pPr>
            <w:r>
              <w:rPr>
                <w:rFonts w:ascii="Aptos" w:hAnsi="Aptos"/>
                <w:sz w:val="14"/>
              </w:rPr>
              <w:t>P02, PDF-S. 20;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Verschärfung, Mietenstopp und Schließen von Schlupflöchern</w:t>
            </w:r>
          </w:p>
        </w:tc>
        <w:tc>
          <w:tcPr>
            <w:tcW w:type="dxa" w:w="2018"/>
            <w:vAlign w:val="center"/>
            <w:tcMar>
              <w:top w:w="80" w:type="dxa"/>
              <w:start w:w="100" w:type="dxa"/>
              <w:bottom w:w="80" w:type="dxa"/>
              <w:end w:w="100" w:type="dxa"/>
            </w:tcMar>
          </w:tcPr>
          <w:p>
            <w:pPr>
              <w:spacing w:after="0" w:before="0"/>
            </w:pPr>
            <w:r>
              <w:rPr>
                <w:rFonts w:ascii="Aptos" w:hAnsi="Aptos"/>
                <w:sz w:val="14"/>
              </w:rPr>
              <w:t>P03, PDF-S. 69;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Mietpreisbremse und Mietendeckel ab</w:t>
            </w:r>
          </w:p>
        </w:tc>
        <w:tc>
          <w:tcPr>
            <w:tcW w:type="dxa" w:w="2018"/>
            <w:vAlign w:val="center"/>
            <w:tcMar>
              <w:top w:w="80" w:type="dxa"/>
              <w:start w:w="100" w:type="dxa"/>
              <w:bottom w:w="80" w:type="dxa"/>
              <w:end w:w="100" w:type="dxa"/>
            </w:tcMar>
          </w:tcPr>
          <w:p>
            <w:pPr>
              <w:spacing w:after="0" w:before="0"/>
            </w:pPr>
            <w:r>
              <w:rPr>
                <w:rFonts w:ascii="Aptos" w:hAnsi="Aptos"/>
                <w:sz w:val="14"/>
              </w:rPr>
              <w:t>P04, PDF-S. 39;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bundesweiten Mietendeckel</w:t>
            </w:r>
          </w:p>
        </w:tc>
        <w:tc>
          <w:tcPr>
            <w:tcW w:type="dxa" w:w="2018"/>
            <w:vAlign w:val="center"/>
            <w:tcMar>
              <w:top w:w="80" w:type="dxa"/>
              <w:start w:w="100" w:type="dxa"/>
              <w:bottom w:w="80" w:type="dxa"/>
              <w:end w:w="100" w:type="dxa"/>
            </w:tcMar>
          </w:tcPr>
          <w:p>
            <w:pPr>
              <w:spacing w:after="0" w:before="0"/>
            </w:pPr>
            <w:r>
              <w:rPr>
                <w:rFonts w:ascii="Aptos" w:hAnsi="Aptos"/>
                <w:sz w:val="14"/>
              </w:rPr>
              <w:t>P05, PDF-S. 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bundesweiten Mietendeckel und Einfrieren</w:t>
            </w:r>
          </w:p>
        </w:tc>
        <w:tc>
          <w:tcPr>
            <w:tcW w:type="dxa" w:w="2018"/>
            <w:vAlign w:val="center"/>
            <w:tcMar>
              <w:top w:w="80" w:type="dxa"/>
              <w:start w:w="100" w:type="dxa"/>
              <w:bottom w:w="80" w:type="dxa"/>
              <w:end w:w="100" w:type="dxa"/>
            </w:tcMar>
          </w:tcPr>
          <w:p>
            <w:pPr>
              <w:spacing w:after="0" w:before="0"/>
            </w:pPr>
            <w:r>
              <w:rPr>
                <w:rFonts w:ascii="Aptos" w:hAnsi="Aptos"/>
                <w:sz w:val="14"/>
              </w:rPr>
              <w:t>P06, PDF-S. 28;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Mietpreisbremse auslaufen lassen</w:t>
            </w:r>
          </w:p>
        </w:tc>
        <w:tc>
          <w:tcPr>
            <w:tcW w:type="dxa" w:w="2018"/>
            <w:vAlign w:val="center"/>
            <w:tcMar>
              <w:top w:w="80" w:type="dxa"/>
              <w:start w:w="100" w:type="dxa"/>
              <w:bottom w:w="80" w:type="dxa"/>
              <w:end w:w="100" w:type="dxa"/>
            </w:tcMar>
          </w:tcPr>
          <w:p>
            <w:pPr>
              <w:spacing w:after="0" w:before="0"/>
            </w:pPr>
            <w:r>
              <w:rPr>
                <w:rFonts w:ascii="Aptos" w:hAnsi="Aptos"/>
                <w:sz w:val="14"/>
              </w:rPr>
              <w:t>P07, PDF-S. 44;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Mieterhöhungen werden begrenzt → Bestandsmieter*innen werden geschützt → Rendite- und Investitionsanreize verändern sich → Umgehung und Knappheitsverteilung können zunehmen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Schutzwirkungen treten kurzfristig ein; Angebots- und Investitionseffekte zeigen sich mittel- bis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Mieter*innen, Vermieter*innen, Wohnungssuchende, Bauwirtschaft, Städte und Sozialhaushalte.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mittel</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hoch: Wirkung variiert nach Ausnahmen, Durchsetzung, Neubauangebot und regionalem Markt.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Wohnungsverlust und Verdrängung sind eigenständig zu schützen; ebenso darf dauerhafte Unterinvestition nicht im Durchschnitt verschwinden.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E15</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kurzfristige Entlastung und Planungssicherheit</w:t>
            </w:r>
          </w:p>
        </w:tc>
        <w:tc>
          <w:tcPr>
            <w:tcW w:type="dxa" w:w="5046"/>
            <w:vAlign w:val="center"/>
            <w:tcMar>
              <w:top w:w="80" w:type="dxa"/>
              <w:start w:w="100" w:type="dxa"/>
              <w:bottom w:w="80" w:type="dxa"/>
              <w:end w:w="100" w:type="dxa"/>
            </w:tcMar>
          </w:tcPr>
          <w:p>
            <w:pPr>
              <w:spacing w:after="0" w:before="0"/>
            </w:pPr>
            <w:r>
              <w:rPr>
                <w:rFonts w:ascii="Aptos" w:hAnsi="Aptos"/>
                <w:sz w:val="16"/>
              </w:rPr>
              <w:t>• geringere Neubau- oder Modernisierungsanreize bei schlechtem Design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weniger Verdrängung</w:t>
            </w:r>
          </w:p>
        </w:tc>
        <w:tc>
          <w:tcPr>
            <w:tcW w:type="dxa" w:w="5046"/>
            <w:vAlign w:val="center"/>
            <w:tcMar>
              <w:top w:w="80" w:type="dxa"/>
              <w:start w:w="100" w:type="dxa"/>
              <w:bottom w:w="80" w:type="dxa"/>
              <w:end w:w="100" w:type="dxa"/>
            </w:tcMar>
          </w:tcPr>
          <w:p>
            <w:pPr>
              <w:spacing w:after="0" w:before="0"/>
            </w:pPr>
            <w:r>
              <w:rPr>
                <w:rFonts w:ascii="Aptos" w:hAnsi="Aptos"/>
                <w:sz w:val="16"/>
              </w:rPr>
              <w:t>• Wohnungssuche über Beziehungen oder Zusatzleistungen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Schutz vor missbräuchlichen Preisen</w:t>
            </w:r>
          </w:p>
        </w:tc>
        <w:tc>
          <w:tcPr>
            <w:tcW w:type="dxa" w:w="5046"/>
            <w:vAlign w:val="center"/>
            <w:tcMar>
              <w:top w:w="80" w:type="dxa"/>
              <w:start w:w="100" w:type="dxa"/>
              <w:bottom w:w="80" w:type="dxa"/>
              <w:end w:w="100" w:type="dxa"/>
            </w:tcMar>
          </w:tcPr>
          <w:p>
            <w:pPr>
              <w:spacing w:after="0" w:before="0"/>
            </w:pPr>
            <w:r>
              <w:rPr>
                <w:rFonts w:ascii="Aptos" w:hAnsi="Aptos"/>
                <w:sz w:val="16"/>
              </w:rPr>
              <w:t>• Segmentierung zwischen geschützten und neuen Verträgen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Kontrollaufwand</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Mietbelastungsquote · Wiedervermietungsmieten · Neubau und Modernisierung · Verdrängung · Rechtsdurchsetzung · Angebotsdauer</w:t>
      </w:r>
    </w:p>
    <w:p>
      <w:pPr>
        <w:pStyle w:val="Heading3"/>
        <w:spacing w:after="80"/>
        <w:keepNext/>
      </w:pPr>
      <w:r>
        <w:t>Neutrale Ergebnis-Microcopy</w:t>
      </w:r>
    </w:p>
    <w:p>
      <w:pPr>
        <w:pStyle w:val="ListBullet"/>
        <w:spacing w:after="20" w:before="0"/>
      </w:pPr>
      <w:r>
        <w:t>„Bei Strengere Mietbegrenzung in angespannten Märkten besteht eine {hohe/mittlere/geringe} positionale Nähe.“</w:t>
      </w:r>
    </w:p>
    <w:p>
      <w:pPr>
        <w:pStyle w:val="ListBullet"/>
        <w:spacing w:after="20" w:before="0"/>
      </w:pPr>
      <w:r>
        <w:t>„Die Option Strengere Mietbegrenzung in angespannten Märkten weist vor allem in den Dimensionen Soziale Sicherheit &amp; Fairness, Gesundheit, Bildung &amp; Teilhabe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Q18 · Öffentlichen und gemeinnützigen Wohnungsbau ausbauen</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Bund, Länder und Kommunen sollen den öffentlichen, genossenschaftlichen und dauerhaft gemeinnützigen Wohnungsbau massiv ausweiten und dafür langfristig investieren.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zielt auf einen Bestand, dessen Bezahlbarkeit nicht nach wenigen Jahren aus der Bindung fällt.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Soziale Sicherheit &amp; Fairness, Gesundheit, Bildung &amp; Teilhabe, Resilienz &amp; Generationengerechtigkeit, Klima &amp; Energie, Informationsqualität &amp; demokratischer Zusammenhalt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1, 3, 10, 11, 13</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langfristig gebundener, bedarfsgerechter Wohnungsbau, kommunale Bodenpolitik und transparente Vergabe; bloße kurzfristige Förderungen reichen nicht.</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sozialen Wohnungsbau fördern und Neubau beschleunigen</w:t>
            </w:r>
          </w:p>
        </w:tc>
        <w:tc>
          <w:tcPr>
            <w:tcW w:type="dxa" w:w="2018"/>
            <w:vAlign w:val="center"/>
            <w:tcMar>
              <w:top w:w="80" w:type="dxa"/>
              <w:start w:w="100" w:type="dxa"/>
              <w:bottom w:w="80" w:type="dxa"/>
              <w:end w:w="100" w:type="dxa"/>
            </w:tcMar>
          </w:tcPr>
          <w:p>
            <w:pPr>
              <w:spacing w:after="0" w:before="0"/>
            </w:pPr>
            <w:r>
              <w:rPr>
                <w:rFonts w:ascii="Aptos" w:hAnsi="Aptos"/>
                <w:sz w:val="14"/>
              </w:rPr>
              <w:t>P01, PDF-S. 73;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staatliche Daueraufgabe und mehr kommunalen/gemeinnützigen Bau</w:t>
            </w:r>
          </w:p>
        </w:tc>
        <w:tc>
          <w:tcPr>
            <w:tcW w:type="dxa" w:w="2018"/>
            <w:vAlign w:val="center"/>
            <w:tcMar>
              <w:top w:w="80" w:type="dxa"/>
              <w:start w:w="100" w:type="dxa"/>
              <w:bottom w:w="80" w:type="dxa"/>
              <w:end w:w="100" w:type="dxa"/>
            </w:tcMar>
          </w:tcPr>
          <w:p>
            <w:pPr>
              <w:spacing w:after="0" w:before="0"/>
            </w:pPr>
            <w:r>
              <w:rPr>
                <w:rFonts w:ascii="Aptos" w:hAnsi="Aptos"/>
                <w:sz w:val="14"/>
              </w:rPr>
              <w:t>P02, PDF-S. 20;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öffentliche, genossenschaftliche und gemeinnützige Bestände ausbauen</w:t>
            </w:r>
          </w:p>
        </w:tc>
        <w:tc>
          <w:tcPr>
            <w:tcW w:type="dxa" w:w="2018"/>
            <w:vAlign w:val="center"/>
            <w:tcMar>
              <w:top w:w="80" w:type="dxa"/>
              <w:start w:w="100" w:type="dxa"/>
              <w:bottom w:w="80" w:type="dxa"/>
              <w:end w:w="100" w:type="dxa"/>
            </w:tcMar>
          </w:tcPr>
          <w:p>
            <w:pPr>
              <w:spacing w:after="0" w:before="0"/>
            </w:pPr>
            <w:r>
              <w:rPr>
                <w:rFonts w:ascii="Aptos" w:hAnsi="Aptos"/>
                <w:sz w:val="14"/>
              </w:rPr>
              <w:t>P03, PDF-S. 70;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setzt vor allem auf Bauen und Eigentum; öffentliche Dauerbindung nicht klar</w:t>
            </w:r>
          </w:p>
        </w:tc>
        <w:tc>
          <w:tcPr>
            <w:tcW w:type="dxa" w:w="2018"/>
            <w:vAlign w:val="center"/>
            <w:tcMar>
              <w:top w:w="80" w:type="dxa"/>
              <w:start w:w="100" w:type="dxa"/>
              <w:bottom w:w="80" w:type="dxa"/>
              <w:end w:w="100" w:type="dxa"/>
            </w:tcMar>
          </w:tcPr>
          <w:p>
            <w:pPr>
              <w:spacing w:after="0" w:before="0"/>
            </w:pPr>
            <w:r>
              <w:rPr>
                <w:rFonts w:ascii="Aptos" w:hAnsi="Aptos"/>
                <w:sz w:val="14"/>
              </w:rPr>
              <w:t>P04, PDF-S. 38;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massiven kommunalen und gemeinnützigen Wohnungsbau</w:t>
            </w:r>
          </w:p>
        </w:tc>
        <w:tc>
          <w:tcPr>
            <w:tcW w:type="dxa" w:w="2018"/>
            <w:vAlign w:val="center"/>
            <w:tcMar>
              <w:top w:w="80" w:type="dxa"/>
              <w:start w:w="100" w:type="dxa"/>
              <w:bottom w:w="80" w:type="dxa"/>
              <w:end w:w="100" w:type="dxa"/>
            </w:tcMar>
          </w:tcPr>
          <w:p>
            <w:pPr>
              <w:spacing w:after="0" w:before="0"/>
            </w:pPr>
            <w:r>
              <w:rPr>
                <w:rFonts w:ascii="Aptos" w:hAnsi="Aptos"/>
                <w:sz w:val="14"/>
              </w:rPr>
              <w:t>P05, PDF-S. 9;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großes gemeinnütziges/kommunales Wohnungsbauprogramm</w:t>
            </w:r>
          </w:p>
        </w:tc>
        <w:tc>
          <w:tcPr>
            <w:tcW w:type="dxa" w:w="2018"/>
            <w:vAlign w:val="center"/>
            <w:tcMar>
              <w:top w:w="80" w:type="dxa"/>
              <w:start w:w="100" w:type="dxa"/>
              <w:bottom w:w="80" w:type="dxa"/>
              <w:end w:w="100" w:type="dxa"/>
            </w:tcMar>
          </w:tcPr>
          <w:p>
            <w:pPr>
              <w:spacing w:after="0" w:before="0"/>
            </w:pPr>
            <w:r>
              <w:rPr>
                <w:rFonts w:ascii="Aptos" w:hAnsi="Aptos"/>
                <w:sz w:val="14"/>
              </w:rPr>
              <w:t>P06, PDF-S. 28;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setzt primär auf privaten Neubau; soziale Förderung begrenzt</w:t>
            </w:r>
          </w:p>
        </w:tc>
        <w:tc>
          <w:tcPr>
            <w:tcW w:type="dxa" w:w="2018"/>
            <w:vAlign w:val="center"/>
            <w:tcMar>
              <w:top w:w="80" w:type="dxa"/>
              <w:start w:w="100" w:type="dxa"/>
              <w:bottom w:w="80" w:type="dxa"/>
              <w:end w:w="100" w:type="dxa"/>
            </w:tcMar>
          </w:tcPr>
          <w:p>
            <w:pPr>
              <w:spacing w:after="0" w:before="0"/>
            </w:pPr>
            <w:r>
              <w:rPr>
                <w:rFonts w:ascii="Aptos" w:hAnsi="Aptos"/>
                <w:sz w:val="14"/>
              </w:rPr>
              <w:t>P07, PDF-S. 43; Vertrauen: mittel</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öffentliche Finanzierung und Bodenbereitstellung → Bau dauerhaft gebundener Wohnungen → größerer nicht renditemaximierender Bestand → Entlastung angespannter Teilmärkte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Bau wirkt erst nach mehreren Jahren; dauerhafte Bindungen entfalten über Jahrzehnte Wirkung.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Wohnungssuchende, Haushalte mit niedrigen und mittleren Einkommen, Kommunen, Bauwirtschaft, Nachbarschaften.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regionale Bedarfe, Baukosten, Flächen und institutionelle Qualität sind entscheidend.</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Diskriminierungsfreie Vergabe, Wohnqualität und ökologische Mindeststandards sind nicht durch reine Stückzahlen kompensierbar.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E15</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mehr bezahlbarer Wohnraum</w:t>
            </w:r>
          </w:p>
        </w:tc>
        <w:tc>
          <w:tcPr>
            <w:tcW w:type="dxa" w:w="5046"/>
            <w:vAlign w:val="center"/>
            <w:tcMar>
              <w:top w:w="80" w:type="dxa"/>
              <w:start w:w="100" w:type="dxa"/>
              <w:bottom w:w="80" w:type="dxa"/>
              <w:end w:w="100" w:type="dxa"/>
            </w:tcMar>
          </w:tcPr>
          <w:p>
            <w:pPr>
              <w:spacing w:after="0" w:before="0"/>
            </w:pPr>
            <w:r>
              <w:rPr>
                <w:rFonts w:ascii="Aptos" w:hAnsi="Aptos"/>
                <w:sz w:val="16"/>
              </w:rPr>
              <w:t>• hoher Kapital- und Flächenbedarf</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stabilisierende Vergleichsangebote</w:t>
            </w:r>
          </w:p>
        </w:tc>
        <w:tc>
          <w:tcPr>
            <w:tcW w:type="dxa" w:w="5046"/>
            <w:vAlign w:val="center"/>
            <w:tcMar>
              <w:top w:w="80" w:type="dxa"/>
              <w:start w:w="100" w:type="dxa"/>
              <w:bottom w:w="80" w:type="dxa"/>
              <w:end w:w="100" w:type="dxa"/>
            </w:tcMar>
          </w:tcPr>
          <w:p>
            <w:pPr>
              <w:spacing w:after="0" w:before="0"/>
            </w:pPr>
            <w:r>
              <w:rPr>
                <w:rFonts w:ascii="Aptos" w:hAnsi="Aptos"/>
                <w:sz w:val="16"/>
              </w:rPr>
              <w:t>• Baukosten- und Kapazitätsengpässe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soziale Durchmischung</w:t>
            </w:r>
          </w:p>
        </w:tc>
        <w:tc>
          <w:tcPr>
            <w:tcW w:type="dxa" w:w="5046"/>
            <w:vAlign w:val="center"/>
            <w:tcMar>
              <w:top w:w="80" w:type="dxa"/>
              <w:start w:w="100" w:type="dxa"/>
              <w:bottom w:w="80" w:type="dxa"/>
              <w:end w:w="100" w:type="dxa"/>
            </w:tcMar>
          </w:tcPr>
          <w:p>
            <w:pPr>
              <w:spacing w:after="0" w:before="0"/>
            </w:pPr>
            <w:r>
              <w:rPr>
                <w:rFonts w:ascii="Aptos" w:hAnsi="Aptos"/>
                <w:sz w:val="16"/>
              </w:rPr>
              <w:t>• Fehlbelegung oder politische Vergabe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langfristige kommunale Gestaltungsmacht</w:t>
            </w:r>
          </w:p>
        </w:tc>
        <w:tc>
          <w:tcPr>
            <w:tcW w:type="dxa" w:w="5046"/>
            <w:vAlign w:val="center"/>
            <w:tcMar>
              <w:top w:w="80" w:type="dxa"/>
              <w:start w:w="100" w:type="dxa"/>
              <w:bottom w:w="80" w:type="dxa"/>
              <w:end w:w="100" w:type="dxa"/>
            </w:tcMar>
          </w:tcPr>
          <w:p>
            <w:pPr>
              <w:spacing w:after="0" w:before="0"/>
            </w:pPr>
            <w:r>
              <w:rPr>
                <w:rFonts w:ascii="Aptos" w:hAnsi="Aptos"/>
                <w:sz w:val="16"/>
              </w:rPr>
              <w:t>• Verdrängung privater Investitionen bei schlechter Koordination</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Klima &amp; Energie</w:t>
            </w:r>
          </w:p>
        </w:tc>
        <w:tc>
          <w:tcPr>
            <w:tcW w:type="dxa" w:w="3364"/>
            <w:vAlign w:val="center"/>
            <w:tcMar>
              <w:top w:w="80" w:type="dxa"/>
              <w:start w:w="100" w:type="dxa"/>
              <w:bottom w:w="80" w:type="dxa"/>
              <w:end w:w="100" w:type="dxa"/>
            </w:tcMar>
          </w:tcPr>
          <w:p>
            <w:pPr>
              <w:spacing w:after="0" w:before="0"/>
            </w:pPr>
            <w:r>
              <w:rPr>
                <w:rFonts w:ascii="Aptos" w:hAnsi="Aptos"/>
                <w:sz w:val="16"/>
              </w:rPr>
              <w:t>0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dauerhaft gebundene Wohnungen · Baufertigstellungen nach Region · Mietbelastung · Flächen- und Energiequalität · Belegungsstruktur · öffentliche Kosten pro Wohnung</w:t>
      </w:r>
    </w:p>
    <w:p>
      <w:pPr>
        <w:pStyle w:val="Heading3"/>
        <w:spacing w:after="80"/>
        <w:keepNext/>
      </w:pPr>
      <w:r>
        <w:t>Neutrale Ergebnis-Microcopy</w:t>
      </w:r>
    </w:p>
    <w:p>
      <w:pPr>
        <w:pStyle w:val="ListBullet"/>
        <w:spacing w:after="20" w:before="0"/>
      </w:pPr>
      <w:r>
        <w:t>„Bei Öffentlichen und gemeinnützigen Wohnungsbau ausbauen besteht eine {hohe/mittlere/geringe} positionale Nähe.“</w:t>
      </w:r>
    </w:p>
    <w:p>
      <w:pPr>
        <w:pStyle w:val="ListBullet"/>
        <w:spacing w:after="20" w:before="0"/>
      </w:pPr>
      <w:r>
        <w:t>„Die Option Öffentlichen und gemeinnützigen Wohnungsbau ausbauen weist vor allem in den Dimensionen Soziale Sicherheit &amp; Fairness, Gesundheit, Bildung &amp; Teilhabe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Q19 · Spekulativen Leerstand und Bodenhortung begrenzen</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Kommunen sollen ungenutzte baureife Grundstücke und spekulativen Wohnungsleerstand stärker mobilisieren können – etwa durch Abgaben, Baugebote, Vorkaufsrechte oder gemeinwohlorientierte Bodenfonds.</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Boden ist nicht vermehrbar. Unterlassene Nutzung kann in angespannten Märkten eine reale Wirkung auf Preise, Flächenverbrauch und Stadtentwicklung haben.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Soziale Sicherheit &amp; Fairness, Ressourcen &amp; Biodiversität, Resilienz &amp; Generationengerechtigkeit, Freiheit &amp; Selbstbestimmung, Informationsqualität &amp; demokratischer Zusammenhalt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10, 11, 12, 15</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regional zielgenaue Instrumente, verlässliche Ausnahmen für Sanierung und Härtefälle, transparente kommunale Verfahren.</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Innenentwicklung und Baulandmobilisierung, aber keine klare Spekulationsabgabe</w:t>
            </w:r>
          </w:p>
        </w:tc>
        <w:tc>
          <w:tcPr>
            <w:tcW w:type="dxa" w:w="2018"/>
            <w:vAlign w:val="center"/>
            <w:tcMar>
              <w:top w:w="80" w:type="dxa"/>
              <w:start w:w="100" w:type="dxa"/>
              <w:bottom w:w="80" w:type="dxa"/>
              <w:end w:w="100" w:type="dxa"/>
            </w:tcMar>
          </w:tcPr>
          <w:p>
            <w:pPr>
              <w:spacing w:after="0" w:before="0"/>
            </w:pPr>
            <w:r>
              <w:rPr>
                <w:rFonts w:ascii="Aptos" w:hAnsi="Aptos"/>
                <w:sz w:val="14"/>
              </w:rPr>
              <w:t>P01, PDF-S. 73;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Leerstand/Zweckentfremdung begrenzen und kommunale Instrumente stärken</w:t>
            </w:r>
          </w:p>
        </w:tc>
        <w:tc>
          <w:tcPr>
            <w:tcW w:type="dxa" w:w="2018"/>
            <w:vAlign w:val="center"/>
            <w:tcMar>
              <w:top w:w="80" w:type="dxa"/>
              <w:start w:w="100" w:type="dxa"/>
              <w:bottom w:w="80" w:type="dxa"/>
              <w:end w:w="100" w:type="dxa"/>
            </w:tcMar>
          </w:tcPr>
          <w:p>
            <w:pPr>
              <w:spacing w:after="0" w:before="0"/>
            </w:pPr>
            <w:r>
              <w:rPr>
                <w:rFonts w:ascii="Aptos" w:hAnsi="Aptos"/>
                <w:sz w:val="14"/>
              </w:rPr>
              <w:t>P02, PDF-S. 20;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Abgaben, Vorkaufsrechte und aktive Bodenpolitik</w:t>
            </w:r>
          </w:p>
        </w:tc>
        <w:tc>
          <w:tcPr>
            <w:tcW w:type="dxa" w:w="2018"/>
            <w:vAlign w:val="center"/>
            <w:tcMar>
              <w:top w:w="80" w:type="dxa"/>
              <w:start w:w="100" w:type="dxa"/>
              <w:bottom w:w="80" w:type="dxa"/>
              <w:end w:w="100" w:type="dxa"/>
            </w:tcMar>
          </w:tcPr>
          <w:p>
            <w:pPr>
              <w:spacing w:after="0" w:before="0"/>
            </w:pPr>
            <w:r>
              <w:rPr>
                <w:rFonts w:ascii="Aptos" w:hAnsi="Aptos"/>
                <w:sz w:val="14"/>
              </w:rPr>
              <w:t>P03, PDF-S. 73;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Regulierung weitgehend ab; Bodenzugang für Agrarinvestoren begrenzen</w:t>
            </w:r>
          </w:p>
        </w:tc>
        <w:tc>
          <w:tcPr>
            <w:tcW w:type="dxa" w:w="2018"/>
            <w:vAlign w:val="center"/>
            <w:tcMar>
              <w:top w:w="80" w:type="dxa"/>
              <w:start w:w="100" w:type="dxa"/>
              <w:bottom w:w="80" w:type="dxa"/>
              <w:end w:w="100" w:type="dxa"/>
            </w:tcMar>
          </w:tcPr>
          <w:p>
            <w:pPr>
              <w:spacing w:after="0" w:before="0"/>
            </w:pPr>
            <w:r>
              <w:rPr>
                <w:rFonts w:ascii="Aptos" w:hAnsi="Aptos"/>
                <w:sz w:val="14"/>
              </w:rPr>
              <w:t>P04, PDF-S. 38;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Leerstands- und Bodeninstrumente sowie öffentliches Eigentum</w:t>
            </w:r>
          </w:p>
        </w:tc>
        <w:tc>
          <w:tcPr>
            <w:tcW w:type="dxa" w:w="2018"/>
            <w:vAlign w:val="center"/>
            <w:tcMar>
              <w:top w:w="80" w:type="dxa"/>
              <w:start w:w="100" w:type="dxa"/>
              <w:bottom w:w="80" w:type="dxa"/>
              <w:end w:w="100" w:type="dxa"/>
            </w:tcMar>
          </w:tcPr>
          <w:p>
            <w:pPr>
              <w:spacing w:after="0" w:before="0"/>
            </w:pPr>
            <w:r>
              <w:rPr>
                <w:rFonts w:ascii="Aptos" w:hAnsi="Aptos"/>
                <w:sz w:val="14"/>
              </w:rPr>
              <w:t>P05, PDF-S. 9;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Leerstand regulieren, Spekulation eindämmen und Bodenpolitik stärken</w:t>
            </w:r>
          </w:p>
        </w:tc>
        <w:tc>
          <w:tcPr>
            <w:tcW w:type="dxa" w:w="2018"/>
            <w:vAlign w:val="center"/>
            <w:tcMar>
              <w:top w:w="80" w:type="dxa"/>
              <w:start w:w="100" w:type="dxa"/>
              <w:bottom w:w="80" w:type="dxa"/>
              <w:end w:w="100" w:type="dxa"/>
            </w:tcMar>
          </w:tcPr>
          <w:p>
            <w:pPr>
              <w:spacing w:after="0" w:before="0"/>
            </w:pPr>
            <w:r>
              <w:rPr>
                <w:rFonts w:ascii="Aptos" w:hAnsi="Aptos"/>
                <w:sz w:val="14"/>
              </w:rPr>
              <w:t>P06, PDF-S. 28;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zusätzliche Abgaben und Eingriffe in Eigentum überwiegend ab</w:t>
            </w:r>
          </w:p>
        </w:tc>
        <w:tc>
          <w:tcPr>
            <w:tcW w:type="dxa" w:w="2018"/>
            <w:vAlign w:val="center"/>
            <w:tcMar>
              <w:top w:w="80" w:type="dxa"/>
              <w:start w:w="100" w:type="dxa"/>
              <w:bottom w:w="80" w:type="dxa"/>
              <w:end w:w="100" w:type="dxa"/>
            </w:tcMar>
          </w:tcPr>
          <w:p>
            <w:pPr>
              <w:spacing w:after="0" w:before="0"/>
            </w:pPr>
            <w:r>
              <w:rPr>
                <w:rFonts w:ascii="Aptos" w:hAnsi="Aptos"/>
                <w:sz w:val="14"/>
              </w:rPr>
              <w:t>P07, PDF-S. 44;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Halten ohne Nutzung wird teurer → Flächen kommen in Nutzung oder Verkauf → Innenentwicklung steigt → Kommunen gewinnen Gestaltungsspielraum → Außenflächen werden entlastet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Verhaltensreaktionen können kurzfristig sein; Stadtstruktur und Flächeneffekte entstehen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Grundstückseigentümer*innen, Wohnungssuchende, Kommunen, Nachbarschaften, Natur- und Landwirtschaftsflächen.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mittel bis 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Wirkung ist stark regional und instrumentenabhängig.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Verhältnismäßigkeit, Rechtsschutz und tatsächliche Härtefälle sind zwingende Grenzen.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E16</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Mobilisierung vorhandener Potenziale</w:t>
            </w:r>
          </w:p>
        </w:tc>
        <w:tc>
          <w:tcPr>
            <w:tcW w:type="dxa" w:w="5046"/>
            <w:vAlign w:val="center"/>
            <w:tcMar>
              <w:top w:w="80" w:type="dxa"/>
              <w:start w:w="100" w:type="dxa"/>
              <w:bottom w:w="80" w:type="dxa"/>
              <w:end w:w="100" w:type="dxa"/>
            </w:tcMar>
          </w:tcPr>
          <w:p>
            <w:pPr>
              <w:spacing w:after="0" w:before="0"/>
            </w:pPr>
            <w:r>
              <w:rPr>
                <w:rFonts w:ascii="Aptos" w:hAnsi="Aptos"/>
                <w:sz w:val="16"/>
              </w:rPr>
              <w:t>• Eigentumseingriff und Rechtsstreit</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weniger leistungslose Knappheitsgewinne</w:t>
            </w:r>
          </w:p>
        </w:tc>
        <w:tc>
          <w:tcPr>
            <w:tcW w:type="dxa" w:w="5046"/>
            <w:vAlign w:val="center"/>
            <w:tcMar>
              <w:top w:w="80" w:type="dxa"/>
              <w:start w:w="100" w:type="dxa"/>
              <w:bottom w:w="80" w:type="dxa"/>
              <w:end w:w="100" w:type="dxa"/>
            </w:tcMar>
          </w:tcPr>
          <w:p>
            <w:pPr>
              <w:spacing w:after="0" w:before="0"/>
            </w:pPr>
            <w:r>
              <w:rPr>
                <w:rFonts w:ascii="Aptos" w:hAnsi="Aptos"/>
                <w:sz w:val="16"/>
              </w:rPr>
              <w:t>• Weitergabe von Kosten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flächensparende Entwicklung</w:t>
            </w:r>
          </w:p>
        </w:tc>
        <w:tc>
          <w:tcPr>
            <w:tcW w:type="dxa" w:w="5046"/>
            <w:vAlign w:val="center"/>
            <w:tcMar>
              <w:top w:w="80" w:type="dxa"/>
              <w:start w:w="100" w:type="dxa"/>
              <w:bottom w:w="80" w:type="dxa"/>
              <w:end w:w="100" w:type="dxa"/>
            </w:tcMar>
          </w:tcPr>
          <w:p>
            <w:pPr>
              <w:spacing w:after="0" w:before="0"/>
            </w:pPr>
            <w:r>
              <w:rPr>
                <w:rFonts w:ascii="Aptos" w:hAnsi="Aptos"/>
                <w:sz w:val="16"/>
              </w:rPr>
              <w:t>• Scheinaktivitäten oder Umgehung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zusätzlicher bezahlbarer Wohnraum bei Bindungen</w:t>
            </w:r>
          </w:p>
        </w:tc>
        <w:tc>
          <w:tcPr>
            <w:tcW w:type="dxa" w:w="5046"/>
            <w:vAlign w:val="center"/>
            <w:tcMar>
              <w:top w:w="80" w:type="dxa"/>
              <w:start w:w="100" w:type="dxa"/>
              <w:bottom w:w="80" w:type="dxa"/>
              <w:end w:w="100" w:type="dxa"/>
            </w:tcMar>
          </w:tcPr>
          <w:p>
            <w:pPr>
              <w:spacing w:after="0" w:before="0"/>
            </w:pPr>
            <w:r>
              <w:rPr>
                <w:rFonts w:ascii="Aptos" w:hAnsi="Aptos"/>
                <w:sz w:val="16"/>
              </w:rPr>
              <w:t>• geringe Wirkung in entspannten Märkten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hoher Verwaltungsaufwand</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Ressourcen &amp; Biodiversität</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Leerstandsquote · baureife unbebaute Grundstücke · Innenentwicklungsanteil · Bodenpreise · kommunale Ankäufe · zusätzliche gebundene Wohnungen</w:t>
      </w:r>
    </w:p>
    <w:p>
      <w:pPr>
        <w:pStyle w:val="Heading3"/>
        <w:spacing w:after="80"/>
        <w:keepNext/>
      </w:pPr>
      <w:r>
        <w:t>Neutrale Ergebnis-Microcopy</w:t>
      </w:r>
    </w:p>
    <w:p>
      <w:pPr>
        <w:pStyle w:val="ListBullet"/>
        <w:spacing w:after="20" w:before="0"/>
      </w:pPr>
      <w:r>
        <w:t>„Bei Spekulativen Leerstand und Bodenhortung begrenzen besteht eine {hohe/mittlere/geringe} positionale Nähe.“</w:t>
      </w:r>
    </w:p>
    <w:p>
      <w:pPr>
        <w:pStyle w:val="ListBullet"/>
        <w:spacing w:after="20" w:before="0"/>
      </w:pPr>
      <w:r>
        <w:t>„Die Option Spekulativen Leerstand und Bodenhortung begrenzen weist vor allem in den Dimensionen Soziale Sicherheit &amp; Fairness, Ressourcen &amp; Biodiversität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Q20 · Öffentliche Kontrolle kritischer Daseinsvorsorge</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Kritische Bereiche der Daseinsvorsorge – etwa Wasser, zentrale Netze, Schieneninfrastruktur und grundlegende Krankenhausversorgung – sollen dauerhaft unter öffentlicher oder gemeinwohlgebundener Kontrolle stehen.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unterscheidet Wettbewerb bei Leistungen von der Kontrolle natürlicher Monopole und systemrelevanter Infrastruktur.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Resilienz &amp; Generationengerechtigkeit, Soziale Sicherheit &amp; Fairness, Informationsqualität &amp; demokratischer Zusammenhalt, Freiheit &amp; Selbstbestimmung, Gesundheit, Bildung &amp; Teilhabe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3, 6, 7, 9, 11, 16</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öffentliche oder streng gemeinwohlgebundene Kontrolle der Infrastruktur, transparente Leistungsziele und unabhängige Effizienzprüfung.</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setzt stärker auf Wettbewerb und private Investitionen</w:t>
            </w:r>
          </w:p>
        </w:tc>
        <w:tc>
          <w:tcPr>
            <w:tcW w:type="dxa" w:w="2018"/>
            <w:vAlign w:val="center"/>
            <w:tcMar>
              <w:top w:w="80" w:type="dxa"/>
              <w:start w:w="100" w:type="dxa"/>
              <w:bottom w:w="80" w:type="dxa"/>
              <w:end w:w="100" w:type="dxa"/>
            </w:tcMar>
          </w:tcPr>
          <w:p>
            <w:pPr>
              <w:spacing w:after="0" w:before="0"/>
            </w:pPr>
            <w:r>
              <w:rPr>
                <w:rFonts w:ascii="Aptos" w:hAnsi="Aptos"/>
                <w:sz w:val="14"/>
              </w:rPr>
              <w:t>P01, PDF-S. 9;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schließt Privatisierung staatlicher Daseinsvorsorge aus und stärkt öffentliche Akteure</w:t>
            </w:r>
          </w:p>
        </w:tc>
        <w:tc>
          <w:tcPr>
            <w:tcW w:type="dxa" w:w="2018"/>
            <w:vAlign w:val="center"/>
            <w:tcMar>
              <w:top w:w="80" w:type="dxa"/>
              <w:start w:w="100" w:type="dxa"/>
              <w:bottom w:w="80" w:type="dxa"/>
              <w:end w:w="100" w:type="dxa"/>
            </w:tcMar>
          </w:tcPr>
          <w:p>
            <w:pPr>
              <w:spacing w:after="0" w:before="0"/>
            </w:pPr>
            <w:r>
              <w:rPr>
                <w:rFonts w:ascii="Aptos" w:hAnsi="Aptos"/>
                <w:sz w:val="14"/>
              </w:rPr>
              <w:t>P02, PDF-S. 8;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zentrale Netze/Versorgung gemeinwohlorientiert und öffentlich steuern</w:t>
            </w:r>
          </w:p>
        </w:tc>
        <w:tc>
          <w:tcPr>
            <w:tcW w:type="dxa" w:w="2018"/>
            <w:vAlign w:val="center"/>
            <w:tcMar>
              <w:top w:w="80" w:type="dxa"/>
              <w:start w:w="100" w:type="dxa"/>
              <w:bottom w:w="80" w:type="dxa"/>
              <w:end w:w="100" w:type="dxa"/>
            </w:tcMar>
          </w:tcPr>
          <w:p>
            <w:pPr>
              <w:spacing w:after="0" w:before="0"/>
            </w:pPr>
            <w:r>
              <w:rPr>
                <w:rFonts w:ascii="Aptos" w:hAnsi="Aptos"/>
                <w:sz w:val="14"/>
              </w:rPr>
              <w:t>P03, PDF-S. 109;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gemischte Position: öffentliche Schiene, sonst keine klare Grundregel</w:t>
            </w:r>
          </w:p>
        </w:tc>
        <w:tc>
          <w:tcPr>
            <w:tcW w:type="dxa" w:w="2018"/>
            <w:vAlign w:val="center"/>
            <w:tcMar>
              <w:top w:w="80" w:type="dxa"/>
              <w:start w:w="100" w:type="dxa"/>
              <w:bottom w:w="80" w:type="dxa"/>
              <w:end w:w="100" w:type="dxa"/>
            </w:tcMar>
          </w:tcPr>
          <w:p>
            <w:pPr>
              <w:spacing w:after="0" w:before="0"/>
            </w:pPr>
            <w:r>
              <w:rPr>
                <w:rFonts w:ascii="Aptos" w:hAnsi="Aptos"/>
                <w:sz w:val="14"/>
              </w:rPr>
              <w:t>P04, PDF-S. 44;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Rekommunalisierung und öffentliche Daseinsvorsorge</w:t>
            </w:r>
          </w:p>
        </w:tc>
        <w:tc>
          <w:tcPr>
            <w:tcW w:type="dxa" w:w="2018"/>
            <w:vAlign w:val="center"/>
            <w:tcMar>
              <w:top w:w="80" w:type="dxa"/>
              <w:start w:w="100" w:type="dxa"/>
              <w:bottom w:w="80" w:type="dxa"/>
              <w:end w:w="100" w:type="dxa"/>
            </w:tcMar>
          </w:tcPr>
          <w:p>
            <w:pPr>
              <w:spacing w:after="0" w:before="0"/>
            </w:pPr>
            <w:r>
              <w:rPr>
                <w:rFonts w:ascii="Aptos" w:hAnsi="Aptos"/>
                <w:sz w:val="14"/>
              </w:rPr>
              <w:t>P05, PDF-S. 44;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öffentliche Netze, Bahn, Gesundheit und kommunale Unternehmen</w:t>
            </w:r>
          </w:p>
        </w:tc>
        <w:tc>
          <w:tcPr>
            <w:tcW w:type="dxa" w:w="2018"/>
            <w:vAlign w:val="center"/>
            <w:tcMar>
              <w:top w:w="80" w:type="dxa"/>
              <w:start w:w="100" w:type="dxa"/>
              <w:bottom w:w="80" w:type="dxa"/>
              <w:end w:w="100" w:type="dxa"/>
            </w:tcMar>
          </w:tcPr>
          <w:p>
            <w:pPr>
              <w:spacing w:after="0" w:before="0"/>
            </w:pPr>
            <w:r>
              <w:rPr>
                <w:rFonts w:ascii="Aptos" w:hAnsi="Aptos"/>
                <w:sz w:val="14"/>
              </w:rPr>
              <w:t>P06, PDF-S. 11;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Staatsbeteiligungen verkaufen und Wettbewerb ausweiten</w:t>
            </w:r>
          </w:p>
        </w:tc>
        <w:tc>
          <w:tcPr>
            <w:tcW w:type="dxa" w:w="2018"/>
            <w:vAlign w:val="center"/>
            <w:tcMar>
              <w:top w:w="80" w:type="dxa"/>
              <w:start w:w="100" w:type="dxa"/>
              <w:bottom w:w="80" w:type="dxa"/>
              <w:end w:w="100" w:type="dxa"/>
            </w:tcMar>
          </w:tcPr>
          <w:p>
            <w:pPr>
              <w:spacing w:after="0" w:before="0"/>
            </w:pPr>
            <w:r>
              <w:rPr>
                <w:rFonts w:ascii="Aptos" w:hAnsi="Aptos"/>
                <w:sz w:val="14"/>
              </w:rPr>
              <w:t>P07, PDF-S. 36;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Gewinn- und Versorgungsziele werden neu gewichtet → langfristige Investitionsplanung → demokratische Rechenschaft → mögliche Querfinanzierung und Zugangssicherung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Eigentumsübergänge sind kurzfristig teuer; Governance- und Resilienzfolgen wirken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Nutzer*innen, Beschäftigte, Kommunen, private Betreiber, Steuerzahlende und Krisenvorsorge.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mittel</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hoch: Eigentumsform allein garantiert weder Wirkung noch Effizienz; Governance ist entscheidend.</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Universeller Zugang, Trinkwasserqualität, Notfallversorgung und demokratische Kontrolle sind Mindestbedingungen.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E15</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höhere Versorgungssicherheit</w:t>
            </w:r>
          </w:p>
        </w:tc>
        <w:tc>
          <w:tcPr>
            <w:tcW w:type="dxa" w:w="5046"/>
            <w:vAlign w:val="center"/>
            <w:tcMar>
              <w:top w:w="80" w:type="dxa"/>
              <w:start w:w="100" w:type="dxa"/>
              <w:bottom w:w="80" w:type="dxa"/>
              <w:end w:w="100" w:type="dxa"/>
            </w:tcMar>
          </w:tcPr>
          <w:p>
            <w:pPr>
              <w:spacing w:after="0" w:before="0"/>
            </w:pPr>
            <w:r>
              <w:rPr>
                <w:rFonts w:ascii="Aptos" w:hAnsi="Aptos"/>
                <w:sz w:val="16"/>
              </w:rPr>
              <w:t>• politische Einflussnahme und Ineffizienz</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geringeres Monopol- und Extraktionsrisiko</w:t>
            </w:r>
          </w:p>
        </w:tc>
        <w:tc>
          <w:tcPr>
            <w:tcW w:type="dxa" w:w="5046"/>
            <w:vAlign w:val="center"/>
            <w:tcMar>
              <w:top w:w="80" w:type="dxa"/>
              <w:start w:w="100" w:type="dxa"/>
              <w:bottom w:w="80" w:type="dxa"/>
              <w:end w:w="100" w:type="dxa"/>
            </w:tcMar>
          </w:tcPr>
          <w:p>
            <w:pPr>
              <w:spacing w:after="0" w:before="0"/>
            </w:pPr>
            <w:r>
              <w:rPr>
                <w:rFonts w:ascii="Aptos" w:hAnsi="Aptos"/>
                <w:sz w:val="16"/>
              </w:rPr>
              <w:t>• Investitionsstau bei knappen Haushalten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politische Steuerbarkeit langfristiger Investitionen</w:t>
            </w:r>
          </w:p>
        </w:tc>
        <w:tc>
          <w:tcPr>
            <w:tcW w:type="dxa" w:w="5046"/>
            <w:vAlign w:val="center"/>
            <w:tcMar>
              <w:top w:w="80" w:type="dxa"/>
              <w:start w:w="100" w:type="dxa"/>
              <w:bottom w:w="80" w:type="dxa"/>
              <w:end w:w="100" w:type="dxa"/>
            </w:tcMar>
          </w:tcPr>
          <w:p>
            <w:pPr>
              <w:spacing w:after="0" w:before="0"/>
            </w:pPr>
            <w:r>
              <w:rPr>
                <w:rFonts w:ascii="Aptos" w:hAnsi="Aptos"/>
                <w:sz w:val="16"/>
              </w:rPr>
              <w:t>• schwächere Innovationsanreize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universeller Zugang</w:t>
            </w:r>
          </w:p>
        </w:tc>
        <w:tc>
          <w:tcPr>
            <w:tcW w:type="dxa" w:w="5046"/>
            <w:vAlign w:val="center"/>
            <w:tcMar>
              <w:top w:w="80" w:type="dxa"/>
              <w:start w:w="100" w:type="dxa"/>
              <w:bottom w:w="80" w:type="dxa"/>
              <w:end w:w="100" w:type="dxa"/>
            </w:tcMar>
          </w:tcPr>
          <w:p>
            <w:pPr>
              <w:spacing w:after="0" w:before="0"/>
            </w:pPr>
            <w:r>
              <w:rPr>
                <w:rFonts w:ascii="Aptos" w:hAnsi="Aptos"/>
                <w:sz w:val="16"/>
              </w:rPr>
              <w:t>• unklare Verantwortlichkeit ohne Governance</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Versorgungsunterbrechungen · Investitionsquote · Preis- und Zugangsqualität · Transparenz · Beschäftigungsstandards · Krisenreserven</w:t>
      </w:r>
    </w:p>
    <w:p>
      <w:pPr>
        <w:pStyle w:val="Heading3"/>
        <w:spacing w:after="80"/>
        <w:keepNext/>
      </w:pPr>
      <w:r>
        <w:t>Neutrale Ergebnis-Microcopy</w:t>
      </w:r>
    </w:p>
    <w:p>
      <w:pPr>
        <w:pStyle w:val="ListBullet"/>
        <w:spacing w:after="20" w:before="0"/>
      </w:pPr>
      <w:r>
        <w:t>„Bei Öffentliche Kontrolle kritischer Daseinsvorsorge besteht eine {hohe/mittlere/geringe} positionale Nähe.“</w:t>
      </w:r>
    </w:p>
    <w:p>
      <w:pPr>
        <w:pStyle w:val="ListBullet"/>
        <w:spacing w:after="20" w:before="0"/>
      </w:pPr>
      <w:r>
        <w:t>„Die Option Öffentliche Kontrolle kritischer Daseinsvorsorge weist vor allem in den Dimensionen Resilienz &amp; Generationengerechtigkeit, Soziale Sicherheit &amp; Fairness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1"/>
        <w:spacing w:after="80"/>
        <w:keepNext/>
        <w:pageBreakBefore w:val="true"/>
      </w:pPr>
      <w:r>
        <w:t>F. Demokratie, Medien &amp; digitale Öffentlichkeit</w:t>
      </w:r>
    </w:p>
    <w:p>
      <w:pPr>
        <w:spacing w:after="80"/>
      </w:pPr>
      <w:r>
        <w:t>Die folgenden vier Fragen bilden das Themenfeld ab. Jede Frage enthält Parteiposition und Wirkungsanalyse als getrennte Ebenen.</w:t>
      </w:r>
    </w:p>
    <w:p>
      <w:pPr>
        <w:pStyle w:val="Heading2"/>
        <w:spacing w:after="80"/>
        <w:keepNext/>
      </w:pPr>
      <w:r>
        <w:t>Q21 · Öffentlich-rechtliche Medien sichern und reformieren</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Der öffentlich-rechtliche Rundfunk soll als unabhängige demokratische Infrastruktur erhalten bleiben. Auftrag, Kosten, Kontrolle, regionale Vielfalt und Transparenz sollen zugleich verbindlich reformiert werden.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vermeidet die falsche Alternative zwischen unverändertem Status quo und Abschaffung.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Informationsqualität &amp; demokratischer Zusammenhalt, Rechtsstaat &amp; Grundrechte, Freiheit &amp; Selbstbestimmung, Resilienz &amp; Generationengerechtigkeit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16; SDG+ Medienqualität, Demokratiequalität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verlässliche, staatsferne Finanzierung, klarer öffentlicher Auftrag, transparente Governance und wirksame Kontrolle.</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keine eindeutige programmatische Gesamtposition zur Sicherung plus Reform</w:t>
            </w:r>
          </w:p>
        </w:tc>
        <w:tc>
          <w:tcPr>
            <w:tcW w:type="dxa" w:w="2018"/>
            <w:vAlign w:val="center"/>
            <w:tcMar>
              <w:top w:w="80" w:type="dxa"/>
              <w:start w:w="100" w:type="dxa"/>
              <w:bottom w:w="80" w:type="dxa"/>
              <w:end w:w="100" w:type="dxa"/>
            </w:tcMar>
          </w:tcPr>
          <w:p>
            <w:pPr>
              <w:spacing w:after="0" w:before="0"/>
            </w:pPr>
            <w:r>
              <w:rPr>
                <w:rFonts w:ascii="Aptos" w:hAnsi="Aptos"/>
                <w:sz w:val="14"/>
              </w:rPr>
              <w:t>P01, PDF-S. –; Vertrauen: niedrig</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unabhängigen öffentlich-rechtlichen Rundfunk stärken und reformieren</w:t>
            </w:r>
          </w:p>
        </w:tc>
        <w:tc>
          <w:tcPr>
            <w:tcW w:type="dxa" w:w="2018"/>
            <w:vAlign w:val="center"/>
            <w:tcMar>
              <w:top w:w="80" w:type="dxa"/>
              <w:start w:w="100" w:type="dxa"/>
              <w:bottom w:w="80" w:type="dxa"/>
              <w:end w:w="100" w:type="dxa"/>
            </w:tcMar>
          </w:tcPr>
          <w:p>
            <w:pPr>
              <w:spacing w:after="0" w:before="0"/>
            </w:pPr>
            <w:r>
              <w:rPr>
                <w:rFonts w:ascii="Aptos" w:hAnsi="Aptos"/>
                <w:sz w:val="14"/>
              </w:rPr>
              <w:t>P02, PDF-S. 50;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verteidigt öffentlich-rechtliche Medien und stärkt Unabhängigkeit</w:t>
            </w:r>
          </w:p>
        </w:tc>
        <w:tc>
          <w:tcPr>
            <w:tcW w:type="dxa" w:w="2018"/>
            <w:vAlign w:val="center"/>
            <w:tcMar>
              <w:top w:w="80" w:type="dxa"/>
              <w:start w:w="100" w:type="dxa"/>
              <w:bottom w:w="80" w:type="dxa"/>
              <w:end w:w="100" w:type="dxa"/>
            </w:tcMar>
          </w:tcPr>
          <w:p>
            <w:pPr>
              <w:spacing w:after="0" w:before="0"/>
            </w:pPr>
            <w:r>
              <w:rPr>
                <w:rFonts w:ascii="Aptos" w:hAnsi="Aptos"/>
                <w:sz w:val="14"/>
              </w:rPr>
              <w:t>P03, PDF-S. 35;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Rundfunkbeitrag abschaffen und öffentlich-rechtlichen Rundfunk stark zurückbauen</w:t>
            </w:r>
          </w:p>
        </w:tc>
        <w:tc>
          <w:tcPr>
            <w:tcW w:type="dxa" w:w="2018"/>
            <w:vAlign w:val="center"/>
            <w:tcMar>
              <w:top w:w="80" w:type="dxa"/>
              <w:start w:w="100" w:type="dxa"/>
              <w:bottom w:w="80" w:type="dxa"/>
              <w:end w:w="100" w:type="dxa"/>
            </w:tcMar>
          </w:tcPr>
          <w:p>
            <w:pPr>
              <w:spacing w:after="0" w:before="0"/>
            </w:pPr>
            <w:r>
              <w:rPr>
                <w:rFonts w:ascii="Aptos" w:hAnsi="Aptos"/>
                <w:sz w:val="14"/>
              </w:rPr>
              <w:t>P04, PDF-S. 64;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verteidigt und demokratisiert öffentlich-rechtliche Medien</w:t>
            </w:r>
          </w:p>
        </w:tc>
        <w:tc>
          <w:tcPr>
            <w:tcW w:type="dxa" w:w="2018"/>
            <w:vAlign w:val="center"/>
            <w:tcMar>
              <w:top w:w="80" w:type="dxa"/>
              <w:start w:w="100" w:type="dxa"/>
              <w:bottom w:w="80" w:type="dxa"/>
              <w:end w:w="100" w:type="dxa"/>
            </w:tcMar>
          </w:tcPr>
          <w:p>
            <w:pPr>
              <w:spacing w:after="0" w:before="0"/>
            </w:pPr>
            <w:r>
              <w:rPr>
                <w:rFonts w:ascii="Aptos" w:hAnsi="Aptos"/>
                <w:sz w:val="14"/>
              </w:rPr>
              <w:t>P05, PDF-S. 57;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Reform, Kostensenkung und weniger politische Abhängigkeit, nicht klare Abschaffung</w:t>
            </w:r>
          </w:p>
        </w:tc>
        <w:tc>
          <w:tcPr>
            <w:tcW w:type="dxa" w:w="2018"/>
            <w:vAlign w:val="center"/>
            <w:tcMar>
              <w:top w:w="80" w:type="dxa"/>
              <w:start w:w="100" w:type="dxa"/>
              <w:bottom w:w="80" w:type="dxa"/>
              <w:end w:w="100" w:type="dxa"/>
            </w:tcMar>
          </w:tcPr>
          <w:p>
            <w:pPr>
              <w:spacing w:after="0" w:before="0"/>
            </w:pPr>
            <w:r>
              <w:rPr>
                <w:rFonts w:ascii="Aptos" w:hAnsi="Aptos"/>
                <w:sz w:val="14"/>
              </w:rPr>
              <w:t>P06, PDF-S. 43;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Auftrag verschlanken, Beitrag senken und Strukturen reformieren</w:t>
            </w:r>
          </w:p>
        </w:tc>
        <w:tc>
          <w:tcPr>
            <w:tcW w:type="dxa" w:w="2018"/>
            <w:vAlign w:val="center"/>
            <w:tcMar>
              <w:top w:w="80" w:type="dxa"/>
              <w:start w:w="100" w:type="dxa"/>
              <w:bottom w:w="80" w:type="dxa"/>
              <w:end w:w="100" w:type="dxa"/>
            </w:tcMar>
          </w:tcPr>
          <w:p>
            <w:pPr>
              <w:spacing w:after="0" w:before="0"/>
            </w:pPr>
            <w:r>
              <w:rPr>
                <w:rFonts w:ascii="Aptos" w:hAnsi="Aptos"/>
                <w:sz w:val="14"/>
              </w:rPr>
              <w:t>P07, PDF-S. 27; Vertrauen: mittel</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unabhängige Finanzierung und Auftrag → journalistische Angebote für alle → pluraler öffentlicher Raum → Reform reduziert Kosten- und Vertrauensprobleme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Reformen wirken mittelfristig; Vertrauen, Medienvielfalt und Resilienz entwickeln sich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Beitragszahlende, Journalist*innen, private Medien, Regionen, Minderheiten, demokratische Öffentlichkeit.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mittel bis 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Wirkung hängt von realer Unabhängigkeit, Qualität, Reichweite und Reformtiefe ab.</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Redaktionelle Unabhängigkeit, Meinungsvielfalt und Schutz vor staatlicher Propaganda sind nicht kompensierbar.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E17</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universeller Zugang zu verlässlicher Information</w:t>
            </w:r>
          </w:p>
        </w:tc>
        <w:tc>
          <w:tcPr>
            <w:tcW w:type="dxa" w:w="5046"/>
            <w:vAlign w:val="center"/>
            <w:tcMar>
              <w:top w:w="80" w:type="dxa"/>
              <w:start w:w="100" w:type="dxa"/>
              <w:bottom w:w="80" w:type="dxa"/>
              <w:end w:w="100" w:type="dxa"/>
            </w:tcMar>
          </w:tcPr>
          <w:p>
            <w:pPr>
              <w:spacing w:after="0" w:before="0"/>
            </w:pPr>
            <w:r>
              <w:rPr>
                <w:rFonts w:ascii="Aptos" w:hAnsi="Aptos"/>
                <w:sz w:val="16"/>
              </w:rPr>
              <w:t>• politischer oder institutioneller Einfluss</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Medienvielfalt und regionale Öffentlichkeit</w:t>
            </w:r>
          </w:p>
        </w:tc>
        <w:tc>
          <w:tcPr>
            <w:tcW w:type="dxa" w:w="5046"/>
            <w:vAlign w:val="center"/>
            <w:tcMar>
              <w:top w:w="80" w:type="dxa"/>
              <w:start w:w="100" w:type="dxa"/>
              <w:bottom w:w="80" w:type="dxa"/>
              <w:end w:w="100" w:type="dxa"/>
            </w:tcMar>
          </w:tcPr>
          <w:p>
            <w:pPr>
              <w:spacing w:after="0" w:before="0"/>
            </w:pPr>
            <w:r>
              <w:rPr>
                <w:rFonts w:ascii="Aptos" w:hAnsi="Aptos"/>
                <w:sz w:val="16"/>
              </w:rPr>
              <w:t>• Gebühren- und Akzeptanzkonflikte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Krisen- und Desinformationsresilienz</w:t>
            </w:r>
          </w:p>
        </w:tc>
        <w:tc>
          <w:tcPr>
            <w:tcW w:type="dxa" w:w="5046"/>
            <w:vAlign w:val="center"/>
            <w:tcMar>
              <w:top w:w="80" w:type="dxa"/>
              <w:start w:w="100" w:type="dxa"/>
              <w:bottom w:w="80" w:type="dxa"/>
              <w:end w:w="100" w:type="dxa"/>
            </w:tcMar>
          </w:tcPr>
          <w:p>
            <w:pPr>
              <w:spacing w:after="0" w:before="0"/>
            </w:pPr>
            <w:r>
              <w:rPr>
                <w:rFonts w:ascii="Aptos" w:hAnsi="Aptos"/>
                <w:sz w:val="16"/>
              </w:rPr>
              <w:t>• Marktverdrängung privater Medien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Angebote ohne reine Werbe- und Klicklogik</w:t>
            </w:r>
          </w:p>
        </w:tc>
        <w:tc>
          <w:tcPr>
            <w:tcW w:type="dxa" w:w="5046"/>
            <w:vAlign w:val="center"/>
            <w:tcMar>
              <w:top w:w="80" w:type="dxa"/>
              <w:start w:w="100" w:type="dxa"/>
              <w:bottom w:w="80" w:type="dxa"/>
              <w:end w:w="100" w:type="dxa"/>
            </w:tcMar>
          </w:tcPr>
          <w:p>
            <w:pPr>
              <w:spacing w:after="0" w:before="0"/>
            </w:pPr>
            <w:r>
              <w:rPr>
                <w:rFonts w:ascii="Aptos" w:hAnsi="Aptos"/>
                <w:sz w:val="16"/>
              </w:rPr>
              <w:t>• Bürokratie und Selbstreferenzialität</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Rechtsstaat &amp; Grundrechte</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0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Vertrauen · Reichweite unterschiedlicher Gruppen · journalistische Qualität · Kosten pro Nutzung · Transparenz der Gremien · politische Unabhängigkeit</w:t>
      </w:r>
    </w:p>
    <w:p>
      <w:pPr>
        <w:pStyle w:val="Heading3"/>
        <w:spacing w:after="80"/>
        <w:keepNext/>
      </w:pPr>
      <w:r>
        <w:t>Neutrale Ergebnis-Microcopy</w:t>
      </w:r>
    </w:p>
    <w:p>
      <w:pPr>
        <w:pStyle w:val="ListBullet"/>
        <w:spacing w:after="20" w:before="0"/>
      </w:pPr>
      <w:r>
        <w:t>„Bei Öffentlich-rechtliche Medien sichern und reformieren besteht eine {hohe/mittlere/geringe} positionale Nähe.“</w:t>
      </w:r>
    </w:p>
    <w:p>
      <w:pPr>
        <w:pStyle w:val="ListBullet"/>
        <w:spacing w:after="20" w:before="0"/>
      </w:pPr>
      <w:r>
        <w:t>„Die Option Öffentlich-rechtliche Medien sichern und reformieren weist vor allem in den Dimensionen Informationsqualität &amp; demokratischer Zusammenhalt, Rechtsstaat &amp; Grundrechte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Q22 · Transparenz und Risikopflichten für Plattformen</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Große digitale Plattformen sollen Empfehlungsalgorithmen und politische Werbung transparenter machen und nachweisbare systemische Risiken durch Desinformation, Hass und Manipulation mindern müssen.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Es geht nicht um eine staatliche Wahrheitsbehörde, sondern um Verantwortung für Verstärkungsmechanismen, Datenzugang, Grundrechte und überprüfbare Verfahren.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Informationsqualität &amp; demokratischer Zusammenhalt, Rechtsstaat &amp; Grundrechte, Freiheit &amp; Selbstbestimmung, Resilienz &amp; Generationengerechtigkeit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16; SDG+ Diskursfähigkeit, digitale Selbstbestimmung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risikobasierte Pflichten, unabhängige Audits, Forschendenzugang, Werbetransparenz, Beschwerde- und Rechtsbehelfe.</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unterstützt Plattformregeln und Schutz, betont Freiheit und Innovation</w:t>
            </w:r>
          </w:p>
        </w:tc>
        <w:tc>
          <w:tcPr>
            <w:tcW w:type="dxa" w:w="2018"/>
            <w:vAlign w:val="center"/>
            <w:tcMar>
              <w:top w:w="80" w:type="dxa"/>
              <w:start w:w="100" w:type="dxa"/>
              <w:bottom w:w="80" w:type="dxa"/>
              <w:end w:w="100" w:type="dxa"/>
            </w:tcMar>
          </w:tcPr>
          <w:p>
            <w:pPr>
              <w:spacing w:after="0" w:before="0"/>
            </w:pPr>
            <w:r>
              <w:rPr>
                <w:rFonts w:ascii="Aptos" w:hAnsi="Aptos"/>
                <w:sz w:val="14"/>
              </w:rPr>
              <w:t>P01, PDF-S. 30;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Plattformverantwortung, Transparenz und Schutz vor Desinformation</w:t>
            </w:r>
          </w:p>
        </w:tc>
        <w:tc>
          <w:tcPr>
            <w:tcW w:type="dxa" w:w="2018"/>
            <w:vAlign w:val="center"/>
            <w:tcMar>
              <w:top w:w="80" w:type="dxa"/>
              <w:start w:w="100" w:type="dxa"/>
              <w:bottom w:w="80" w:type="dxa"/>
              <w:end w:w="100" w:type="dxa"/>
            </w:tcMar>
          </w:tcPr>
          <w:p>
            <w:pPr>
              <w:spacing w:after="0" w:before="0"/>
            </w:pPr>
            <w:r>
              <w:rPr>
                <w:rFonts w:ascii="Aptos" w:hAnsi="Aptos"/>
                <w:sz w:val="14"/>
              </w:rPr>
              <w:t>P02, PDF-S. 50;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Algorithmustransparenz, DSA-Durchsetzung und demokratische Digitalräume</w:t>
            </w:r>
          </w:p>
        </w:tc>
        <w:tc>
          <w:tcPr>
            <w:tcW w:type="dxa" w:w="2018"/>
            <w:vAlign w:val="center"/>
            <w:tcMar>
              <w:top w:w="80" w:type="dxa"/>
              <w:start w:w="100" w:type="dxa"/>
              <w:bottom w:w="80" w:type="dxa"/>
              <w:end w:w="100" w:type="dxa"/>
            </w:tcMar>
          </w:tcPr>
          <w:p>
            <w:pPr>
              <w:spacing w:after="0" w:before="0"/>
            </w:pPr>
            <w:r>
              <w:rPr>
                <w:rFonts w:ascii="Aptos" w:hAnsi="Aptos"/>
                <w:sz w:val="14"/>
              </w:rPr>
              <w:t>P03, PDF-S. 140;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Regulierung gegen „Desinformation“ als Zensurgefahr überwiegend ab</w:t>
            </w:r>
          </w:p>
        </w:tc>
        <w:tc>
          <w:tcPr>
            <w:tcW w:type="dxa" w:w="2018"/>
            <w:vAlign w:val="center"/>
            <w:tcMar>
              <w:top w:w="80" w:type="dxa"/>
              <w:start w:w="100" w:type="dxa"/>
              <w:bottom w:w="80" w:type="dxa"/>
              <w:end w:w="100" w:type="dxa"/>
            </w:tcMar>
          </w:tcPr>
          <w:p>
            <w:pPr>
              <w:spacing w:after="0" w:before="0"/>
            </w:pPr>
            <w:r>
              <w:rPr>
                <w:rFonts w:ascii="Aptos" w:hAnsi="Aptos"/>
                <w:sz w:val="14"/>
              </w:rPr>
              <w:t>P04, PDF-S. 50;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strenge Transparenz-, Daten- und Plattformregeln</w:t>
            </w:r>
          </w:p>
        </w:tc>
        <w:tc>
          <w:tcPr>
            <w:tcW w:type="dxa" w:w="2018"/>
            <w:vAlign w:val="center"/>
            <w:tcMar>
              <w:top w:w="80" w:type="dxa"/>
              <w:start w:w="100" w:type="dxa"/>
              <w:bottom w:w="80" w:type="dxa"/>
              <w:end w:w="100" w:type="dxa"/>
            </w:tcMar>
          </w:tcPr>
          <w:p>
            <w:pPr>
              <w:spacing w:after="0" w:before="0"/>
            </w:pPr>
            <w:r>
              <w:rPr>
                <w:rFonts w:ascii="Aptos" w:hAnsi="Aptos"/>
                <w:sz w:val="14"/>
              </w:rPr>
              <w:t>P05, PDF-S. 57;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betont Meinungsfreiheit und Zensurskepsis; Transparenz teilweise</w:t>
            </w:r>
          </w:p>
        </w:tc>
        <w:tc>
          <w:tcPr>
            <w:tcW w:type="dxa" w:w="2018"/>
            <w:vAlign w:val="center"/>
            <w:tcMar>
              <w:top w:w="80" w:type="dxa"/>
              <w:start w:w="100" w:type="dxa"/>
              <w:bottom w:w="80" w:type="dxa"/>
              <w:end w:w="100" w:type="dxa"/>
            </w:tcMar>
          </w:tcPr>
          <w:p>
            <w:pPr>
              <w:spacing w:after="0" w:before="0"/>
            </w:pPr>
            <w:r>
              <w:rPr>
                <w:rFonts w:ascii="Aptos" w:hAnsi="Aptos"/>
                <w:sz w:val="14"/>
              </w:rPr>
              <w:t>P06, PDF-S. 39;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unterstützt Transparenz und Nutzerrechte, warnt vor Überregulierung</w:t>
            </w:r>
          </w:p>
        </w:tc>
        <w:tc>
          <w:tcPr>
            <w:tcW w:type="dxa" w:w="2018"/>
            <w:vAlign w:val="center"/>
            <w:tcMar>
              <w:top w:w="80" w:type="dxa"/>
              <w:start w:w="100" w:type="dxa"/>
              <w:bottom w:w="80" w:type="dxa"/>
              <w:end w:w="100" w:type="dxa"/>
            </w:tcMar>
          </w:tcPr>
          <w:p>
            <w:pPr>
              <w:spacing w:after="0" w:before="0"/>
            </w:pPr>
            <w:r>
              <w:rPr>
                <w:rFonts w:ascii="Aptos" w:hAnsi="Aptos"/>
                <w:sz w:val="14"/>
              </w:rPr>
              <w:t>P07, PDF-S. 27; Vertrauen: mittel</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Plattformen analysieren Verstärkungsrisiken → Transparenz und externe Prüfung steigen → Design und Moderation werden angepasst → systemische Schäden können sinken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Transparenz kann kurzfristig verbessert werden; Diskurs- und Vertrauenseffekte sind mittel- bis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Plattformnutzer*innen, Kinder, Journalist*innen, politische Akteure, Wissenschaft, marginalisierte Gruppen.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mittel</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hoch: kausale Plattformwirkungen und optimale Gegenmaßnahmen sind schwer zu messen.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Meinungsfreiheit, rechtsstaatliches Verfahren und Schutz vor politischer Zensur sind nicht gegen Reichweitenreduktion aufzurechnen.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E18</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mehr Rechenschaft und Nutzerkontrolle</w:t>
            </w:r>
          </w:p>
        </w:tc>
        <w:tc>
          <w:tcPr>
            <w:tcW w:type="dxa" w:w="5046"/>
            <w:vAlign w:val="center"/>
            <w:tcMar>
              <w:top w:w="80" w:type="dxa"/>
              <w:start w:w="100" w:type="dxa"/>
              <w:bottom w:w="80" w:type="dxa"/>
              <w:end w:w="100" w:type="dxa"/>
            </w:tcMar>
          </w:tcPr>
          <w:p>
            <w:pPr>
              <w:spacing w:after="0" w:before="0"/>
            </w:pPr>
            <w:r>
              <w:rPr>
                <w:rFonts w:ascii="Aptos" w:hAnsi="Aptos"/>
                <w:sz w:val="16"/>
              </w:rPr>
              <w:t>• Overblocking und chilling effects</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besserer Forschungszugang</w:t>
            </w:r>
          </w:p>
        </w:tc>
        <w:tc>
          <w:tcPr>
            <w:tcW w:type="dxa" w:w="5046"/>
            <w:vAlign w:val="center"/>
            <w:tcMar>
              <w:top w:w="80" w:type="dxa"/>
              <w:start w:w="100" w:type="dxa"/>
              <w:bottom w:w="80" w:type="dxa"/>
              <w:end w:w="100" w:type="dxa"/>
            </w:tcMar>
          </w:tcPr>
          <w:p>
            <w:pPr>
              <w:spacing w:after="0" w:before="0"/>
            </w:pPr>
            <w:r>
              <w:rPr>
                <w:rFonts w:ascii="Aptos" w:hAnsi="Aptos"/>
                <w:sz w:val="16"/>
              </w:rPr>
              <w:t>• regulatorische Vorteile für große Anbieter</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Schutz von Wahlen und Minderheiten</w:t>
            </w:r>
          </w:p>
        </w:tc>
        <w:tc>
          <w:tcPr>
            <w:tcW w:type="dxa" w:w="5046"/>
            <w:vAlign w:val="center"/>
            <w:tcMar>
              <w:top w:w="80" w:type="dxa"/>
              <w:start w:w="100" w:type="dxa"/>
              <w:bottom w:w="80" w:type="dxa"/>
              <w:end w:w="100" w:type="dxa"/>
            </w:tcMar>
          </w:tcPr>
          <w:p>
            <w:pPr>
              <w:spacing w:after="0" w:before="0"/>
            </w:pPr>
            <w:r>
              <w:rPr>
                <w:rFonts w:ascii="Aptos" w:hAnsi="Aptos"/>
                <w:sz w:val="16"/>
              </w:rPr>
              <w:t>• Missbrauch durch Regierungen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weniger Anreiz, ausschließlich Erregung zu maximieren</w:t>
            </w:r>
          </w:p>
        </w:tc>
        <w:tc>
          <w:tcPr>
            <w:tcW w:type="dxa" w:w="5046"/>
            <w:vAlign w:val="center"/>
            <w:tcMar>
              <w:top w:w="80" w:type="dxa"/>
              <w:start w:w="100" w:type="dxa"/>
              <w:bottom w:w="80" w:type="dxa"/>
              <w:end w:w="100" w:type="dxa"/>
            </w:tcMar>
          </w:tcPr>
          <w:p>
            <w:pPr>
              <w:spacing w:after="0" w:before="0"/>
            </w:pPr>
            <w:r>
              <w:rPr>
                <w:rFonts w:ascii="Aptos" w:hAnsi="Aptos"/>
                <w:sz w:val="16"/>
              </w:rPr>
              <w:t>• Messprobleme bei Desinformation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Ausweichbewegung in unregulierte Räume</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Rechtsstaat &amp; Grundrechte</w:t>
            </w:r>
          </w:p>
        </w:tc>
        <w:tc>
          <w:tcPr>
            <w:tcW w:type="dxa" w:w="3364"/>
            <w:vAlign w:val="center"/>
            <w:tcMar>
              <w:top w:w="80" w:type="dxa"/>
              <w:start w:w="100" w:type="dxa"/>
              <w:bottom w:w="80" w:type="dxa"/>
              <w:end w:w="100" w:type="dxa"/>
            </w:tcMar>
          </w:tcPr>
          <w:p>
            <w:pPr>
              <w:spacing w:after="0" w:before="0"/>
            </w:pPr>
            <w:r>
              <w:rPr>
                <w:rFonts w:ascii="Aptos" w:hAnsi="Aptos"/>
                <w:sz w:val="16"/>
              </w:rPr>
              <w:t>0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Algorithmus- und Werbetransparenz · Auditbefunde · Reichweite nachweislich manipulativer Kampagnen · Beschwerdeerfolg · Overblocking · Forschungsdatenzugang</w:t>
      </w:r>
    </w:p>
    <w:p>
      <w:pPr>
        <w:pStyle w:val="Heading3"/>
        <w:spacing w:after="80"/>
        <w:keepNext/>
      </w:pPr>
      <w:r>
        <w:t>Neutrale Ergebnis-Microcopy</w:t>
      </w:r>
    </w:p>
    <w:p>
      <w:pPr>
        <w:pStyle w:val="ListBullet"/>
        <w:spacing w:after="20" w:before="0"/>
      </w:pPr>
      <w:r>
        <w:t>„Bei Transparenz und Risikopflichten für Plattformen besteht eine {hohe/mittlere/geringe} positionale Nähe.“</w:t>
      </w:r>
    </w:p>
    <w:p>
      <w:pPr>
        <w:pStyle w:val="ListBullet"/>
        <w:spacing w:after="20" w:before="0"/>
      </w:pPr>
      <w:r>
        <w:t>„Die Option Transparenz und Risikopflichten für Plattformen weist vor allem in den Dimensionen Informationsqualität &amp; demokratischer Zusammenhalt, Rechtsstaat &amp; Grundrechte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Q23 · Lobby-, Spenden- und Seitenwechseltransparenz</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Lobbykontakte, Parteispenden, Sponsoring, Interessenkonflikte und Seitenwechsel zwischen Politik und Wirtschaft sollen früher, vollständiger und durch eine unabhängige Stelle kontrolliert werden.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Transparenz ist keine Unterstellung von Korruption. Sie ermöglicht, Einflusswege zu prüfen und Vertrauen auf überprüfbare Regeln zu stützen.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Informationsqualität &amp; demokratischer Zusammenhalt, Rechtsstaat &amp; Grundrechte, Freiheit &amp; Selbstbestimmung, Resilienz &amp; Generationengerechtigkeit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16; SDG+ Transparenz und Rechenschaft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niedrigere Veröffentlichungsschwellen, erweiterter legislativer Fußabdruck, Karenzregeln, unabhängige Prüfung und wirksame Sanktionen.</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keine starke Verschärfung im Programm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P01, PDF-S. –; Vertrauen: niedrig</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Transparenzregister, Finanzkriminalitäts- und Lobbyregeln stärken</w:t>
            </w:r>
          </w:p>
        </w:tc>
        <w:tc>
          <w:tcPr>
            <w:tcW w:type="dxa" w:w="2018"/>
            <w:vAlign w:val="center"/>
            <w:tcMar>
              <w:top w:w="80" w:type="dxa"/>
              <w:start w:w="100" w:type="dxa"/>
              <w:bottom w:w="80" w:type="dxa"/>
              <w:end w:w="100" w:type="dxa"/>
            </w:tcMar>
          </w:tcPr>
          <w:p>
            <w:pPr>
              <w:spacing w:after="0" w:before="0"/>
            </w:pPr>
            <w:r>
              <w:rPr>
                <w:rFonts w:ascii="Aptos" w:hAnsi="Aptos"/>
                <w:sz w:val="14"/>
              </w:rPr>
              <w:t>P02, PDF-S. 18;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legislative Fußabdrücke, Spenden- und Lobbytransparenz</w:t>
            </w:r>
          </w:p>
        </w:tc>
        <w:tc>
          <w:tcPr>
            <w:tcW w:type="dxa" w:w="2018"/>
            <w:vAlign w:val="center"/>
            <w:tcMar>
              <w:top w:w="80" w:type="dxa"/>
              <w:start w:w="100" w:type="dxa"/>
              <w:bottom w:w="80" w:type="dxa"/>
              <w:end w:w="100" w:type="dxa"/>
            </w:tcMar>
          </w:tcPr>
          <w:p>
            <w:pPr>
              <w:spacing w:after="0" w:before="0"/>
            </w:pPr>
            <w:r>
              <w:rPr>
                <w:rFonts w:ascii="Aptos" w:hAnsi="Aptos"/>
                <w:sz w:val="14"/>
              </w:rPr>
              <w:t>P03, PDF-S. 35;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mehr direkte Demokratie und kritisiert Lobbyismus, Instrumente teils unklar</w:t>
            </w:r>
          </w:p>
        </w:tc>
        <w:tc>
          <w:tcPr>
            <w:tcW w:type="dxa" w:w="2018"/>
            <w:vAlign w:val="center"/>
            <w:tcMar>
              <w:top w:w="80" w:type="dxa"/>
              <w:start w:w="100" w:type="dxa"/>
              <w:bottom w:w="80" w:type="dxa"/>
              <w:end w:w="100" w:type="dxa"/>
            </w:tcMar>
          </w:tcPr>
          <w:p>
            <w:pPr>
              <w:spacing w:after="0" w:before="0"/>
            </w:pPr>
            <w:r>
              <w:rPr>
                <w:rFonts w:ascii="Aptos" w:hAnsi="Aptos"/>
                <w:sz w:val="14"/>
              </w:rPr>
              <w:t>P04, PDF-S. 138;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strenge Lobby-, Spenden- und Karenzregeln</w:t>
            </w:r>
          </w:p>
        </w:tc>
        <w:tc>
          <w:tcPr>
            <w:tcW w:type="dxa" w:w="2018"/>
            <w:vAlign w:val="center"/>
            <w:tcMar>
              <w:top w:w="80" w:type="dxa"/>
              <w:start w:w="100" w:type="dxa"/>
              <w:bottom w:w="80" w:type="dxa"/>
              <w:end w:w="100" w:type="dxa"/>
            </w:tcMar>
          </w:tcPr>
          <w:p>
            <w:pPr>
              <w:spacing w:after="0" w:before="0"/>
            </w:pPr>
            <w:r>
              <w:rPr>
                <w:rFonts w:ascii="Aptos" w:hAnsi="Aptos"/>
                <w:sz w:val="14"/>
              </w:rPr>
              <w:t>P05, PDF-S. 48;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weniger Lobbyeinfluss und verbindliche Kontrolle</w:t>
            </w:r>
          </w:p>
        </w:tc>
        <w:tc>
          <w:tcPr>
            <w:tcW w:type="dxa" w:w="2018"/>
            <w:vAlign w:val="center"/>
            <w:tcMar>
              <w:top w:w="80" w:type="dxa"/>
              <w:start w:w="100" w:type="dxa"/>
              <w:bottom w:w="80" w:type="dxa"/>
              <w:end w:w="100" w:type="dxa"/>
            </w:tcMar>
          </w:tcPr>
          <w:p>
            <w:pPr>
              <w:spacing w:after="0" w:before="0"/>
            </w:pPr>
            <w:r>
              <w:rPr>
                <w:rFonts w:ascii="Aptos" w:hAnsi="Aptos"/>
                <w:sz w:val="14"/>
              </w:rPr>
              <w:t>P06, PDF-S. 44;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Transparenz grundsätzlich, weitergehende unabhängige Kontrolle nicht klar</w:t>
            </w:r>
          </w:p>
        </w:tc>
        <w:tc>
          <w:tcPr>
            <w:tcW w:type="dxa" w:w="2018"/>
            <w:vAlign w:val="center"/>
            <w:tcMar>
              <w:top w:w="80" w:type="dxa"/>
              <w:start w:w="100" w:type="dxa"/>
              <w:bottom w:w="80" w:type="dxa"/>
              <w:end w:w="100" w:type="dxa"/>
            </w:tcMar>
          </w:tcPr>
          <w:p>
            <w:pPr>
              <w:spacing w:after="0" w:before="0"/>
            </w:pPr>
            <w:r>
              <w:rPr>
                <w:rFonts w:ascii="Aptos" w:hAnsi="Aptos"/>
                <w:sz w:val="14"/>
              </w:rPr>
              <w:t>P07, PDF-S. –; Vertrauen: niedrig</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Einflussbeziehungen werden sichtbar → Kontroll- und Reputationsrisiken steigen → politische Entscheidungen werden nachvollziehbarer → verdeckte Interessenkonflikte werden schwieriger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Offenlegung wirkt kurzfristig; institutionelles Vertrauen und Verhaltensänderungen entstehen längerfristig.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Abgeordnete, Parteien, Unternehmen, Verbände, NGOs, Journalist*innen und Öffentlichkeit.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Transparenz allein verhindert Einflussnahme nicht; Kontrollqualität und Sanktionen sind entscheidend.</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Gleiches Recht auf Interessenvertretung und Schutz personenbezogener Daten müssen erhalten bleiben.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E19</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mehr Rechenschaft und Vertrauen</w:t>
            </w:r>
          </w:p>
        </w:tc>
        <w:tc>
          <w:tcPr>
            <w:tcW w:type="dxa" w:w="5046"/>
            <w:vAlign w:val="center"/>
            <w:tcMar>
              <w:top w:w="80" w:type="dxa"/>
              <w:start w:w="100" w:type="dxa"/>
              <w:bottom w:w="80" w:type="dxa"/>
              <w:end w:w="100" w:type="dxa"/>
            </w:tcMar>
          </w:tcPr>
          <w:p>
            <w:pPr>
              <w:spacing w:after="0" w:before="0"/>
            </w:pPr>
            <w:r>
              <w:rPr>
                <w:rFonts w:ascii="Aptos" w:hAnsi="Aptos"/>
                <w:sz w:val="16"/>
              </w:rPr>
              <w:t>• Bürokratie und Datenschutzkonflikte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bessere journalistische und wissenschaftliche Kontrolle</w:t>
            </w:r>
          </w:p>
        </w:tc>
        <w:tc>
          <w:tcPr>
            <w:tcW w:type="dxa" w:w="5046"/>
            <w:vAlign w:val="center"/>
            <w:tcMar>
              <w:top w:w="80" w:type="dxa"/>
              <w:start w:w="100" w:type="dxa"/>
              <w:bottom w:w="80" w:type="dxa"/>
              <w:end w:w="100" w:type="dxa"/>
            </w:tcMar>
          </w:tcPr>
          <w:p>
            <w:pPr>
              <w:spacing w:after="0" w:before="0"/>
            </w:pPr>
            <w:r>
              <w:rPr>
                <w:rFonts w:ascii="Aptos" w:hAnsi="Aptos"/>
                <w:sz w:val="16"/>
              </w:rPr>
              <w:t>• Umgehung über Dritte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geringeres Korruptions- und Capture-Risiko</w:t>
            </w:r>
          </w:p>
        </w:tc>
        <w:tc>
          <w:tcPr>
            <w:tcW w:type="dxa" w:w="5046"/>
            <w:vAlign w:val="center"/>
            <w:tcMar>
              <w:top w:w="80" w:type="dxa"/>
              <w:start w:w="100" w:type="dxa"/>
              <w:bottom w:w="80" w:type="dxa"/>
              <w:end w:w="100" w:type="dxa"/>
            </w:tcMar>
          </w:tcPr>
          <w:p>
            <w:pPr>
              <w:spacing w:after="0" w:before="0"/>
            </w:pPr>
            <w:r>
              <w:rPr>
                <w:rFonts w:ascii="Aptos" w:hAnsi="Aptos"/>
                <w:sz w:val="16"/>
              </w:rPr>
              <w:t>• Abschreckung legitimer Interessenvertretung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Scheinsicherheit trotz formaler Transparenz</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Rechtsstaat &amp; Grundrechte</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 bis 0</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veröffentlichte Lobbykontakte · legislativer Fußabdruck · Spenden- und Sponsoringtransparenz · Karenzfälle · Sanktionen · Vertrauensindikatoren</w:t>
      </w:r>
    </w:p>
    <w:p>
      <w:pPr>
        <w:pStyle w:val="Heading3"/>
        <w:spacing w:after="80"/>
        <w:keepNext/>
      </w:pPr>
      <w:r>
        <w:t>Neutrale Ergebnis-Microcopy</w:t>
      </w:r>
    </w:p>
    <w:p>
      <w:pPr>
        <w:pStyle w:val="ListBullet"/>
        <w:spacing w:after="20" w:before="0"/>
      </w:pPr>
      <w:r>
        <w:t>„Bei Lobby-, Spenden- und Seitenwechseltransparenz besteht eine {hohe/mittlere/geringe} positionale Nähe.“</w:t>
      </w:r>
    </w:p>
    <w:p>
      <w:pPr>
        <w:pStyle w:val="ListBullet"/>
        <w:spacing w:after="20" w:before="0"/>
      </w:pPr>
      <w:r>
        <w:t>„Die Option Lobby-, Spenden- und Seitenwechseltransparenz weist vor allem in den Dimensionen Informationsqualität &amp; demokratischer Zusammenhalt, Rechtsstaat &amp; Grundrechte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Q24 · Bürgerräte und Volksentscheide mit Schutzregeln</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Auf Bundesebene sollen geloste Bürgerräte und direktdemokratische Verfahren ausgebaut werden. Grundrechte, Minderheitenschutz, transparente Finanzierung und verlässliche Informationsstandards müssen dabei geschützt bleiben.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Mehr Beteiligung kann Legitimation und Wissen erhöhen, aber Mehrheitsentscheidungen benötigen dieselben demokratischen Leitplanken wie Parlamente.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Informationsqualität &amp; demokratischer Zusammenhalt, Rechtsstaat &amp; Grundrechte, Freiheit &amp; Selbstbestimmung, Resilienz &amp; Generationengerechtigkeit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16; SDG+ Demokratiequalität und Diskursfähigkeit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beratende Bürgerräte sowie klar geregelte Initiativen und Volksentscheide mit Verfassungsprüfung, Quoren und Transparenz.</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unterstützt Beteiligung punktuell, keine bundesweiten Volksentscheide als Kernprojekt</w:t>
            </w:r>
          </w:p>
        </w:tc>
        <w:tc>
          <w:tcPr>
            <w:tcW w:type="dxa" w:w="2018"/>
            <w:vAlign w:val="center"/>
            <w:tcMar>
              <w:top w:w="80" w:type="dxa"/>
              <w:start w:w="100" w:type="dxa"/>
              <w:bottom w:w="80" w:type="dxa"/>
              <w:end w:w="100" w:type="dxa"/>
            </w:tcMar>
          </w:tcPr>
          <w:p>
            <w:pPr>
              <w:spacing w:after="0" w:before="0"/>
            </w:pPr>
            <w:r>
              <w:rPr>
                <w:rFonts w:ascii="Aptos" w:hAnsi="Aptos"/>
                <w:sz w:val="14"/>
              </w:rPr>
              <w:t>P01, PDF-S. –; Vertrauen: niedrig</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unterstützt Bürgerräte und mehr Beteiligung, bei repräsentativer Einbindung</w:t>
            </w:r>
          </w:p>
        </w:tc>
        <w:tc>
          <w:tcPr>
            <w:tcW w:type="dxa" w:w="2018"/>
            <w:vAlign w:val="center"/>
            <w:tcMar>
              <w:top w:w="80" w:type="dxa"/>
              <w:start w:w="100" w:type="dxa"/>
              <w:bottom w:w="80" w:type="dxa"/>
              <w:end w:w="100" w:type="dxa"/>
            </w:tcMar>
          </w:tcPr>
          <w:p>
            <w:pPr>
              <w:spacing w:after="0" w:before="0"/>
            </w:pPr>
            <w:r>
              <w:rPr>
                <w:rFonts w:ascii="Aptos" w:hAnsi="Aptos"/>
                <w:sz w:val="14"/>
              </w:rPr>
              <w:t>P02, PDF-S. 47;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Bürgerräte, Referenden und Beteiligungsrechte</w:t>
            </w:r>
          </w:p>
        </w:tc>
        <w:tc>
          <w:tcPr>
            <w:tcW w:type="dxa" w:w="2018"/>
            <w:vAlign w:val="center"/>
            <w:tcMar>
              <w:top w:w="80" w:type="dxa"/>
              <w:start w:w="100" w:type="dxa"/>
              <w:bottom w:w="80" w:type="dxa"/>
              <w:end w:w="100" w:type="dxa"/>
            </w:tcMar>
          </w:tcPr>
          <w:p>
            <w:pPr>
              <w:spacing w:after="0" w:before="0"/>
            </w:pPr>
            <w:r>
              <w:rPr>
                <w:rFonts w:ascii="Aptos" w:hAnsi="Aptos"/>
                <w:sz w:val="14"/>
              </w:rPr>
              <w:t>P03, PDF-S. 124;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Volksabstimmungen nach Schweizer Vorbild</w:t>
            </w:r>
          </w:p>
        </w:tc>
        <w:tc>
          <w:tcPr>
            <w:tcW w:type="dxa" w:w="2018"/>
            <w:vAlign w:val="center"/>
            <w:tcMar>
              <w:top w:w="80" w:type="dxa"/>
              <w:start w:w="100" w:type="dxa"/>
              <w:bottom w:w="80" w:type="dxa"/>
              <w:end w:w="100" w:type="dxa"/>
            </w:tcMar>
          </w:tcPr>
          <w:p>
            <w:pPr>
              <w:spacing w:after="0" w:before="0"/>
            </w:pPr>
            <w:r>
              <w:rPr>
                <w:rFonts w:ascii="Aptos" w:hAnsi="Aptos"/>
                <w:sz w:val="14"/>
              </w:rPr>
              <w:t>P04, PDF-S. 131;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Bürgerräte, Volksinitiativen und Volksentscheide</w:t>
            </w:r>
          </w:p>
        </w:tc>
        <w:tc>
          <w:tcPr>
            <w:tcW w:type="dxa" w:w="2018"/>
            <w:vAlign w:val="center"/>
            <w:tcMar>
              <w:top w:w="80" w:type="dxa"/>
              <w:start w:w="100" w:type="dxa"/>
              <w:bottom w:w="80" w:type="dxa"/>
              <w:end w:w="100" w:type="dxa"/>
            </w:tcMar>
          </w:tcPr>
          <w:p>
            <w:pPr>
              <w:spacing w:after="0" w:before="0"/>
            </w:pPr>
            <w:r>
              <w:rPr>
                <w:rFonts w:ascii="Aptos" w:hAnsi="Aptos"/>
                <w:sz w:val="14"/>
              </w:rPr>
              <w:t>P05, PDF-S. 48;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Volksbegehren und Volksentscheide auf Bundesebene</w:t>
            </w:r>
          </w:p>
        </w:tc>
        <w:tc>
          <w:tcPr>
            <w:tcW w:type="dxa" w:w="2018"/>
            <w:vAlign w:val="center"/>
            <w:tcMar>
              <w:top w:w="80" w:type="dxa"/>
              <w:start w:w="100" w:type="dxa"/>
              <w:bottom w:w="80" w:type="dxa"/>
              <w:end w:w="100" w:type="dxa"/>
            </w:tcMar>
          </w:tcPr>
          <w:p>
            <w:pPr>
              <w:spacing w:after="0" w:before="0"/>
            </w:pPr>
            <w:r>
              <w:rPr>
                <w:rFonts w:ascii="Aptos" w:hAnsi="Aptos"/>
                <w:sz w:val="14"/>
              </w:rPr>
              <w:t>P06, PDF-S. 44;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unterstützt direkte Beteiligung und modernisierte Demokratieinstrumente</w:t>
            </w:r>
          </w:p>
        </w:tc>
        <w:tc>
          <w:tcPr>
            <w:tcW w:type="dxa" w:w="2018"/>
            <w:vAlign w:val="center"/>
            <w:tcMar>
              <w:top w:w="80" w:type="dxa"/>
              <w:start w:w="100" w:type="dxa"/>
              <w:bottom w:w="80" w:type="dxa"/>
              <w:end w:w="100" w:type="dxa"/>
            </w:tcMar>
          </w:tcPr>
          <w:p>
            <w:pPr>
              <w:spacing w:after="0" w:before="0"/>
            </w:pPr>
            <w:r>
              <w:rPr>
                <w:rFonts w:ascii="Aptos" w:hAnsi="Aptos"/>
                <w:sz w:val="14"/>
              </w:rPr>
              <w:t>P07, PDF-S. 28; Vertrauen: mittel</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mehr Menschen beteiligen sich → Erfahrungswissen wird eingebunden → öffentliche Debatte vertieft sich → Entscheidungen erhalten zusätzliche Legitimation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Beteiligungseffekte treten projektbezogen schnell ein; Vertrauen und politische Kultur verändern sich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Bürger*innen, Parlamente, Minderheiten, Zivilgesellschaft, Medien und Verwaltungen.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mittel</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hoch: Effekte hängen von Auswahl, Mandat, Information, Anschluss an Parlamente und Kampagnenfinanzierung ab.</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Menschenwürde, Grundrechte, Gewaltenteilung und Minderheitenschutz dürfen nicht zur Abstimmung stehen.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E20</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mehr politische Selbstwirksamkeit</w:t>
            </w:r>
          </w:p>
        </w:tc>
        <w:tc>
          <w:tcPr>
            <w:tcW w:type="dxa" w:w="5046"/>
            <w:vAlign w:val="center"/>
            <w:tcMar>
              <w:top w:w="80" w:type="dxa"/>
              <w:start w:w="100" w:type="dxa"/>
              <w:bottom w:w="80" w:type="dxa"/>
              <w:end w:w="100" w:type="dxa"/>
            </w:tcMar>
          </w:tcPr>
          <w:p>
            <w:pPr>
              <w:spacing w:after="0" w:before="0"/>
            </w:pPr>
            <w:r>
              <w:rPr>
                <w:rFonts w:ascii="Aptos" w:hAnsi="Aptos"/>
                <w:sz w:val="16"/>
              </w:rPr>
              <w:t>• Dominanz gut organisierter Kampagnen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breitere Perspektiven</w:t>
            </w:r>
          </w:p>
        </w:tc>
        <w:tc>
          <w:tcPr>
            <w:tcW w:type="dxa" w:w="5046"/>
            <w:vAlign w:val="center"/>
            <w:tcMar>
              <w:top w:w="80" w:type="dxa"/>
              <w:start w:w="100" w:type="dxa"/>
              <w:bottom w:w="80" w:type="dxa"/>
              <w:end w:w="100" w:type="dxa"/>
            </w:tcMar>
          </w:tcPr>
          <w:p>
            <w:pPr>
              <w:spacing w:after="0" w:before="0"/>
            </w:pPr>
            <w:r>
              <w:rPr>
                <w:rFonts w:ascii="Aptos" w:hAnsi="Aptos"/>
                <w:sz w:val="16"/>
              </w:rPr>
              <w:t>• vereinfachte Ja-Nein-Entscheidungen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Lernprozesse und Verständigung</w:t>
            </w:r>
          </w:p>
        </w:tc>
        <w:tc>
          <w:tcPr>
            <w:tcW w:type="dxa" w:w="5046"/>
            <w:vAlign w:val="center"/>
            <w:tcMar>
              <w:top w:w="80" w:type="dxa"/>
              <w:start w:w="100" w:type="dxa"/>
              <w:bottom w:w="80" w:type="dxa"/>
              <w:end w:w="100" w:type="dxa"/>
            </w:tcMar>
          </w:tcPr>
          <w:p>
            <w:pPr>
              <w:spacing w:after="0" w:before="0"/>
            </w:pPr>
            <w:r>
              <w:rPr>
                <w:rFonts w:ascii="Aptos" w:hAnsi="Aptos"/>
                <w:sz w:val="16"/>
              </w:rPr>
              <w:t>• Mehrheitsdruck auf Minderheiten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Korrektiv zu abgeschlossenen Politikmilieus</w:t>
            </w:r>
          </w:p>
        </w:tc>
        <w:tc>
          <w:tcPr>
            <w:tcW w:type="dxa" w:w="5046"/>
            <w:vAlign w:val="center"/>
            <w:tcMar>
              <w:top w:w="80" w:type="dxa"/>
              <w:start w:w="100" w:type="dxa"/>
              <w:bottom w:w="80" w:type="dxa"/>
              <w:end w:w="100" w:type="dxa"/>
            </w:tcMar>
          </w:tcPr>
          <w:p>
            <w:pPr>
              <w:spacing w:after="0" w:before="0"/>
            </w:pPr>
            <w:r>
              <w:rPr>
                <w:rFonts w:ascii="Aptos" w:hAnsi="Aptos"/>
                <w:sz w:val="16"/>
              </w:rPr>
              <w:t>• Beteiligungsmüdigkeit</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unklare Verantwortlichkeit</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Rechtsstaat &amp; Grundrechte</w:t>
            </w:r>
          </w:p>
        </w:tc>
        <w:tc>
          <w:tcPr>
            <w:tcW w:type="dxa" w:w="3364"/>
            <w:vAlign w:val="center"/>
            <w:tcMar>
              <w:top w:w="80" w:type="dxa"/>
              <w:start w:w="100" w:type="dxa"/>
              <w:bottom w:w="80" w:type="dxa"/>
              <w:end w:w="100" w:type="dxa"/>
            </w:tcMar>
          </w:tcPr>
          <w:p>
            <w:pPr>
              <w:spacing w:after="0" w:before="0"/>
            </w:pPr>
            <w:r>
              <w:rPr>
                <w:rFonts w:ascii="Aptos" w:hAnsi="Aptos"/>
                <w:sz w:val="16"/>
              </w:rPr>
              <w:t>0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0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Teilnahme und Repräsentativität · Umsetzung von Empfehlungen · Informationsqualität · Vertrauen · Kampagnenfinanzierung · Grundrechtsprüfung</w:t>
      </w:r>
    </w:p>
    <w:p>
      <w:pPr>
        <w:pStyle w:val="Heading3"/>
        <w:spacing w:after="80"/>
        <w:keepNext/>
      </w:pPr>
      <w:r>
        <w:t>Neutrale Ergebnis-Microcopy</w:t>
      </w:r>
    </w:p>
    <w:p>
      <w:pPr>
        <w:pStyle w:val="ListBullet"/>
        <w:spacing w:after="20" w:before="0"/>
      </w:pPr>
      <w:r>
        <w:t>„Bei Bürgerräte und Volksentscheide mit Schutzregeln besteht eine {hohe/mittlere/geringe} positionale Nähe.“</w:t>
      </w:r>
    </w:p>
    <w:p>
      <w:pPr>
        <w:pStyle w:val="ListBullet"/>
        <w:spacing w:after="20" w:before="0"/>
      </w:pPr>
      <w:r>
        <w:t>„Die Option Bürgerräte und Volksentscheide mit Schutzregeln weist vor allem in den Dimensionen Informationsqualität &amp; demokratischer Zusammenhalt, Rechtsstaat &amp; Grundrechte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1"/>
        <w:spacing w:after="80"/>
        <w:keepNext/>
        <w:pageBreakBefore w:val="true"/>
      </w:pPr>
      <w:r>
        <w:t>G. Rechte, Migration &amp; gesellschaftliche Teilhabe</w:t>
      </w:r>
    </w:p>
    <w:p>
      <w:pPr>
        <w:spacing w:after="80"/>
      </w:pPr>
      <w:r>
        <w:t>Die folgenden vier Fragen bilden das Themenfeld ab. Jede Frage enthält Parteiposition und Wirkungsanalyse als getrennte Ebenen.</w:t>
      </w:r>
    </w:p>
    <w:p>
      <w:pPr>
        <w:pStyle w:val="Heading2"/>
        <w:spacing w:after="80"/>
        <w:keepNext/>
      </w:pPr>
      <w:r>
        <w:t>Q25 · Individuelles Asylrecht und rechtsstaatliche Grenzverfahren</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Das individuelle Recht auf Prüfung eines Asylantrags soll erhalten bleiben. Pauschale Zurückweisungen ohne Prüfung soll es nicht geben; Verfahren sollen zugleich schneller, fairer und verbindlicher werden.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trennt Grenzsteuerung von Kollektivausschluss. Staaten dürfen Grenzen verwalten, müssen aber Schutzansprüche rechtsstaatlich prüfen.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Rechtsstaat &amp; Grundrechte, Soziale Sicherheit &amp; Fairness, Resilienz &amp; Generationengerechtigkeit, Informationsqualität &amp; demokratischer Zusammenhalt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10, 16; Genfer Flüchtlingskonvention, EU- und Verfassungsrecht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zugängliche individuelle Verfahren, schnelle Entscheidungen, wirksamer Rechtsschutz, humane Aufnahme und konsequente Umsetzung rechtskräftiger Entscheidungen.</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Zurückweisungen an Grenzen und Drittstaatenmodelle ausweiten</w:t>
            </w:r>
          </w:p>
        </w:tc>
        <w:tc>
          <w:tcPr>
            <w:tcW w:type="dxa" w:w="2018"/>
            <w:vAlign w:val="center"/>
            <w:tcMar>
              <w:top w:w="80" w:type="dxa"/>
              <w:start w:w="100" w:type="dxa"/>
              <w:bottom w:w="80" w:type="dxa"/>
              <w:end w:w="100" w:type="dxa"/>
            </w:tcMar>
          </w:tcPr>
          <w:p>
            <w:pPr>
              <w:spacing w:after="0" w:before="0"/>
            </w:pPr>
            <w:r>
              <w:rPr>
                <w:rFonts w:ascii="Aptos" w:hAnsi="Aptos"/>
                <w:sz w:val="14"/>
              </w:rPr>
              <w:t>P01, PDF-S. 44;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hält am Schutzrecht fest, kombiniert es mit strengerer Steuerung und Rückkehr</w:t>
            </w:r>
          </w:p>
        </w:tc>
        <w:tc>
          <w:tcPr>
            <w:tcW w:type="dxa" w:w="2018"/>
            <w:vAlign w:val="center"/>
            <w:tcMar>
              <w:top w:w="80" w:type="dxa"/>
              <w:start w:w="100" w:type="dxa"/>
              <w:bottom w:w="80" w:type="dxa"/>
              <w:end w:w="100" w:type="dxa"/>
            </w:tcMar>
          </w:tcPr>
          <w:p>
            <w:pPr>
              <w:spacing w:after="0" w:before="0"/>
            </w:pPr>
            <w:r>
              <w:rPr>
                <w:rFonts w:ascii="Aptos" w:hAnsi="Aptos"/>
                <w:sz w:val="14"/>
              </w:rPr>
              <w:t>P02, PDF-S. 55;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verteidigt individuelles Asylrecht und lehnt pauschale Zurückweisungen ab</w:t>
            </w:r>
          </w:p>
        </w:tc>
        <w:tc>
          <w:tcPr>
            <w:tcW w:type="dxa" w:w="2018"/>
            <w:vAlign w:val="center"/>
            <w:tcMar>
              <w:top w:w="80" w:type="dxa"/>
              <w:start w:w="100" w:type="dxa"/>
              <w:bottom w:w="80" w:type="dxa"/>
              <w:end w:w="100" w:type="dxa"/>
            </w:tcMar>
          </w:tcPr>
          <w:p>
            <w:pPr>
              <w:spacing w:after="0" w:before="0"/>
            </w:pPr>
            <w:r>
              <w:rPr>
                <w:rFonts w:ascii="Aptos" w:hAnsi="Aptos"/>
                <w:sz w:val="14"/>
              </w:rPr>
              <w:t>P03, PDF-S. 130;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Asylrecht stark beschränken und Zurückweisungen ausweiten</w:t>
            </w:r>
          </w:p>
        </w:tc>
        <w:tc>
          <w:tcPr>
            <w:tcW w:type="dxa" w:w="2018"/>
            <w:vAlign w:val="center"/>
            <w:tcMar>
              <w:top w:w="80" w:type="dxa"/>
              <w:start w:w="100" w:type="dxa"/>
              <w:bottom w:w="80" w:type="dxa"/>
              <w:end w:w="100" w:type="dxa"/>
            </w:tcMar>
          </w:tcPr>
          <w:p>
            <w:pPr>
              <w:spacing w:after="0" w:before="0"/>
            </w:pPr>
            <w:r>
              <w:rPr>
                <w:rFonts w:ascii="Aptos" w:hAnsi="Aptos"/>
                <w:sz w:val="14"/>
              </w:rPr>
              <w:t>P04, PDF-S. 101;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verteidigt offenen Zugang und individuelle Schutzprüfung</w:t>
            </w:r>
          </w:p>
        </w:tc>
        <w:tc>
          <w:tcPr>
            <w:tcW w:type="dxa" w:w="2018"/>
            <w:vAlign w:val="center"/>
            <w:tcMar>
              <w:top w:w="80" w:type="dxa"/>
              <w:start w:w="100" w:type="dxa"/>
              <w:bottom w:w="80" w:type="dxa"/>
              <w:end w:w="100" w:type="dxa"/>
            </w:tcMar>
          </w:tcPr>
          <w:p>
            <w:pPr>
              <w:spacing w:after="0" w:before="0"/>
            </w:pPr>
            <w:r>
              <w:rPr>
                <w:rFonts w:ascii="Aptos" w:hAnsi="Aptos"/>
                <w:sz w:val="14"/>
              </w:rPr>
              <w:t>P05, PDF-S. 52;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will Asyl stark begrenzen und Verfahren auslagern/Zurückweisungen ausweiten</w:t>
            </w:r>
          </w:p>
        </w:tc>
        <w:tc>
          <w:tcPr>
            <w:tcW w:type="dxa" w:w="2018"/>
            <w:vAlign w:val="center"/>
            <w:tcMar>
              <w:top w:w="80" w:type="dxa"/>
              <w:start w:w="100" w:type="dxa"/>
              <w:bottom w:w="80" w:type="dxa"/>
              <w:end w:w="100" w:type="dxa"/>
            </w:tcMar>
          </w:tcPr>
          <w:p>
            <w:pPr>
              <w:spacing w:after="0" w:before="0"/>
            </w:pPr>
            <w:r>
              <w:rPr>
                <w:rFonts w:ascii="Aptos" w:hAnsi="Aptos"/>
                <w:sz w:val="14"/>
              </w:rPr>
              <w:t>P06, PDF-S. 38;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will striktere Grenzverfahren und Drittstaatenlösungen, individuelles Recht nur eingeschränkt</w:t>
            </w:r>
          </w:p>
        </w:tc>
        <w:tc>
          <w:tcPr>
            <w:tcW w:type="dxa" w:w="2018"/>
            <w:vAlign w:val="center"/>
            <w:tcMar>
              <w:top w:w="80" w:type="dxa"/>
              <w:start w:w="100" w:type="dxa"/>
              <w:bottom w:w="80" w:type="dxa"/>
              <w:end w:w="100" w:type="dxa"/>
            </w:tcMar>
          </w:tcPr>
          <w:p>
            <w:pPr>
              <w:spacing w:after="0" w:before="0"/>
            </w:pPr>
            <w:r>
              <w:rPr>
                <w:rFonts w:ascii="Aptos" w:hAnsi="Aptos"/>
                <w:sz w:val="14"/>
              </w:rPr>
              <w:t>P07, PDF-S. 28; Vertrauen: mittel</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Schutzbegehren wird individuell geprüft → schnellere Verfahren reduzieren Unsicherheit → anerkannte Schutzberechtigte erhalten Integration → abgelehnte Personen erhalten klare Entscheidungen und Rückkehrverfahren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Verfahrensbeschleunigung wirkt kurzfristig; Integration, kommunale Resilienz und Rückkehrfolgen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Schutzsuchende, Kommunen, Gerichte, Bevölkerung in Aufnahmeregionen, Herkunfts- und Transitländer.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 für Rechtsrahmen, mittel für Systemwirkung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hoch: Zugangszahlen, europäische Kooperation, Personal und Herkunftslagen verändern die Wirkung.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Non-Refoulement, Menschenwürde, individuelle Prüfung und effektiver Rechtsschutz sind nicht kompensierbar.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E21</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Schutz vor Refoulement und Kollektivausweisung</w:t>
            </w:r>
          </w:p>
        </w:tc>
        <w:tc>
          <w:tcPr>
            <w:tcW w:type="dxa" w:w="5046"/>
            <w:vAlign w:val="center"/>
            <w:tcMar>
              <w:top w:w="80" w:type="dxa"/>
              <w:start w:w="100" w:type="dxa"/>
              <w:bottom w:w="80" w:type="dxa"/>
              <w:end w:w="100" w:type="dxa"/>
            </w:tcMar>
          </w:tcPr>
          <w:p>
            <w:pPr>
              <w:spacing w:after="0" w:before="0"/>
            </w:pPr>
            <w:r>
              <w:rPr>
                <w:rFonts w:ascii="Aptos" w:hAnsi="Aptos"/>
                <w:sz w:val="16"/>
              </w:rPr>
              <w:t>• Kapazitätsdruck bei hohen Zugangszahlen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höhere Rechtsklarheit</w:t>
            </w:r>
          </w:p>
        </w:tc>
        <w:tc>
          <w:tcPr>
            <w:tcW w:type="dxa" w:w="5046"/>
            <w:vAlign w:val="center"/>
            <w:tcMar>
              <w:top w:w="80" w:type="dxa"/>
              <w:start w:w="100" w:type="dxa"/>
              <w:bottom w:w="80" w:type="dxa"/>
              <w:end w:w="100" w:type="dxa"/>
            </w:tcMar>
          </w:tcPr>
          <w:p>
            <w:pPr>
              <w:spacing w:after="0" w:before="0"/>
            </w:pPr>
            <w:r>
              <w:rPr>
                <w:rFonts w:ascii="Aptos" w:hAnsi="Aptos"/>
                <w:sz w:val="16"/>
              </w:rPr>
              <w:t>• lange Verfahren trotz Reform</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geringere lange Warteschleifen</w:t>
            </w:r>
          </w:p>
        </w:tc>
        <w:tc>
          <w:tcPr>
            <w:tcW w:type="dxa" w:w="5046"/>
            <w:vAlign w:val="center"/>
            <w:tcMar>
              <w:top w:w="80" w:type="dxa"/>
              <w:start w:w="100" w:type="dxa"/>
              <w:bottom w:w="80" w:type="dxa"/>
              <w:end w:w="100" w:type="dxa"/>
            </w:tcMar>
          </w:tcPr>
          <w:p>
            <w:pPr>
              <w:spacing w:after="0" w:before="0"/>
            </w:pPr>
            <w:r>
              <w:rPr>
                <w:rFonts w:ascii="Aptos" w:hAnsi="Aptos"/>
                <w:sz w:val="16"/>
              </w:rPr>
              <w:t>• kommunale Belastung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bessere Integrations- oder Rückkehrperspektiven</w:t>
            </w:r>
          </w:p>
        </w:tc>
        <w:tc>
          <w:tcPr>
            <w:tcW w:type="dxa" w:w="5046"/>
            <w:vAlign w:val="center"/>
            <w:tcMar>
              <w:top w:w="80" w:type="dxa"/>
              <w:start w:w="100" w:type="dxa"/>
              <w:bottom w:w="80" w:type="dxa"/>
              <w:end w:w="100" w:type="dxa"/>
            </w:tcMar>
          </w:tcPr>
          <w:p>
            <w:pPr>
              <w:spacing w:after="0" w:before="0"/>
            </w:pPr>
            <w:r>
              <w:rPr>
                <w:rFonts w:ascii="Aptos" w:hAnsi="Aptos"/>
                <w:sz w:val="16"/>
              </w:rPr>
              <w:t>• Anreize für gefährliche Routen bleiben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Rückkehrkonflikte</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Rechtsstaat &amp; Grundrechte</w:t>
            </w:r>
          </w:p>
        </w:tc>
        <w:tc>
          <w:tcPr>
            <w:tcW w:type="dxa" w:w="3364"/>
            <w:vAlign w:val="center"/>
            <w:tcMar>
              <w:top w:w="80" w:type="dxa"/>
              <w:start w:w="100" w:type="dxa"/>
              <w:bottom w:w="80" w:type="dxa"/>
              <w:end w:w="100" w:type="dxa"/>
            </w:tcMar>
          </w:tcPr>
          <w:p>
            <w:pPr>
              <w:spacing w:after="0" w:before="0"/>
            </w:pPr>
            <w:r>
              <w:rPr>
                <w:rFonts w:ascii="Aptos" w:hAnsi="Aptos"/>
                <w:sz w:val="16"/>
              </w:rPr>
              <w:t>+2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Verfahrensdauer · Schutz- und Fehlerquoten · Rechtsmittel · Unterbringungsqualität · kommunale Kosten · Integration oder freiwillige/geordnete Rückkehr</w:t>
      </w:r>
    </w:p>
    <w:p>
      <w:pPr>
        <w:pStyle w:val="Heading3"/>
        <w:spacing w:after="80"/>
        <w:keepNext/>
      </w:pPr>
      <w:r>
        <w:t>Neutrale Ergebnis-Microcopy</w:t>
      </w:r>
    </w:p>
    <w:p>
      <w:pPr>
        <w:pStyle w:val="ListBullet"/>
        <w:spacing w:after="20" w:before="0"/>
      </w:pPr>
      <w:r>
        <w:t>„Bei Individuelles Asylrecht und rechtsstaatliche Grenzverfahren besteht eine {hohe/mittlere/geringe} positionale Nähe.“</w:t>
      </w:r>
    </w:p>
    <w:p>
      <w:pPr>
        <w:pStyle w:val="ListBullet"/>
        <w:spacing w:after="20" w:before="0"/>
      </w:pPr>
      <w:r>
        <w:t>„Die Option Individuelles Asylrecht und rechtsstaatliche Grenzverfahren weist vor allem in den Dimensionen Rechtsstaat &amp; Grundrechte, Informationsqualität &amp; demokratischer Zusammenhalt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Q26 · Fachkräfteeinwanderung und Integration</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Deutschland soll qualifizierte Einwanderung erleichtern und zugleich dauerhaft in Sprache, Anerkennung von Abschlüssen, Kinderbetreuung, Arbeitsmarktintegration und kommunale Infrastruktur investieren.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Einwanderung entfaltet nicht automatisch positive oder negative Wirkung. Entscheidend sind Auswahl, Rechte, Integration, Arbeitsbedingungen und Aufnahmefähigkeit.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Soziale Sicherheit &amp; Fairness, Gesundheit, Bildung &amp; Teilhabe, Resilienz &amp; Generationengerechtigkeit, Informationsqualität &amp; demokratischer Zusammenhalt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4, 8, 10, 11, 16</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niedrigere rechtliche Hürden, schnellere Anerkennung, Integrationsangebote, Schutz vor Ausbeutung und verlässliche Finanzierung der Kommunen.</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wirbt aktiv um Fachkräfte und will Verfahren/Integration beschleunigen</w:t>
            </w:r>
          </w:p>
        </w:tc>
        <w:tc>
          <w:tcPr>
            <w:tcW w:type="dxa" w:w="2018"/>
            <w:vAlign w:val="center"/>
            <w:tcMar>
              <w:top w:w="80" w:type="dxa"/>
              <w:start w:w="100" w:type="dxa"/>
              <w:bottom w:w="80" w:type="dxa"/>
              <w:end w:w="100" w:type="dxa"/>
            </w:tcMar>
          </w:tcPr>
          <w:p>
            <w:pPr>
              <w:spacing w:after="0" w:before="0"/>
            </w:pPr>
            <w:r>
              <w:rPr>
                <w:rFonts w:ascii="Aptos" w:hAnsi="Aptos"/>
                <w:sz w:val="14"/>
              </w:rPr>
              <w:t>P01, PDF-S. 57;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qualifizierte Einwanderung, Integration und kommunale Unterstützung</w:t>
            </w:r>
          </w:p>
        </w:tc>
        <w:tc>
          <w:tcPr>
            <w:tcW w:type="dxa" w:w="2018"/>
            <w:vAlign w:val="center"/>
            <w:tcMar>
              <w:top w:w="80" w:type="dxa"/>
              <w:start w:w="100" w:type="dxa"/>
              <w:bottom w:w="80" w:type="dxa"/>
              <w:end w:w="100" w:type="dxa"/>
            </w:tcMar>
          </w:tcPr>
          <w:p>
            <w:pPr>
              <w:spacing w:after="0" w:before="0"/>
            </w:pPr>
            <w:r>
              <w:rPr>
                <w:rFonts w:ascii="Aptos" w:hAnsi="Aptos"/>
                <w:sz w:val="14"/>
              </w:rPr>
              <w:t>P02, PDF-S. 54;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Einwanderung erleichtern und umfassend integrieren</w:t>
            </w:r>
          </w:p>
        </w:tc>
        <w:tc>
          <w:tcPr>
            <w:tcW w:type="dxa" w:w="2018"/>
            <w:vAlign w:val="center"/>
            <w:tcMar>
              <w:top w:w="80" w:type="dxa"/>
              <w:start w:w="100" w:type="dxa"/>
              <w:bottom w:w="80" w:type="dxa"/>
              <w:end w:w="100" w:type="dxa"/>
            </w:tcMar>
          </w:tcPr>
          <w:p>
            <w:pPr>
              <w:spacing w:after="0" w:before="0"/>
            </w:pPr>
            <w:r>
              <w:rPr>
                <w:rFonts w:ascii="Aptos" w:hAnsi="Aptos"/>
                <w:sz w:val="14"/>
              </w:rPr>
              <w:t>P03, PDF-S. 67;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will Einwanderung stark selektieren und insgesamt begrenzen</w:t>
            </w:r>
          </w:p>
        </w:tc>
        <w:tc>
          <w:tcPr>
            <w:tcW w:type="dxa" w:w="2018"/>
            <w:vAlign w:val="center"/>
            <w:tcMar>
              <w:top w:w="80" w:type="dxa"/>
              <w:start w:w="100" w:type="dxa"/>
              <w:bottom w:w="80" w:type="dxa"/>
              <w:end w:w="100" w:type="dxa"/>
            </w:tcMar>
          </w:tcPr>
          <w:p>
            <w:pPr>
              <w:spacing w:after="0" w:before="0"/>
            </w:pPr>
            <w:r>
              <w:rPr>
                <w:rFonts w:ascii="Aptos" w:hAnsi="Aptos"/>
                <w:sz w:val="14"/>
              </w:rPr>
              <w:t>P04, PDF-S. 110;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unterstützt gleiche Rechte und Integration, aber weniger arbeitsmarktzentriert</w:t>
            </w:r>
          </w:p>
        </w:tc>
        <w:tc>
          <w:tcPr>
            <w:tcW w:type="dxa" w:w="2018"/>
            <w:vAlign w:val="center"/>
            <w:tcMar>
              <w:top w:w="80" w:type="dxa"/>
              <w:start w:w="100" w:type="dxa"/>
              <w:bottom w:w="80" w:type="dxa"/>
              <w:end w:w="100" w:type="dxa"/>
            </w:tcMar>
          </w:tcPr>
          <w:p>
            <w:pPr>
              <w:spacing w:after="0" w:before="0"/>
            </w:pPr>
            <w:r>
              <w:rPr>
                <w:rFonts w:ascii="Aptos" w:hAnsi="Aptos"/>
                <w:sz w:val="14"/>
              </w:rPr>
              <w:t>P05, PDF-S. 52;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akzeptiert begrenzte Fachkräfteeinwanderung, priorisiert inländische Potenziale</w:t>
            </w:r>
          </w:p>
        </w:tc>
        <w:tc>
          <w:tcPr>
            <w:tcW w:type="dxa" w:w="2018"/>
            <w:vAlign w:val="center"/>
            <w:tcMar>
              <w:top w:w="80" w:type="dxa"/>
              <w:start w:w="100" w:type="dxa"/>
              <w:bottom w:w="80" w:type="dxa"/>
              <w:end w:w="100" w:type="dxa"/>
            </w:tcMar>
          </w:tcPr>
          <w:p>
            <w:pPr>
              <w:spacing w:after="0" w:before="0"/>
            </w:pPr>
            <w:r>
              <w:rPr>
                <w:rFonts w:ascii="Aptos" w:hAnsi="Aptos"/>
                <w:sz w:val="14"/>
              </w:rPr>
              <w:t>P06, PDF-S. 36;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moderne Einwanderungsregeln, Anerkennung und Arbeitsmarktintegration</w:t>
            </w:r>
          </w:p>
        </w:tc>
        <w:tc>
          <w:tcPr>
            <w:tcW w:type="dxa" w:w="2018"/>
            <w:vAlign w:val="center"/>
            <w:tcMar>
              <w:top w:w="80" w:type="dxa"/>
              <w:start w:w="100" w:type="dxa"/>
              <w:bottom w:w="80" w:type="dxa"/>
              <w:end w:w="100" w:type="dxa"/>
            </w:tcMar>
          </w:tcPr>
          <w:p>
            <w:pPr>
              <w:spacing w:after="0" w:before="0"/>
            </w:pPr>
            <w:r>
              <w:rPr>
                <w:rFonts w:ascii="Aptos" w:hAnsi="Aptos"/>
                <w:sz w:val="14"/>
              </w:rPr>
              <w:t>P07, PDF-S. 29;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mehr Erwerbspersonen und Kompetenzen → Sprach- und Anerkennungsangebote beschleunigen Einstieg → Steuer- und Beitragsbasis kann wachsen → kommunale Leistungen sichern Teilhabe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Kosten für Integration entstehen früh; fiskalische, demografische und gesellschaftliche Wirkungen wachsen mittel- bis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Einwandernde, Familien, Kommunen, Beschäftigte, Unternehmen, Herkunftsländer und soziale Infrastruktur.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hoch: Bildungsstruktur, Arbeitsmarkt, Familiennachzug, Aufenthaltsdauer und Integrationsqualität sind entscheidend.</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Gleiche Arbeitsrechte, Schutz vor Ausbeutung und diskriminierungsfreier Zugang sind Mindestbedingungen.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E22</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Minderung von Fachkräfteengpässen</w:t>
            </w:r>
          </w:p>
        </w:tc>
        <w:tc>
          <w:tcPr>
            <w:tcW w:type="dxa" w:w="5046"/>
            <w:vAlign w:val="center"/>
            <w:tcMar>
              <w:top w:w="80" w:type="dxa"/>
              <w:start w:w="100" w:type="dxa"/>
              <w:bottom w:w="80" w:type="dxa"/>
              <w:end w:w="100" w:type="dxa"/>
            </w:tcMar>
          </w:tcPr>
          <w:p>
            <w:pPr>
              <w:spacing w:after="0" w:before="0"/>
            </w:pPr>
            <w:r>
              <w:rPr>
                <w:rFonts w:ascii="Aptos" w:hAnsi="Aptos"/>
                <w:sz w:val="16"/>
              </w:rPr>
              <w:t>• Wohnungs-, Bildungs- und Verwaltungsdruck</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demografische Stabilisierung</w:t>
            </w:r>
          </w:p>
        </w:tc>
        <w:tc>
          <w:tcPr>
            <w:tcW w:type="dxa" w:w="5046"/>
            <w:vAlign w:val="center"/>
            <w:tcMar>
              <w:top w:w="80" w:type="dxa"/>
              <w:start w:w="100" w:type="dxa"/>
              <w:bottom w:w="80" w:type="dxa"/>
              <w:end w:w="100" w:type="dxa"/>
            </w:tcMar>
          </w:tcPr>
          <w:p>
            <w:pPr>
              <w:spacing w:after="0" w:before="0"/>
            </w:pPr>
            <w:r>
              <w:rPr>
                <w:rFonts w:ascii="Aptos" w:hAnsi="Aptos"/>
                <w:sz w:val="16"/>
              </w:rPr>
              <w:t>• Brain Drain in Herkunftsländern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Innovation und kulturelle Vielfalt</w:t>
            </w:r>
          </w:p>
        </w:tc>
        <w:tc>
          <w:tcPr>
            <w:tcW w:type="dxa" w:w="5046"/>
            <w:vAlign w:val="center"/>
            <w:tcMar>
              <w:top w:w="80" w:type="dxa"/>
              <w:start w:w="100" w:type="dxa"/>
              <w:bottom w:w="80" w:type="dxa"/>
              <w:end w:w="100" w:type="dxa"/>
            </w:tcMar>
          </w:tcPr>
          <w:p>
            <w:pPr>
              <w:spacing w:after="0" w:before="0"/>
            </w:pPr>
            <w:r>
              <w:rPr>
                <w:rFonts w:ascii="Aptos" w:hAnsi="Aptos"/>
                <w:sz w:val="16"/>
              </w:rPr>
              <w:t>• Lohndumping und Ausbeutung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bessere Nutzung vorhandener Qualifikationen</w:t>
            </w:r>
          </w:p>
        </w:tc>
        <w:tc>
          <w:tcPr>
            <w:tcW w:type="dxa" w:w="5046"/>
            <w:vAlign w:val="center"/>
            <w:tcMar>
              <w:top w:w="80" w:type="dxa"/>
              <w:start w:w="100" w:type="dxa"/>
              <w:bottom w:w="80" w:type="dxa"/>
              <w:end w:w="100" w:type="dxa"/>
            </w:tcMar>
          </w:tcPr>
          <w:p>
            <w:pPr>
              <w:spacing w:after="0" w:before="0"/>
            </w:pPr>
            <w:r>
              <w:rPr>
                <w:rFonts w:ascii="Aptos" w:hAnsi="Aptos"/>
                <w:sz w:val="16"/>
              </w:rPr>
              <w:t>• ungleiche regionale Verteilung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Integrationsdefizite bei Unterfinanzierung</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Beschäftigungsquote · Qualifikationsadäquanz · Sprachkompetenz · Anerkennungsdauer · kommunale Belastungsindikatoren · Lohnlücke · Nettofiskalwirkung</w:t>
      </w:r>
    </w:p>
    <w:p>
      <w:pPr>
        <w:pStyle w:val="Heading3"/>
        <w:spacing w:after="80"/>
        <w:keepNext/>
      </w:pPr>
      <w:r>
        <w:t>Neutrale Ergebnis-Microcopy</w:t>
      </w:r>
    </w:p>
    <w:p>
      <w:pPr>
        <w:pStyle w:val="ListBullet"/>
        <w:spacing w:after="20" w:before="0"/>
      </w:pPr>
      <w:r>
        <w:t>„Bei Fachkräfteeinwanderung und Integration besteht eine {hohe/mittlere/geringe} positionale Nähe.“</w:t>
      </w:r>
    </w:p>
    <w:p>
      <w:pPr>
        <w:pStyle w:val="ListBullet"/>
        <w:spacing w:after="20" w:before="0"/>
      </w:pPr>
      <w:r>
        <w:t>„Die Option Fachkräfteeinwanderung und Integration weist vor allem in den Dimensionen Soziale Sicherheit &amp; Fairness, Gesundheit, Bildung &amp; Teilhabe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Q27 · Doppelte Staatsangehörigkeit und verlässliche Einbürgerung</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Doppelte Staatsangehörigkeit soll grundsätzlich möglich bleiben. Gut integrierte Menschen sollen nach klaren, verlässlichen Kriterien eingebürgert werden können.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Einbürgerung verändert politische Teilhabe, Bindung und Rechte. Die Wirkung hängt von klaren Kriterien und realen Integrationschancen ab.</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Rechtsstaat &amp; Grundrechte, Soziale Sicherheit &amp; Fairness, Informationsqualität &amp; demokratischer Zusammenhalt, Freiheit &amp; Selbstbestimmung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10, 16</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transparente Aufenthalts-, Sprach-, Rechtsstaats- und Eigenständigkeitskriterien; Mehrstaatigkeit bleibt grundsätzlich zulässig.</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Reform des Staatsangehörigkeitsrechts zurücknehmen und Mehrstaatigkeit begrenzen</w:t>
            </w:r>
          </w:p>
        </w:tc>
        <w:tc>
          <w:tcPr>
            <w:tcW w:type="dxa" w:w="2018"/>
            <w:vAlign w:val="center"/>
            <w:tcMar>
              <w:top w:w="80" w:type="dxa"/>
              <w:start w:w="100" w:type="dxa"/>
              <w:bottom w:w="80" w:type="dxa"/>
              <w:end w:w="100" w:type="dxa"/>
            </w:tcMar>
          </w:tcPr>
          <w:p>
            <w:pPr>
              <w:spacing w:after="0" w:before="0"/>
            </w:pPr>
            <w:r>
              <w:rPr>
                <w:rFonts w:ascii="Aptos" w:hAnsi="Aptos"/>
                <w:sz w:val="14"/>
              </w:rPr>
              <w:t>P01, PDF-S. 57;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verteidigt modernes Einbürgerungsrecht und Mehrstaatigkeit</w:t>
            </w:r>
          </w:p>
        </w:tc>
        <w:tc>
          <w:tcPr>
            <w:tcW w:type="dxa" w:w="2018"/>
            <w:vAlign w:val="center"/>
            <w:tcMar>
              <w:top w:w="80" w:type="dxa"/>
              <w:start w:w="100" w:type="dxa"/>
              <w:bottom w:w="80" w:type="dxa"/>
              <w:end w:w="100" w:type="dxa"/>
            </w:tcMar>
          </w:tcPr>
          <w:p>
            <w:pPr>
              <w:spacing w:after="0" w:before="0"/>
            </w:pPr>
            <w:r>
              <w:rPr>
                <w:rFonts w:ascii="Aptos" w:hAnsi="Aptos"/>
                <w:sz w:val="14"/>
              </w:rPr>
              <w:t>P02, PDF-S. 54;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verteidigt erleichterte Einbürgerung und doppelte Staatsangehörigkeit</w:t>
            </w:r>
          </w:p>
        </w:tc>
        <w:tc>
          <w:tcPr>
            <w:tcW w:type="dxa" w:w="2018"/>
            <w:vAlign w:val="center"/>
            <w:tcMar>
              <w:top w:w="80" w:type="dxa"/>
              <w:start w:w="100" w:type="dxa"/>
              <w:bottom w:w="80" w:type="dxa"/>
              <w:end w:w="100" w:type="dxa"/>
            </w:tcMar>
          </w:tcPr>
          <w:p>
            <w:pPr>
              <w:spacing w:after="0" w:before="0"/>
            </w:pPr>
            <w:r>
              <w:rPr>
                <w:rFonts w:ascii="Aptos" w:hAnsi="Aptos"/>
                <w:sz w:val="14"/>
              </w:rPr>
              <w:t>P03, PDF-S. 127;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Einbürgerung stark erschweren und Mehrstaatigkeit begrenzen</w:t>
            </w:r>
          </w:p>
        </w:tc>
        <w:tc>
          <w:tcPr>
            <w:tcW w:type="dxa" w:w="2018"/>
            <w:vAlign w:val="center"/>
            <w:tcMar>
              <w:top w:w="80" w:type="dxa"/>
              <w:start w:w="100" w:type="dxa"/>
              <w:bottom w:w="80" w:type="dxa"/>
              <w:end w:w="100" w:type="dxa"/>
            </w:tcMar>
          </w:tcPr>
          <w:p>
            <w:pPr>
              <w:spacing w:after="0" w:before="0"/>
            </w:pPr>
            <w:r>
              <w:rPr>
                <w:rFonts w:ascii="Aptos" w:hAnsi="Aptos"/>
                <w:sz w:val="14"/>
              </w:rPr>
              <w:t>P04, PDF-S. 111;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erleichterte Einbürgerung und gleiche politische Rechte</w:t>
            </w:r>
          </w:p>
        </w:tc>
        <w:tc>
          <w:tcPr>
            <w:tcW w:type="dxa" w:w="2018"/>
            <w:vAlign w:val="center"/>
            <w:tcMar>
              <w:top w:w="80" w:type="dxa"/>
              <w:start w:w="100" w:type="dxa"/>
              <w:bottom w:w="80" w:type="dxa"/>
              <w:end w:w="100" w:type="dxa"/>
            </w:tcMar>
          </w:tcPr>
          <w:p>
            <w:pPr>
              <w:spacing w:after="0" w:before="0"/>
            </w:pPr>
            <w:r>
              <w:rPr>
                <w:rFonts w:ascii="Aptos" w:hAnsi="Aptos"/>
                <w:sz w:val="14"/>
              </w:rPr>
              <w:t>P05, PDF-S. 53;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keine eindeutige Zustimmung; betont strengere Integrationsvoraussetzungen</w:t>
            </w:r>
          </w:p>
        </w:tc>
        <w:tc>
          <w:tcPr>
            <w:tcW w:type="dxa" w:w="2018"/>
            <w:vAlign w:val="center"/>
            <w:tcMar>
              <w:top w:w="80" w:type="dxa"/>
              <w:start w:w="100" w:type="dxa"/>
              <w:bottom w:w="80" w:type="dxa"/>
              <w:end w:w="100" w:type="dxa"/>
            </w:tcMar>
          </w:tcPr>
          <w:p>
            <w:pPr>
              <w:spacing w:after="0" w:before="0"/>
            </w:pPr>
            <w:r>
              <w:rPr>
                <w:rFonts w:ascii="Aptos" w:hAnsi="Aptos"/>
                <w:sz w:val="14"/>
              </w:rPr>
              <w:t>P06, PDF-S. –; Vertrauen: niedrig</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grundsätzlich offen für Mehrstaatigkeit, mit klaren Kriterien</w:t>
            </w:r>
          </w:p>
        </w:tc>
        <w:tc>
          <w:tcPr>
            <w:tcW w:type="dxa" w:w="2018"/>
            <w:vAlign w:val="center"/>
            <w:tcMar>
              <w:top w:w="80" w:type="dxa"/>
              <w:start w:w="100" w:type="dxa"/>
              <w:bottom w:w="80" w:type="dxa"/>
              <w:end w:w="100" w:type="dxa"/>
            </w:tcMar>
          </w:tcPr>
          <w:p>
            <w:pPr>
              <w:spacing w:after="0" w:before="0"/>
            </w:pPr>
            <w:r>
              <w:rPr>
                <w:rFonts w:ascii="Aptos" w:hAnsi="Aptos"/>
                <w:sz w:val="14"/>
              </w:rPr>
              <w:t>P07, PDF-S. 29; Vertrauen: mittel</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dauerhaft Zugewanderte erhalten volle politische Rechte → Rechtssicherheit und Zugehörigkeit steigen → doppelte Bindungen bleiben möglich → Anreize zur Integration können wachsen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Rechts- und Teilhabeeffekte treten mit Einbürgerung ein; gesellschaftliche Bindung entwickelt sich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Langjährig Zugewanderte, Familien, Kommunen, politische Institutionen und Herkunftsstaaten.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mittel</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hoch: kausale Effekte von Einbürgerung und Integration beeinflussen sich gegenseitig.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Gleichheit vor dem Gesetz, individuelle Prüfung und Schutz vor staatenloser oder willkürlicher Ausbürgerung sind Mindestbedingungen.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E22</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mehr demokratische Teilhabe</w:t>
            </w:r>
          </w:p>
        </w:tc>
        <w:tc>
          <w:tcPr>
            <w:tcW w:type="dxa" w:w="5046"/>
            <w:vAlign w:val="center"/>
            <w:tcMar>
              <w:top w:w="80" w:type="dxa"/>
              <w:start w:w="100" w:type="dxa"/>
              <w:bottom w:w="80" w:type="dxa"/>
              <w:end w:w="100" w:type="dxa"/>
            </w:tcMar>
          </w:tcPr>
          <w:p>
            <w:pPr>
              <w:spacing w:after="0" w:before="0"/>
            </w:pPr>
            <w:r>
              <w:rPr>
                <w:rFonts w:ascii="Aptos" w:hAnsi="Aptos"/>
                <w:sz w:val="16"/>
              </w:rPr>
              <w:t>• Kriterien können zu niedrig oder zu hoch gesetzt sein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weniger rechtliche Distanz zwischen Bevölkerung und Wahlvolk</w:t>
            </w:r>
          </w:p>
        </w:tc>
        <w:tc>
          <w:tcPr>
            <w:tcW w:type="dxa" w:w="5046"/>
            <w:vAlign w:val="center"/>
            <w:tcMar>
              <w:top w:w="80" w:type="dxa"/>
              <w:start w:w="100" w:type="dxa"/>
              <w:bottom w:w="80" w:type="dxa"/>
              <w:end w:w="100" w:type="dxa"/>
            </w:tcMar>
          </w:tcPr>
          <w:p>
            <w:pPr>
              <w:spacing w:after="0" w:before="0"/>
            </w:pPr>
            <w:r>
              <w:rPr>
                <w:rFonts w:ascii="Aptos" w:hAnsi="Aptos"/>
                <w:sz w:val="16"/>
              </w:rPr>
              <w:t>• Mehrfachloyalitätsdebatten und Polarisierung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Planbarkeit für Familien und Fachkräfte</w:t>
            </w:r>
          </w:p>
        </w:tc>
        <w:tc>
          <w:tcPr>
            <w:tcW w:type="dxa" w:w="5046"/>
            <w:vAlign w:val="center"/>
            <w:tcMar>
              <w:top w:w="80" w:type="dxa"/>
              <w:start w:w="100" w:type="dxa"/>
              <w:bottom w:w="80" w:type="dxa"/>
              <w:end w:w="100" w:type="dxa"/>
            </w:tcMar>
          </w:tcPr>
          <w:p>
            <w:pPr>
              <w:spacing w:after="0" w:before="0"/>
            </w:pPr>
            <w:r>
              <w:rPr>
                <w:rFonts w:ascii="Aptos" w:hAnsi="Aptos"/>
                <w:sz w:val="16"/>
              </w:rPr>
              <w:t>• Verwaltungskapazität</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Ungleichbehandlung durch Ermessensspielräume</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Rechtsstaat &amp; Grundrechte</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Einbürgerungsdauer · Teilnahme an Wahlen · Sprach- und Erwerbsindikatoren · Ablehnungsgründe · Vertrauen und Zugehörigkeit</w:t>
      </w:r>
    </w:p>
    <w:p>
      <w:pPr>
        <w:pStyle w:val="Heading3"/>
        <w:spacing w:after="80"/>
        <w:keepNext/>
      </w:pPr>
      <w:r>
        <w:t>Neutrale Ergebnis-Microcopy</w:t>
      </w:r>
    </w:p>
    <w:p>
      <w:pPr>
        <w:pStyle w:val="ListBullet"/>
        <w:spacing w:after="20" w:before="0"/>
      </w:pPr>
      <w:r>
        <w:t>„Bei Doppelte Staatsangehörigkeit und verlässliche Einbürgerung besteht eine {hohe/mittlere/geringe} positionale Nähe.“</w:t>
      </w:r>
    </w:p>
    <w:p>
      <w:pPr>
        <w:pStyle w:val="ListBullet"/>
        <w:spacing w:after="20" w:before="0"/>
      </w:pPr>
      <w:r>
        <w:t>„Die Option Doppelte Staatsangehörigkeit und verlässliche Einbürgerung weist vor allem in den Dimensionen Rechtsstaat &amp; Grundrechte, Soziale Sicherheit &amp; Fairness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Q28 · Antidiskriminierung und Schutz sexueller und geschlechtlicher Selbstbestimmung</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Der Schutz vor Diskriminierung sowie die Gleichstellung von Frauen, queeren Menschen, Menschen mit Behinderung und ethnischen oder religiösen Minderheiten sollen ausgebaut werden. Das Selbstbestimmungsgesetz soll nicht zurückgenommen werden.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betrifft gleiche Rechte und Schutz vor Gewalt, aber auch Konflikte um Verfahren, Schutzräume und Nachweise. Diese müssen konkret statt pauschal behandelt werden.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Rechtsstaat &amp; Grundrechte, Soziale Sicherheit &amp; Fairness, Gesundheit, Bildung &amp; Teilhabe, Freiheit &amp; Selbstbestimmung, Informationsqualität &amp; demokratischer Zusammenhalt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3, 5, 10, 16; SDG+ kulturelle Vielfalt und Inklusion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wirksamer Diskriminierungsschutz, zugängliche Rechtsdurchsetzung, Schutzkonzepte und Erhalt der selbstbestimmten Änderung des Geschlechtseintrags.</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will Selbstbestimmungsgesetz zurücknehmen; allgemeiner Gleichstellungsschutz bleibt</w:t>
            </w:r>
          </w:p>
        </w:tc>
        <w:tc>
          <w:tcPr>
            <w:tcW w:type="dxa" w:w="2018"/>
            <w:vAlign w:val="center"/>
            <w:tcMar>
              <w:top w:w="80" w:type="dxa"/>
              <w:start w:w="100" w:type="dxa"/>
              <w:bottom w:w="80" w:type="dxa"/>
              <w:end w:w="100" w:type="dxa"/>
            </w:tcMar>
          </w:tcPr>
          <w:p>
            <w:pPr>
              <w:spacing w:after="0" w:before="0"/>
            </w:pPr>
            <w:r>
              <w:rPr>
                <w:rFonts w:ascii="Aptos" w:hAnsi="Aptos"/>
                <w:sz w:val="14"/>
              </w:rPr>
              <w:t>P01, PDF-S. 9;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Gleichstellung, Antidiskriminierung und Selbstbestimmung stärken</w:t>
            </w:r>
          </w:p>
        </w:tc>
        <w:tc>
          <w:tcPr>
            <w:tcW w:type="dxa" w:w="2018"/>
            <w:vAlign w:val="center"/>
            <w:tcMar>
              <w:top w:w="80" w:type="dxa"/>
              <w:start w:w="100" w:type="dxa"/>
              <w:bottom w:w="80" w:type="dxa"/>
              <w:end w:w="100" w:type="dxa"/>
            </w:tcMar>
          </w:tcPr>
          <w:p>
            <w:pPr>
              <w:spacing w:after="0" w:before="0"/>
            </w:pPr>
            <w:r>
              <w:rPr>
                <w:rFonts w:ascii="Aptos" w:hAnsi="Aptos"/>
                <w:sz w:val="14"/>
              </w:rPr>
              <w:t>P02, PDF-S. 47;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Schutz und Selbstbestimmung umfassend ausbauen</w:t>
            </w:r>
          </w:p>
        </w:tc>
        <w:tc>
          <w:tcPr>
            <w:tcW w:type="dxa" w:w="2018"/>
            <w:vAlign w:val="center"/>
            <w:tcMar>
              <w:top w:w="80" w:type="dxa"/>
              <w:start w:w="100" w:type="dxa"/>
              <w:bottom w:w="80" w:type="dxa"/>
              <w:end w:w="100" w:type="dxa"/>
            </w:tcMar>
          </w:tcPr>
          <w:p>
            <w:pPr>
              <w:spacing w:after="0" w:before="0"/>
            </w:pPr>
            <w:r>
              <w:rPr>
                <w:rFonts w:ascii="Aptos" w:hAnsi="Aptos"/>
                <w:sz w:val="14"/>
              </w:rPr>
              <w:t>P03, PDF-S. 121;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Gender-/Queerpolitik und Selbstbestimmungsgesetz ab</w:t>
            </w:r>
          </w:p>
        </w:tc>
        <w:tc>
          <w:tcPr>
            <w:tcW w:type="dxa" w:w="2018"/>
            <w:vAlign w:val="center"/>
            <w:tcMar>
              <w:top w:w="80" w:type="dxa"/>
              <w:start w:w="100" w:type="dxa"/>
              <w:bottom w:w="80" w:type="dxa"/>
              <w:end w:w="100" w:type="dxa"/>
            </w:tcMar>
          </w:tcPr>
          <w:p>
            <w:pPr>
              <w:spacing w:after="0" w:before="0"/>
            </w:pPr>
            <w:r>
              <w:rPr>
                <w:rFonts w:ascii="Aptos" w:hAnsi="Aptos"/>
                <w:sz w:val="14"/>
              </w:rPr>
              <w:t>P04, PDF-S. 106;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umfassende Gleichstellung und Schutz queerer Menschen</w:t>
            </w:r>
          </w:p>
        </w:tc>
        <w:tc>
          <w:tcPr>
            <w:tcW w:type="dxa" w:w="2018"/>
            <w:vAlign w:val="center"/>
            <w:tcMar>
              <w:top w:w="80" w:type="dxa"/>
              <w:start w:w="100" w:type="dxa"/>
              <w:bottom w:w="80" w:type="dxa"/>
              <w:end w:w="100" w:type="dxa"/>
            </w:tcMar>
          </w:tcPr>
          <w:p>
            <w:pPr>
              <w:spacing w:after="0" w:before="0"/>
            </w:pPr>
            <w:r>
              <w:rPr>
                <w:rFonts w:ascii="Aptos" w:hAnsi="Aptos"/>
                <w:sz w:val="14"/>
              </w:rPr>
              <w:t>P05, PDF-S. 47;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kritisiert Identitätspolitik und Selbstbestimmungsgesetz</w:t>
            </w:r>
          </w:p>
        </w:tc>
        <w:tc>
          <w:tcPr>
            <w:tcW w:type="dxa" w:w="2018"/>
            <w:vAlign w:val="center"/>
            <w:tcMar>
              <w:top w:w="80" w:type="dxa"/>
              <w:start w:w="100" w:type="dxa"/>
              <w:bottom w:w="80" w:type="dxa"/>
              <w:end w:w="100" w:type="dxa"/>
            </w:tcMar>
          </w:tcPr>
          <w:p>
            <w:pPr>
              <w:spacing w:after="0" w:before="0"/>
            </w:pPr>
            <w:r>
              <w:rPr>
                <w:rFonts w:ascii="Aptos" w:hAnsi="Aptos"/>
                <w:sz w:val="14"/>
              </w:rPr>
              <w:t>P06, PDF-S. 34;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verteidigt individuelle Selbstbestimmung und Antidiskriminierung, mit liberalen Schutzregeln</w:t>
            </w:r>
          </w:p>
        </w:tc>
        <w:tc>
          <w:tcPr>
            <w:tcW w:type="dxa" w:w="2018"/>
            <w:vAlign w:val="center"/>
            <w:tcMar>
              <w:top w:w="80" w:type="dxa"/>
              <w:start w:w="100" w:type="dxa"/>
              <w:bottom w:w="80" w:type="dxa"/>
              <w:end w:w="100" w:type="dxa"/>
            </w:tcMar>
          </w:tcPr>
          <w:p>
            <w:pPr>
              <w:spacing w:after="0" w:before="0"/>
            </w:pPr>
            <w:r>
              <w:rPr>
                <w:rFonts w:ascii="Aptos" w:hAnsi="Aptos"/>
                <w:sz w:val="14"/>
              </w:rPr>
              <w:t>P07, PDF-S. 25; Vertrauen: mittel</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rechtliche Barrieren und Diskriminierung werden reduziert → Betroffene erhalten Schutz und Anerkennung → Institutionen passen Verfahren an → gesellschaftliche Sichtbarkeit und Konflikte können zugleich steigen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Rechtliche Entlastung tritt kurzfristig ein; Kultur-, Gesundheits- und Vertrauenseffekte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Frauen, queere und trans Menschen, Menschen mit Behinderung, Minderheiten, Schulen, Verwaltungen, Sport- und Schutzinstitutionen.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mittel bis 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Wirkungen einzelner Regelungen unterscheiden sich; Schutz und Umsetzung sind entscheidend.</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Menschenwürde, körperliche Unversehrtheit, Gleichheit vor dem Gesetz und Schutz vor Gewalt sind nicht kompensierbar.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E23</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gleiche Teilhabe und Sicherheit</w:t>
            </w:r>
          </w:p>
        </w:tc>
        <w:tc>
          <w:tcPr>
            <w:tcW w:type="dxa" w:w="5046"/>
            <w:vAlign w:val="center"/>
            <w:tcMar>
              <w:top w:w="80" w:type="dxa"/>
              <w:start w:w="100" w:type="dxa"/>
              <w:bottom w:w="80" w:type="dxa"/>
              <w:end w:w="100" w:type="dxa"/>
            </w:tcMar>
          </w:tcPr>
          <w:p>
            <w:pPr>
              <w:spacing w:after="0" w:before="0"/>
            </w:pPr>
            <w:r>
              <w:rPr>
                <w:rFonts w:ascii="Aptos" w:hAnsi="Aptos"/>
                <w:sz w:val="16"/>
              </w:rPr>
              <w:t>• Polarisierung und symbolische Übersteuerung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geringere psychische und soziale Belastung</w:t>
            </w:r>
          </w:p>
        </w:tc>
        <w:tc>
          <w:tcPr>
            <w:tcW w:type="dxa" w:w="5046"/>
            <w:vAlign w:val="center"/>
            <w:tcMar>
              <w:top w:w="80" w:type="dxa"/>
              <w:start w:w="100" w:type="dxa"/>
              <w:bottom w:w="80" w:type="dxa"/>
              <w:end w:w="100" w:type="dxa"/>
            </w:tcMar>
          </w:tcPr>
          <w:p>
            <w:pPr>
              <w:spacing w:after="0" w:before="0"/>
            </w:pPr>
            <w:r>
              <w:rPr>
                <w:rFonts w:ascii="Aptos" w:hAnsi="Aptos"/>
                <w:sz w:val="16"/>
              </w:rPr>
              <w:t>• unklare Verfahren in einzelnen Schutzkontexten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bessere Rechtsdurchsetzung</w:t>
            </w:r>
          </w:p>
        </w:tc>
        <w:tc>
          <w:tcPr>
            <w:tcW w:type="dxa" w:w="5046"/>
            <w:vAlign w:val="center"/>
            <w:tcMar>
              <w:top w:w="80" w:type="dxa"/>
              <w:start w:w="100" w:type="dxa"/>
              <w:bottom w:w="80" w:type="dxa"/>
              <w:end w:w="100" w:type="dxa"/>
            </w:tcMar>
          </w:tcPr>
          <w:p>
            <w:pPr>
              <w:spacing w:after="0" w:before="0"/>
            </w:pPr>
            <w:r>
              <w:rPr>
                <w:rFonts w:ascii="Aptos" w:hAnsi="Aptos"/>
                <w:sz w:val="16"/>
              </w:rPr>
              <w:t>• bürokratische Belastung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Nutzung vielfältiger Potenziale</w:t>
            </w:r>
          </w:p>
        </w:tc>
        <w:tc>
          <w:tcPr>
            <w:tcW w:type="dxa" w:w="5046"/>
            <w:vAlign w:val="center"/>
            <w:tcMar>
              <w:top w:w="80" w:type="dxa"/>
              <w:start w:w="100" w:type="dxa"/>
              <w:bottom w:w="80" w:type="dxa"/>
              <w:end w:w="100" w:type="dxa"/>
            </w:tcMar>
          </w:tcPr>
          <w:p>
            <w:pPr>
              <w:spacing w:after="0" w:before="0"/>
            </w:pPr>
            <w:r>
              <w:rPr>
                <w:rFonts w:ascii="Aptos" w:hAnsi="Aptos"/>
                <w:sz w:val="16"/>
              </w:rPr>
              <w:t>• Gegenreaktionen und Hassmobilisierung</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Rechtsstaat &amp; Grundrechte</w:t>
            </w:r>
          </w:p>
        </w:tc>
        <w:tc>
          <w:tcPr>
            <w:tcW w:type="dxa" w:w="3364"/>
            <w:vAlign w:val="center"/>
            <w:tcMar>
              <w:top w:w="80" w:type="dxa"/>
              <w:start w:w="100" w:type="dxa"/>
              <w:bottom w:w="80" w:type="dxa"/>
              <w:end w:w="100" w:type="dxa"/>
            </w:tcMar>
          </w:tcPr>
          <w:p>
            <w:pPr>
              <w:spacing w:after="0" w:before="0"/>
            </w:pPr>
            <w:r>
              <w:rPr>
                <w:rFonts w:ascii="Aptos" w:hAnsi="Aptos"/>
                <w:sz w:val="16"/>
              </w:rPr>
              <w:t>+2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Diskriminierungsfälle und Rechtsdurchsetzung · Gewalt- und Gesundheitsindikatoren · Teilhabe · Verfahrensqualität · Akzeptanz und Polarisierung</w:t>
      </w:r>
    </w:p>
    <w:p>
      <w:pPr>
        <w:pStyle w:val="Heading3"/>
        <w:spacing w:after="80"/>
        <w:keepNext/>
      </w:pPr>
      <w:r>
        <w:t>Neutrale Ergebnis-Microcopy</w:t>
      </w:r>
    </w:p>
    <w:p>
      <w:pPr>
        <w:pStyle w:val="ListBullet"/>
        <w:spacing w:after="20" w:before="0"/>
      </w:pPr>
      <w:r>
        <w:t>„Bei Antidiskriminierung und Schutz sexueller und geschlechtlicher Selbstbestimmung besteht eine {hohe/mittlere/geringe} positionale Nähe.“</w:t>
      </w:r>
    </w:p>
    <w:p>
      <w:pPr>
        <w:pStyle w:val="ListBullet"/>
        <w:spacing w:after="20" w:before="0"/>
      </w:pPr>
      <w:r>
        <w:t>„Die Option Antidiskriminierung und Schutz sexueller und geschlechtlicher Selbstbestimmung weist vor allem in den Dimensionen Rechtsstaat &amp; Grundrechte, Soziale Sicherheit &amp; Fairness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1"/>
        <w:spacing w:after="80"/>
        <w:keepNext/>
        <w:pageBreakBefore w:val="true"/>
      </w:pPr>
      <w:r>
        <w:t>H. Europa, Außenpolitik &amp; Sicherheit</w:t>
      </w:r>
    </w:p>
    <w:p>
      <w:pPr>
        <w:spacing w:after="80"/>
      </w:pPr>
      <w:r>
        <w:t>Die folgenden vier Fragen bilden das Themenfeld ab. Jede Frage enthält Parteiposition und Wirkungsanalyse als getrennte Ebenen.</w:t>
      </w:r>
    </w:p>
    <w:p>
      <w:pPr>
        <w:pStyle w:val="Heading2"/>
        <w:spacing w:after="80"/>
        <w:keepNext/>
      </w:pPr>
      <w:r>
        <w:t>Q29 · Europäische Integration vertiefen</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Deutschland soll die Europäische Union weiter vertiefen und gemeinsame Lösungen bei Sicherheit, Klima, Infrastruktur, Steuern und Rechtsstaatlichkeit stärken. Ein Austritt oder die Rückkehr zu einem reinen Staatenbund soll ausgeschlossen werden.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betrifft gemeinsam geteilte Handlungsfähigkeit und demokratische Kontrolle. Mehr europäische Kompetenz ist nicht automatisch mehr Wirkung.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Resilienz &amp; Generationengerechtigkeit, Informationsqualität &amp; demokratischer Zusammenhalt, Rechtsstaat &amp; Grundrechte, Soziale Sicherheit &amp; Fairness, Freiheit &amp; Selbstbestimmung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9, 10, 13, 16, 17</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handlungsfähigere EU, stärkere gemeinsame Institutionen und Rechtsstaatskontrolle, zugleich Subsidiarität und transparente demokratische Zuständigkeiten.</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steht für vertiefte EU und gemeinsame Handlungsfähigkeit</w:t>
            </w:r>
          </w:p>
        </w:tc>
        <w:tc>
          <w:tcPr>
            <w:tcW w:type="dxa" w:w="2018"/>
            <w:vAlign w:val="center"/>
            <w:tcMar>
              <w:top w:w="80" w:type="dxa"/>
              <w:start w:w="100" w:type="dxa"/>
              <w:bottom w:w="80" w:type="dxa"/>
              <w:end w:w="100" w:type="dxa"/>
            </w:tcMar>
          </w:tcPr>
          <w:p>
            <w:pPr>
              <w:spacing w:after="0" w:before="0"/>
            </w:pPr>
            <w:r>
              <w:rPr>
                <w:rFonts w:ascii="Aptos" w:hAnsi="Aptos"/>
                <w:sz w:val="14"/>
              </w:rPr>
              <w:t>P01, PDF-S. 58;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souveränere, sozialere und handlungsfähige EU</w:t>
            </w:r>
          </w:p>
        </w:tc>
        <w:tc>
          <w:tcPr>
            <w:tcW w:type="dxa" w:w="2018"/>
            <w:vAlign w:val="center"/>
            <w:tcMar>
              <w:top w:w="80" w:type="dxa"/>
              <w:start w:w="100" w:type="dxa"/>
              <w:bottom w:w="80" w:type="dxa"/>
              <w:end w:w="100" w:type="dxa"/>
            </w:tcMar>
          </w:tcPr>
          <w:p>
            <w:pPr>
              <w:spacing w:after="0" w:before="0"/>
            </w:pPr>
            <w:r>
              <w:rPr>
                <w:rFonts w:ascii="Aptos" w:hAnsi="Aptos"/>
                <w:sz w:val="14"/>
              </w:rPr>
              <w:t>P02, PDF-S. 61;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demokratisch vertiefte und föderalere EU</w:t>
            </w:r>
          </w:p>
        </w:tc>
        <w:tc>
          <w:tcPr>
            <w:tcW w:type="dxa" w:w="2018"/>
            <w:vAlign w:val="center"/>
            <w:tcMar>
              <w:top w:w="80" w:type="dxa"/>
              <w:start w:w="100" w:type="dxa"/>
              <w:bottom w:w="80" w:type="dxa"/>
              <w:end w:w="100" w:type="dxa"/>
            </w:tcMar>
          </w:tcPr>
          <w:p>
            <w:pPr>
              <w:spacing w:after="0" w:before="0"/>
            </w:pPr>
            <w:r>
              <w:rPr>
                <w:rFonts w:ascii="Aptos" w:hAnsi="Aptos"/>
                <w:sz w:val="14"/>
              </w:rPr>
              <w:t>P03, PDF-S. 147;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stellt EU-Mitgliedschaft grundsätzlich infrage und fordert Dexit-Option</w:t>
            </w:r>
          </w:p>
        </w:tc>
        <w:tc>
          <w:tcPr>
            <w:tcW w:type="dxa" w:w="2018"/>
            <w:vAlign w:val="center"/>
            <w:tcMar>
              <w:top w:w="80" w:type="dxa"/>
              <w:start w:w="100" w:type="dxa"/>
              <w:bottom w:w="80" w:type="dxa"/>
              <w:end w:w="100" w:type="dxa"/>
            </w:tcMar>
          </w:tcPr>
          <w:p>
            <w:pPr>
              <w:spacing w:after="0" w:before="0"/>
            </w:pPr>
            <w:r>
              <w:rPr>
                <w:rFonts w:ascii="Aptos" w:hAnsi="Aptos"/>
                <w:sz w:val="14"/>
              </w:rPr>
              <w:t>P04, PDF-S. 95;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EU grundlegend sozial reformieren, aber nicht verlassen</w:t>
            </w:r>
          </w:p>
        </w:tc>
        <w:tc>
          <w:tcPr>
            <w:tcW w:type="dxa" w:w="2018"/>
            <w:vAlign w:val="center"/>
            <w:tcMar>
              <w:top w:w="80" w:type="dxa"/>
              <w:start w:w="100" w:type="dxa"/>
              <w:bottom w:w="80" w:type="dxa"/>
              <w:end w:w="100" w:type="dxa"/>
            </w:tcMar>
          </w:tcPr>
          <w:p>
            <w:pPr>
              <w:spacing w:after="0" w:before="0"/>
            </w:pPr>
            <w:r>
              <w:rPr>
                <w:rFonts w:ascii="Aptos" w:hAnsi="Aptos"/>
                <w:sz w:val="14"/>
              </w:rPr>
              <w:t>P05, PDF-S. 24;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will Kompetenzen stark zurückholen und EU zum lockeren Staatenverbund umbauen</w:t>
            </w:r>
          </w:p>
        </w:tc>
        <w:tc>
          <w:tcPr>
            <w:tcW w:type="dxa" w:w="2018"/>
            <w:vAlign w:val="center"/>
            <w:tcMar>
              <w:top w:w="80" w:type="dxa"/>
              <w:start w:w="100" w:type="dxa"/>
              <w:bottom w:w="80" w:type="dxa"/>
              <w:end w:w="100" w:type="dxa"/>
            </w:tcMar>
          </w:tcPr>
          <w:p>
            <w:pPr>
              <w:spacing w:after="0" w:before="0"/>
            </w:pPr>
            <w:r>
              <w:rPr>
                <w:rFonts w:ascii="Aptos" w:hAnsi="Aptos"/>
                <w:sz w:val="14"/>
              </w:rPr>
              <w:t>P06, PDF-S. 40;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vertiefte EU, Binnenmarkt und gemeinsame Institutionen</w:t>
            </w:r>
          </w:p>
        </w:tc>
        <w:tc>
          <w:tcPr>
            <w:tcW w:type="dxa" w:w="2018"/>
            <w:vAlign w:val="center"/>
            <w:tcMar>
              <w:top w:w="80" w:type="dxa"/>
              <w:start w:w="100" w:type="dxa"/>
              <w:bottom w:w="80" w:type="dxa"/>
              <w:end w:w="100" w:type="dxa"/>
            </w:tcMar>
          </w:tcPr>
          <w:p>
            <w:pPr>
              <w:spacing w:after="0" w:before="0"/>
            </w:pPr>
            <w:r>
              <w:rPr>
                <w:rFonts w:ascii="Aptos" w:hAnsi="Aptos"/>
                <w:sz w:val="14"/>
              </w:rPr>
              <w:t>P07, PDF-S. 36;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grenzüberschreitende Probleme werden gemeinsam bearbeitet → Binnenmarkt und Standards werden vereinheitlicht → Verhandlungsmacht steigt → nationale Alleingänge werden begrenzt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Institutionelle Reformen dauern; Resilienz- und Marktfolgen wirken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Bürger*innen, Unternehmen, Regionen, Mitgliedstaaten, Nachbar- und Partnerländer.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mittel bis 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hoch: konkrete Kompetenzverteilung und institutionelle Reform bestimmen die Wirkung.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Demokratische Legitimation, Rechtsstaatlichkeit, nationale Verfassungsidentität und Grundrechte sind Mindestbedingungen.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E24</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höhere geopolitische und wirtschaftliche Resilienz</w:t>
            </w:r>
          </w:p>
        </w:tc>
        <w:tc>
          <w:tcPr>
            <w:tcW w:type="dxa" w:w="5046"/>
            <w:vAlign w:val="center"/>
            <w:tcMar>
              <w:top w:w="80" w:type="dxa"/>
              <w:start w:w="100" w:type="dxa"/>
              <w:bottom w:w="80" w:type="dxa"/>
              <w:end w:w="100" w:type="dxa"/>
            </w:tcMar>
          </w:tcPr>
          <w:p>
            <w:pPr>
              <w:spacing w:after="0" w:before="0"/>
            </w:pPr>
            <w:r>
              <w:rPr>
                <w:rFonts w:ascii="Aptos" w:hAnsi="Aptos"/>
                <w:sz w:val="16"/>
              </w:rPr>
              <w:t>• Demokratiedistanz und Kompetenzunklarheit</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gemeinsame Infrastruktur und Klimapolitik</w:t>
            </w:r>
          </w:p>
        </w:tc>
        <w:tc>
          <w:tcPr>
            <w:tcW w:type="dxa" w:w="5046"/>
            <w:vAlign w:val="center"/>
            <w:tcMar>
              <w:top w:w="80" w:type="dxa"/>
              <w:start w:w="100" w:type="dxa"/>
              <w:bottom w:w="80" w:type="dxa"/>
              <w:end w:w="100" w:type="dxa"/>
            </w:tcMar>
          </w:tcPr>
          <w:p>
            <w:pPr>
              <w:spacing w:after="0" w:before="0"/>
            </w:pPr>
            <w:r>
              <w:rPr>
                <w:rFonts w:ascii="Aptos" w:hAnsi="Aptos"/>
                <w:sz w:val="16"/>
              </w:rPr>
              <w:t>• one-size-fits-all-Regeln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Schutz gemeinsamer Rechte</w:t>
            </w:r>
          </w:p>
        </w:tc>
        <w:tc>
          <w:tcPr>
            <w:tcW w:type="dxa" w:w="5046"/>
            <w:vAlign w:val="center"/>
            <w:tcMar>
              <w:top w:w="80" w:type="dxa"/>
              <w:start w:w="100" w:type="dxa"/>
              <w:bottom w:w="80" w:type="dxa"/>
              <w:end w:w="100" w:type="dxa"/>
            </w:tcMar>
          </w:tcPr>
          <w:p>
            <w:pPr>
              <w:spacing w:after="0" w:before="0"/>
            </w:pPr>
            <w:r>
              <w:rPr>
                <w:rFonts w:ascii="Aptos" w:hAnsi="Aptos"/>
                <w:sz w:val="16"/>
              </w:rPr>
              <w:t>• Verteilungskonflikte zwischen Staaten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weniger regulatorische Fragmentierung</w:t>
            </w:r>
          </w:p>
        </w:tc>
        <w:tc>
          <w:tcPr>
            <w:tcW w:type="dxa" w:w="5046"/>
            <w:vAlign w:val="center"/>
            <w:tcMar>
              <w:top w:w="80" w:type="dxa"/>
              <w:start w:w="100" w:type="dxa"/>
              <w:bottom w:w="80" w:type="dxa"/>
              <w:end w:w="100" w:type="dxa"/>
            </w:tcMar>
          </w:tcPr>
          <w:p>
            <w:pPr>
              <w:spacing w:after="0" w:before="0"/>
            </w:pPr>
            <w:r>
              <w:rPr>
                <w:rFonts w:ascii="Aptos" w:hAnsi="Aptos"/>
                <w:sz w:val="16"/>
              </w:rPr>
              <w:t>• Machtkonzentration ohne Kontrolle</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Rechtsstaat &amp; Grundrechte</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0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gemeinsame Investitionen · Entscheidungsfähigkeit · Rechtsstaatsverfahren · Binnenmarkthürden · Vertrauen in EU-Institutionen · Subsidiaritätsprüfung</w:t>
      </w:r>
    </w:p>
    <w:p>
      <w:pPr>
        <w:pStyle w:val="Heading3"/>
        <w:spacing w:after="80"/>
        <w:keepNext/>
      </w:pPr>
      <w:r>
        <w:t>Neutrale Ergebnis-Microcopy</w:t>
      </w:r>
    </w:p>
    <w:p>
      <w:pPr>
        <w:pStyle w:val="ListBullet"/>
        <w:spacing w:after="20" w:before="0"/>
      </w:pPr>
      <w:r>
        <w:t>„Bei Europäische Integration vertiefen besteht eine {hohe/mittlere/geringe} positionale Nähe.“</w:t>
      </w:r>
    </w:p>
    <w:p>
      <w:pPr>
        <w:pStyle w:val="ListBullet"/>
        <w:spacing w:after="20" w:before="0"/>
      </w:pPr>
      <w:r>
        <w:t>„Die Option Europäische Integration vertiefen weist vor allem in den Dimensionen Resilienz &amp; Generationengerechtigkeit, Informationsqualität &amp; demokratischer Zusammenhalt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Q30 · Unterstützung der Ukraine</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Deutschland soll die Ukraine politisch, finanziell und militärisch dabei unterstützen, ihre Souveränität und territoriale Integrität zu verteidigen, bis ein tragfähiger Frieden auf Grundlage des Völkerrechts erreicht ist.</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verbindet das Selbstverteidigungsrecht mit Eskalations-, Kosten- und Friedensrisiken. Weder Waffenlieferungen noch Verhandlungen garantieren allein einen gerechten Frieden.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Rechtsstaat &amp; Grundrechte, Resilienz &amp; Generationengerechtigkeit, Soziale Sicherheit &amp; Fairness, Informationsqualität &amp; demokratischer Zusammenhalt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16, 17; UN-Charta</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fortgesetzte Unterstützung, europäische Koordination, parlamentarische Kontrolle, Diplomatie und klare Bedingungen des humanitären Völkerrechts.</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umfassende politische, finanzielle und militärische Unterstützung</w:t>
            </w:r>
          </w:p>
        </w:tc>
        <w:tc>
          <w:tcPr>
            <w:tcW w:type="dxa" w:w="2018"/>
            <w:vAlign w:val="center"/>
            <w:tcMar>
              <w:top w:w="80" w:type="dxa"/>
              <w:start w:w="100" w:type="dxa"/>
              <w:bottom w:w="80" w:type="dxa"/>
              <w:end w:w="100" w:type="dxa"/>
            </w:tcMar>
          </w:tcPr>
          <w:p>
            <w:pPr>
              <w:spacing w:after="0" w:before="0"/>
            </w:pPr>
            <w:r>
              <w:rPr>
                <w:rFonts w:ascii="Aptos" w:hAnsi="Aptos"/>
                <w:sz w:val="14"/>
              </w:rPr>
              <w:t>P01, PDF-S. 47;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steht fest an der Seite der Ukraine, mit Eskalationskontrolle</w:t>
            </w:r>
          </w:p>
        </w:tc>
        <w:tc>
          <w:tcPr>
            <w:tcW w:type="dxa" w:w="2018"/>
            <w:vAlign w:val="center"/>
            <w:tcMar>
              <w:top w:w="80" w:type="dxa"/>
              <w:start w:w="100" w:type="dxa"/>
              <w:bottom w:w="80" w:type="dxa"/>
              <w:end w:w="100" w:type="dxa"/>
            </w:tcMar>
          </w:tcPr>
          <w:p>
            <w:pPr>
              <w:spacing w:after="0" w:before="0"/>
            </w:pPr>
            <w:r>
              <w:rPr>
                <w:rFonts w:ascii="Aptos" w:hAnsi="Aptos"/>
                <w:sz w:val="14"/>
              </w:rPr>
              <w:t>P02, PDF-S. 58;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konsequente Unterstützung einschließlich Waffen</w:t>
            </w:r>
          </w:p>
        </w:tc>
        <w:tc>
          <w:tcPr>
            <w:tcW w:type="dxa" w:w="2018"/>
            <w:vAlign w:val="center"/>
            <w:tcMar>
              <w:top w:w="80" w:type="dxa"/>
              <w:start w:w="100" w:type="dxa"/>
              <w:bottom w:w="80" w:type="dxa"/>
              <w:end w:w="100" w:type="dxa"/>
            </w:tcMar>
          </w:tcPr>
          <w:p>
            <w:pPr>
              <w:spacing w:after="0" w:before="0"/>
            </w:pPr>
            <w:r>
              <w:rPr>
                <w:rFonts w:ascii="Aptos" w:hAnsi="Aptos"/>
                <w:sz w:val="14"/>
              </w:rPr>
              <w:t>P03, PDF-S. 142;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will Waffenhilfe beenden und Beziehungen zu Russland normalisieren</w:t>
            </w:r>
          </w:p>
        </w:tc>
        <w:tc>
          <w:tcPr>
            <w:tcW w:type="dxa" w:w="2018"/>
            <w:vAlign w:val="center"/>
            <w:tcMar>
              <w:top w:w="80" w:type="dxa"/>
              <w:start w:w="100" w:type="dxa"/>
              <w:bottom w:w="80" w:type="dxa"/>
              <w:end w:w="100" w:type="dxa"/>
            </w:tcMar>
          </w:tcPr>
          <w:p>
            <w:pPr>
              <w:spacing w:after="0" w:before="0"/>
            </w:pPr>
            <w:r>
              <w:rPr>
                <w:rFonts w:ascii="Aptos" w:hAnsi="Aptos"/>
                <w:sz w:val="14"/>
              </w:rPr>
              <w:t>P04, PDF-S. 93;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Waffenlieferungen ab und fordert sofortige Verhandlungen</w:t>
            </w:r>
          </w:p>
        </w:tc>
        <w:tc>
          <w:tcPr>
            <w:tcW w:type="dxa" w:w="2018"/>
            <w:vAlign w:val="center"/>
            <w:tcMar>
              <w:top w:w="80" w:type="dxa"/>
              <w:start w:w="100" w:type="dxa"/>
              <w:bottom w:w="80" w:type="dxa"/>
              <w:end w:w="100" w:type="dxa"/>
            </w:tcMar>
          </w:tcPr>
          <w:p>
            <w:pPr>
              <w:spacing w:after="0" w:before="0"/>
            </w:pPr>
            <w:r>
              <w:rPr>
                <w:rFonts w:ascii="Aptos" w:hAnsi="Aptos"/>
                <w:sz w:val="14"/>
              </w:rPr>
              <w:t>P05, PDF-S. 21;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fordert Ende der Waffenlieferungen und rasche Verhandlungen</w:t>
            </w:r>
          </w:p>
        </w:tc>
        <w:tc>
          <w:tcPr>
            <w:tcW w:type="dxa" w:w="2018"/>
            <w:vAlign w:val="center"/>
            <w:tcMar>
              <w:top w:w="80" w:type="dxa"/>
              <w:start w:w="100" w:type="dxa"/>
              <w:bottom w:w="80" w:type="dxa"/>
              <w:end w:w="100" w:type="dxa"/>
            </w:tcMar>
          </w:tcPr>
          <w:p>
            <w:pPr>
              <w:spacing w:after="0" w:before="0"/>
            </w:pPr>
            <w:r>
              <w:rPr>
                <w:rFonts w:ascii="Aptos" w:hAnsi="Aptos"/>
                <w:sz w:val="14"/>
              </w:rPr>
              <w:t>P06, PDF-S. 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umfassende Unterstützung und Stärkung der Ukraine</w:t>
            </w:r>
          </w:p>
        </w:tc>
        <w:tc>
          <w:tcPr>
            <w:tcW w:type="dxa" w:w="2018"/>
            <w:vAlign w:val="center"/>
            <w:tcMar>
              <w:top w:w="80" w:type="dxa"/>
              <w:start w:w="100" w:type="dxa"/>
              <w:bottom w:w="80" w:type="dxa"/>
              <w:end w:w="100" w:type="dxa"/>
            </w:tcMar>
          </w:tcPr>
          <w:p>
            <w:pPr>
              <w:spacing w:after="0" w:before="0"/>
            </w:pPr>
            <w:r>
              <w:rPr>
                <w:rFonts w:ascii="Aptos" w:hAnsi="Aptos"/>
                <w:sz w:val="14"/>
              </w:rPr>
              <w:t>P07, PDF-S. 47;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Verteidigungsfähigkeit der Ukraine wird gestärkt → Kosten eines Angriffs steigen → Verhandlungsposition kann stabilisiert werden → gleichzeitig bleiben Eskalations- und Verlängerungsrisiken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Militärische und fiskalische Wirkungen sind unmittelbar; europäische Sicherheitsordnung und Wiederaufbau wirken über Jahrzehnte.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Menschen in der Ukraine, Soldat*innen, europäische Bevölkerung, Steuerzahlende, Rüstungs- und Energiebranchen, globale Ernährungssysteme.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mittel</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sehr hoch: Kriegsverläufe, Abschreckung und Verhandlungsdynamik sind nicht verlässlich prognostizierbar.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Zivilschutz, humanitäres Völkerrecht, Verbot von Angriffskrieg und demokratische Kontrolle sind nicht kompensierbar.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E25</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Schutz von Souveränität und internationaler Rechtsordnung</w:t>
            </w:r>
          </w:p>
        </w:tc>
        <w:tc>
          <w:tcPr>
            <w:tcW w:type="dxa" w:w="5046"/>
            <w:vAlign w:val="center"/>
            <w:tcMar>
              <w:top w:w="80" w:type="dxa"/>
              <w:start w:w="100" w:type="dxa"/>
              <w:bottom w:w="80" w:type="dxa"/>
              <w:end w:w="100" w:type="dxa"/>
            </w:tcMar>
          </w:tcPr>
          <w:p>
            <w:pPr>
              <w:spacing w:after="0" w:before="0"/>
            </w:pPr>
            <w:r>
              <w:rPr>
                <w:rFonts w:ascii="Aptos" w:hAnsi="Aptos"/>
                <w:sz w:val="16"/>
              </w:rPr>
              <w:t>• Eskalation und Ausweitung des Kriegs</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Abschreckung weiterer Aggression</w:t>
            </w:r>
          </w:p>
        </w:tc>
        <w:tc>
          <w:tcPr>
            <w:tcW w:type="dxa" w:w="5046"/>
            <w:vAlign w:val="center"/>
            <w:tcMar>
              <w:top w:w="80" w:type="dxa"/>
              <w:start w:w="100" w:type="dxa"/>
              <w:bottom w:w="80" w:type="dxa"/>
              <w:end w:w="100" w:type="dxa"/>
            </w:tcMar>
          </w:tcPr>
          <w:p>
            <w:pPr>
              <w:spacing w:after="0" w:before="0"/>
            </w:pPr>
            <w:r>
              <w:rPr>
                <w:rFonts w:ascii="Aptos" w:hAnsi="Aptos"/>
                <w:sz w:val="16"/>
              </w:rPr>
              <w:t>• hohe menschliche und fiskalische Kosten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humanitäre und wirtschaftliche Stabilisierung</w:t>
            </w:r>
          </w:p>
        </w:tc>
        <w:tc>
          <w:tcPr>
            <w:tcW w:type="dxa" w:w="5046"/>
            <w:vAlign w:val="center"/>
            <w:tcMar>
              <w:top w:w="80" w:type="dxa"/>
              <w:start w:w="100" w:type="dxa"/>
              <w:bottom w:w="80" w:type="dxa"/>
              <w:end w:w="100" w:type="dxa"/>
            </w:tcMar>
          </w:tcPr>
          <w:p>
            <w:pPr>
              <w:spacing w:after="0" w:before="0"/>
            </w:pPr>
            <w:r>
              <w:rPr>
                <w:rFonts w:ascii="Aptos" w:hAnsi="Aptos"/>
                <w:sz w:val="16"/>
              </w:rPr>
              <w:t>• Korruption oder Fehlverwendung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Rüstungsabhängigkeiten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Verzögerung von Verhandlungen</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Rechtsstaat &amp; Grundrechte</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0</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territoriale und zivile Sicherheitslage · militärische Fähigkeiten · humanitäre Schäden · Unterstützungsvolumen und Kontrolle · Verhandlungsfortschritt · europäische Abschreckungsfähigkeit</w:t>
      </w:r>
    </w:p>
    <w:p>
      <w:pPr>
        <w:pStyle w:val="Heading3"/>
        <w:spacing w:after="80"/>
        <w:keepNext/>
      </w:pPr>
      <w:r>
        <w:t>Neutrale Ergebnis-Microcopy</w:t>
      </w:r>
    </w:p>
    <w:p>
      <w:pPr>
        <w:pStyle w:val="ListBullet"/>
        <w:spacing w:after="20" w:before="0"/>
      </w:pPr>
      <w:r>
        <w:t>„Bei Unterstützung der Ukraine besteht eine {hohe/mittlere/geringe} positionale Nähe.“</w:t>
      </w:r>
    </w:p>
    <w:p>
      <w:pPr>
        <w:pStyle w:val="ListBullet"/>
        <w:spacing w:after="20" w:before="0"/>
      </w:pPr>
      <w:r>
        <w:t>„Die Option Unterstützung der Ukraine weist vor allem in den Dimensionen Rechtsstaat &amp; Grundrechte, Resilienz &amp; Generationengerechtigkeit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Q31 · Verteidigungsfähigkeit nach Fähigkeitszielen</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Deutschland soll seine Bündnis- und Verteidigungsfähigkeit dauerhaft aus konkreten Fähigkeitszielen finanzieren. Ausgaben müssen wirksam beschafft, parlamentarisch kontrolliert und regelmäßig auf ihren Sicherheitsbeitrag geprüft werden.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Eine Prozentzahl misst Aufwand, nicht Wirkung. Die Frage verbindet ausreichende Mittel mit Personal, Material, Infrastruktur, Beschaffung und demokratischer Kontrolle.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Resilienz &amp; Generationengerechtigkeit, Informationsqualität &amp; demokratischer Zusammenhalt, Soziale Sicherheit &amp; Fairness, Freiheit &amp; Selbstbestimmung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16; NATO-Verpflichtungen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verlässlicher mehrjähriger Fähigkeitsaufbau, Bündnisfähigkeit, Beschaffungsreform, Transparenz und Evaluation; nicht bloß eine Ausgabenquote.</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starken Fähigkeitsaufbau und deutlich höhere Verteidigungsmittel</w:t>
            </w:r>
          </w:p>
        </w:tc>
        <w:tc>
          <w:tcPr>
            <w:tcW w:type="dxa" w:w="2018"/>
            <w:vAlign w:val="center"/>
            <w:tcMar>
              <w:top w:w="80" w:type="dxa"/>
              <w:start w:w="100" w:type="dxa"/>
              <w:bottom w:w="80" w:type="dxa"/>
              <w:end w:w="100" w:type="dxa"/>
            </w:tcMar>
          </w:tcPr>
          <w:p>
            <w:pPr>
              <w:spacing w:after="0" w:before="0"/>
            </w:pPr>
            <w:r>
              <w:rPr>
                <w:rFonts w:ascii="Aptos" w:hAnsi="Aptos"/>
                <w:sz w:val="14"/>
              </w:rPr>
              <w:t>P01, PDF-S. 51;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Bundeswehr verlässlich finanzieren und Bündnisziele erfüllen</w:t>
            </w:r>
          </w:p>
        </w:tc>
        <w:tc>
          <w:tcPr>
            <w:tcW w:type="dxa" w:w="2018"/>
            <w:vAlign w:val="center"/>
            <w:tcMar>
              <w:top w:w="80" w:type="dxa"/>
              <w:start w:w="100" w:type="dxa"/>
              <w:bottom w:w="80" w:type="dxa"/>
              <w:end w:w="100" w:type="dxa"/>
            </w:tcMar>
          </w:tcPr>
          <w:p>
            <w:pPr>
              <w:spacing w:after="0" w:before="0"/>
            </w:pPr>
            <w:r>
              <w:rPr>
                <w:rFonts w:ascii="Aptos" w:hAnsi="Aptos"/>
                <w:sz w:val="14"/>
              </w:rPr>
              <w:t>P02, PDF-S. 57;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unterstützt Fähigkeiten, europäische Sicherheit und Kontrolle, weniger quotenfixiert</w:t>
            </w:r>
          </w:p>
        </w:tc>
        <w:tc>
          <w:tcPr>
            <w:tcW w:type="dxa" w:w="2018"/>
            <w:vAlign w:val="center"/>
            <w:tcMar>
              <w:top w:w="80" w:type="dxa"/>
              <w:start w:w="100" w:type="dxa"/>
              <w:bottom w:w="80" w:type="dxa"/>
              <w:end w:w="100" w:type="dxa"/>
            </w:tcMar>
          </w:tcPr>
          <w:p>
            <w:pPr>
              <w:spacing w:after="0" w:before="0"/>
            </w:pPr>
            <w:r>
              <w:rPr>
                <w:rFonts w:ascii="Aptos" w:hAnsi="Aptos"/>
                <w:sz w:val="14"/>
              </w:rPr>
              <w:t>P03, PDF-S. 153;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starke Bundeswehr und höhere Ausgaben</w:t>
            </w:r>
          </w:p>
        </w:tc>
        <w:tc>
          <w:tcPr>
            <w:tcW w:type="dxa" w:w="2018"/>
            <w:vAlign w:val="center"/>
            <w:tcMar>
              <w:top w:w="80" w:type="dxa"/>
              <w:start w:w="100" w:type="dxa"/>
              <w:bottom w:w="80" w:type="dxa"/>
              <w:end w:w="100" w:type="dxa"/>
            </w:tcMar>
          </w:tcPr>
          <w:p>
            <w:pPr>
              <w:spacing w:after="0" w:before="0"/>
            </w:pPr>
            <w:r>
              <w:rPr>
                <w:rFonts w:ascii="Aptos" w:hAnsi="Aptos"/>
                <w:sz w:val="14"/>
              </w:rPr>
              <w:t>P04, PDF-S. 90;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Aufrüstung und NATO-Ausgabenziele ab</w:t>
            </w:r>
          </w:p>
        </w:tc>
        <w:tc>
          <w:tcPr>
            <w:tcW w:type="dxa" w:w="2018"/>
            <w:vAlign w:val="center"/>
            <w:tcMar>
              <w:top w:w="80" w:type="dxa"/>
              <w:start w:w="100" w:type="dxa"/>
              <w:bottom w:w="80" w:type="dxa"/>
              <w:end w:w="100" w:type="dxa"/>
            </w:tcMar>
          </w:tcPr>
          <w:p>
            <w:pPr>
              <w:spacing w:after="0" w:before="0"/>
            </w:pPr>
            <w:r>
              <w:rPr>
                <w:rFonts w:ascii="Aptos" w:hAnsi="Aptos"/>
                <w:sz w:val="14"/>
              </w:rPr>
              <w:t>P05, PDF-S. 39;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Aufrüstung und hohe Verteidigungsausgaben ab</w:t>
            </w:r>
          </w:p>
        </w:tc>
        <w:tc>
          <w:tcPr>
            <w:tcW w:type="dxa" w:w="2018"/>
            <w:vAlign w:val="center"/>
            <w:tcMar>
              <w:top w:w="80" w:type="dxa"/>
              <w:start w:w="100" w:type="dxa"/>
              <w:bottom w:w="80" w:type="dxa"/>
              <w:end w:w="100" w:type="dxa"/>
            </w:tcMar>
          </w:tcPr>
          <w:p>
            <w:pPr>
              <w:spacing w:after="0" w:before="0"/>
            </w:pPr>
            <w:r>
              <w:rPr>
                <w:rFonts w:ascii="Aptos" w:hAnsi="Aptos"/>
                <w:sz w:val="14"/>
              </w:rPr>
              <w:t>P06, PDF-S. 6;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2-Prozent-Ziel, Beschaffungsreform und starke Bundeswehr</w:t>
            </w:r>
          </w:p>
        </w:tc>
        <w:tc>
          <w:tcPr>
            <w:tcW w:type="dxa" w:w="2018"/>
            <w:vAlign w:val="center"/>
            <w:tcMar>
              <w:top w:w="80" w:type="dxa"/>
              <w:start w:w="100" w:type="dxa"/>
              <w:bottom w:w="80" w:type="dxa"/>
              <w:end w:w="100" w:type="dxa"/>
            </w:tcMar>
          </w:tcPr>
          <w:p>
            <w:pPr>
              <w:spacing w:after="0" w:before="0"/>
            </w:pPr>
            <w:r>
              <w:rPr>
                <w:rFonts w:ascii="Aptos" w:hAnsi="Aptos"/>
                <w:sz w:val="14"/>
              </w:rPr>
              <w:t>P07, PDF-S. 48;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mehr Ressourcen für Personal, Material und Infrastruktur → militärische Bereitschaft und Abschreckung steigen → Beschaffung und Kontrolle bestimmen Effizienz → Haushaltsmittel werden gebunden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Ausgaben wirken kurzfristig auf Industrie und Haushalt; Fähigkeiten und Abschreckung entstehen über Jahre.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Soldat*innen, Bevölkerung, Bündnispartner, Steuerzahlende, Industrie, zivile Infrastruktur.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mittel bis 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hoch: Abschreckungswirkung ist nicht direkt beobachtbar; Beschaffungsqualität ist zentral.</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Parlamentsvorbehalt, Menschenrechte, humanitäres Völkerrecht und zivile Kontrolle sind nicht kompensierbar.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E26</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höhere Verteidigungs- und Bündnisfähigkeit</w:t>
            </w:r>
          </w:p>
        </w:tc>
        <w:tc>
          <w:tcPr>
            <w:tcW w:type="dxa" w:w="5046"/>
            <w:vAlign w:val="center"/>
            <w:tcMar>
              <w:top w:w="80" w:type="dxa"/>
              <w:start w:w="100" w:type="dxa"/>
              <w:bottom w:w="80" w:type="dxa"/>
              <w:end w:w="100" w:type="dxa"/>
            </w:tcMar>
          </w:tcPr>
          <w:p>
            <w:pPr>
              <w:spacing w:after="0" w:before="0"/>
            </w:pPr>
            <w:r>
              <w:rPr>
                <w:rFonts w:ascii="Aptos" w:hAnsi="Aptos"/>
                <w:sz w:val="16"/>
              </w:rPr>
              <w:t>• Verdrängung anderer Ausgaben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geringeres Abhängigkeitsrisiko</w:t>
            </w:r>
          </w:p>
        </w:tc>
        <w:tc>
          <w:tcPr>
            <w:tcW w:type="dxa" w:w="5046"/>
            <w:vAlign w:val="center"/>
            <w:tcMar>
              <w:top w:w="80" w:type="dxa"/>
              <w:start w:w="100" w:type="dxa"/>
              <w:bottom w:w="80" w:type="dxa"/>
              <w:end w:w="100" w:type="dxa"/>
            </w:tcMar>
          </w:tcPr>
          <w:p>
            <w:pPr>
              <w:spacing w:after="0" w:before="0"/>
            </w:pPr>
            <w:r>
              <w:rPr>
                <w:rFonts w:ascii="Aptos" w:hAnsi="Aptos"/>
                <w:sz w:val="16"/>
              </w:rPr>
              <w:t>• ineffiziente Beschaffung und Rüstungsinflation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Planungssicherheit für Personal und Industrie</w:t>
            </w:r>
          </w:p>
        </w:tc>
        <w:tc>
          <w:tcPr>
            <w:tcW w:type="dxa" w:w="5046"/>
            <w:vAlign w:val="center"/>
            <w:tcMar>
              <w:top w:w="80" w:type="dxa"/>
              <w:start w:w="100" w:type="dxa"/>
              <w:bottom w:w="80" w:type="dxa"/>
              <w:end w:w="100" w:type="dxa"/>
            </w:tcMar>
          </w:tcPr>
          <w:p>
            <w:pPr>
              <w:spacing w:after="0" w:before="0"/>
            </w:pPr>
            <w:r>
              <w:rPr>
                <w:rFonts w:ascii="Aptos" w:hAnsi="Aptos"/>
                <w:sz w:val="16"/>
              </w:rPr>
              <w:t>• Eskalations- und Sicherheitsdilemma</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stärkere zivile Resilienz bei passender Ausgestaltung</w:t>
            </w:r>
          </w:p>
        </w:tc>
        <w:tc>
          <w:tcPr>
            <w:tcW w:type="dxa" w:w="5046"/>
            <w:vAlign w:val="center"/>
            <w:tcMar>
              <w:top w:w="80" w:type="dxa"/>
              <w:start w:w="100" w:type="dxa"/>
              <w:bottom w:w="80" w:type="dxa"/>
              <w:end w:w="100" w:type="dxa"/>
            </w:tcMar>
          </w:tcPr>
          <w:p>
            <w:pPr>
              <w:spacing w:after="0" w:before="0"/>
            </w:pPr>
            <w:r>
              <w:rPr>
                <w:rFonts w:ascii="Aptos" w:hAnsi="Aptos"/>
                <w:sz w:val="16"/>
              </w:rPr>
              <w:t>• Lobby- und Korruptionsrisiken</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0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0</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 bis 0</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Fähigkeitserfüllung · Einsatzbereitschaft · Personalbestand · Beschaffungsdauer und -kosten · Bündnisbeiträge · parlamentarische Kontrolle</w:t>
      </w:r>
    </w:p>
    <w:p>
      <w:pPr>
        <w:pStyle w:val="Heading3"/>
        <w:spacing w:after="80"/>
        <w:keepNext/>
      </w:pPr>
      <w:r>
        <w:t>Neutrale Ergebnis-Microcopy</w:t>
      </w:r>
    </w:p>
    <w:p>
      <w:pPr>
        <w:pStyle w:val="ListBullet"/>
        <w:spacing w:after="20" w:before="0"/>
      </w:pPr>
      <w:r>
        <w:t>„Bei Verteidigungsfähigkeit nach Fähigkeitszielen besteht eine {hohe/mittlere/geringe} positionale Nähe.“</w:t>
      </w:r>
    </w:p>
    <w:p>
      <w:pPr>
        <w:pStyle w:val="ListBullet"/>
        <w:spacing w:after="20" w:before="0"/>
      </w:pPr>
      <w:r>
        <w:t>„Die Option Verteidigungsfähigkeit nach Fähigkeitszielen weist vor allem in den Dimensionen Resilienz &amp; Generationengerechtigkeit, Informationsqualität &amp; demokratischer Zusammenhalt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Q32 · Verpflichtendes Gesellschaftsjahr</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Junge Erwachsene sollen ein verpflichtendes Gesellschaftsjahr leisten können, wahlweise in Bundeswehr, Zivil- und Katastrophenschutz, Pflege, sozialen Diensten oder ökologischen Projekten. Es soll angemessen vergütet und sozial abgesichert sein.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verbindet Resilienz und gesellschaftliche Erfahrung mit einem erheblichen Eingriff in Zeit und Selbstbestimmung.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Resilienz &amp; Generationengerechtigkeit, Soziale Sicherheit &amp; Fairness, Gesundheit, Bildung &amp; Teilhabe, Freiheit &amp; Selbstbestimmung, Informationsqualität &amp; demokratischer Zusammenhalt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3, 8, 11, 13, 16</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allgemeine Pflicht mit Wahlmöglichkeiten, fairer Vergütung, zusätzlicher Kapazität und Schutz vor Verdrängung regulärer Arbeit.</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verpflichtendes Gesellschaftsjahr und Wehrdienstoption</w:t>
            </w:r>
          </w:p>
        </w:tc>
        <w:tc>
          <w:tcPr>
            <w:tcW w:type="dxa" w:w="2018"/>
            <w:vAlign w:val="center"/>
            <w:tcMar>
              <w:top w:w="80" w:type="dxa"/>
              <w:start w:w="100" w:type="dxa"/>
              <w:bottom w:w="80" w:type="dxa"/>
              <w:end w:w="100" w:type="dxa"/>
            </w:tcMar>
          </w:tcPr>
          <w:p>
            <w:pPr>
              <w:spacing w:after="0" w:before="0"/>
            </w:pPr>
            <w:r>
              <w:rPr>
                <w:rFonts w:ascii="Aptos" w:hAnsi="Aptos"/>
                <w:sz w:val="14"/>
              </w:rPr>
              <w:t>P01, PDF-S. 52;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keine klare allgemeine Pflicht im Programm</w:t>
            </w:r>
          </w:p>
        </w:tc>
        <w:tc>
          <w:tcPr>
            <w:tcW w:type="dxa" w:w="2018"/>
            <w:vAlign w:val="center"/>
            <w:tcMar>
              <w:top w:w="80" w:type="dxa"/>
              <w:start w:w="100" w:type="dxa"/>
              <w:bottom w:w="80" w:type="dxa"/>
              <w:end w:w="100" w:type="dxa"/>
            </w:tcMar>
          </w:tcPr>
          <w:p>
            <w:pPr>
              <w:spacing w:after="0" w:before="0"/>
            </w:pPr>
            <w:r>
              <w:rPr>
                <w:rFonts w:ascii="Aptos" w:hAnsi="Aptos"/>
                <w:sz w:val="14"/>
              </w:rPr>
              <w:t>P02, PDF-S. –; Vertrauen: niedrig</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setzt auf freiwillige Dienste; Pflicht wird überwiegend abgelehnt</w:t>
            </w:r>
          </w:p>
        </w:tc>
        <w:tc>
          <w:tcPr>
            <w:tcW w:type="dxa" w:w="2018"/>
            <w:vAlign w:val="center"/>
            <w:tcMar>
              <w:top w:w="80" w:type="dxa"/>
              <w:start w:w="100" w:type="dxa"/>
              <w:bottom w:w="80" w:type="dxa"/>
              <w:end w:w="100" w:type="dxa"/>
            </w:tcMar>
          </w:tcPr>
          <w:p>
            <w:pPr>
              <w:spacing w:after="0" w:before="0"/>
            </w:pPr>
            <w:r>
              <w:rPr>
                <w:rFonts w:ascii="Aptos" w:hAnsi="Aptos"/>
                <w:sz w:val="14"/>
              </w:rPr>
              <w:t>P03, PDF-S. 154;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Wiedereinsetzung der Wehrpflicht</w:t>
            </w:r>
          </w:p>
        </w:tc>
        <w:tc>
          <w:tcPr>
            <w:tcW w:type="dxa" w:w="2018"/>
            <w:vAlign w:val="center"/>
            <w:tcMar>
              <w:top w:w="80" w:type="dxa"/>
              <w:start w:w="100" w:type="dxa"/>
              <w:bottom w:w="80" w:type="dxa"/>
              <w:end w:w="100" w:type="dxa"/>
            </w:tcMar>
          </w:tcPr>
          <w:p>
            <w:pPr>
              <w:spacing w:after="0" w:before="0"/>
            </w:pPr>
            <w:r>
              <w:rPr>
                <w:rFonts w:ascii="Aptos" w:hAnsi="Aptos"/>
                <w:sz w:val="14"/>
              </w:rPr>
              <w:t>P04, PDF-S. 89;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F1D9D9"/>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Ablehnung</w:t>
            </w:r>
          </w:p>
        </w:tc>
        <w:tc>
          <w:tcPr>
            <w:tcW w:type="dxa" w:w="2018"/>
            <w:vAlign w:val="center"/>
            <w:tcMar>
              <w:top w:w="80" w:type="dxa"/>
              <w:start w:w="100" w:type="dxa"/>
              <w:bottom w:w="80" w:type="dxa"/>
              <w:end w:w="100" w:type="dxa"/>
            </w:tcMar>
          </w:tcPr>
          <w:p>
            <w:pPr>
              <w:spacing w:after="0" w:before="0"/>
            </w:pPr>
            <w:r>
              <w:rPr>
                <w:rFonts w:ascii="Aptos" w:hAnsi="Aptos"/>
                <w:sz w:val="14"/>
              </w:rPr>
              <w:t>lehnt Wehrpflicht und Zwangsdienst ab</w:t>
            </w:r>
          </w:p>
        </w:tc>
        <w:tc>
          <w:tcPr>
            <w:tcW w:type="dxa" w:w="2018"/>
            <w:vAlign w:val="center"/>
            <w:tcMar>
              <w:top w:w="80" w:type="dxa"/>
              <w:start w:w="100" w:type="dxa"/>
              <w:bottom w:w="80" w:type="dxa"/>
              <w:end w:w="100" w:type="dxa"/>
            </w:tcMar>
          </w:tcPr>
          <w:p>
            <w:pPr>
              <w:spacing w:after="0" w:before="0"/>
            </w:pPr>
            <w:r>
              <w:rPr>
                <w:rFonts w:ascii="Aptos" w:hAnsi="Aptos"/>
                <w:sz w:val="14"/>
              </w:rPr>
              <w:t>P05, PDF-S. 23;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keine eindeutige allgemeine Dienstpflicht; militärische Pflicht ablehnend</w:t>
            </w:r>
          </w:p>
        </w:tc>
        <w:tc>
          <w:tcPr>
            <w:tcW w:type="dxa" w:w="2018"/>
            <w:vAlign w:val="center"/>
            <w:tcMar>
              <w:top w:w="80" w:type="dxa"/>
              <w:start w:w="100" w:type="dxa"/>
              <w:bottom w:w="80" w:type="dxa"/>
              <w:end w:w="100" w:type="dxa"/>
            </w:tcMar>
          </w:tcPr>
          <w:p>
            <w:pPr>
              <w:spacing w:after="0" w:before="0"/>
            </w:pPr>
            <w:r>
              <w:rPr>
                <w:rFonts w:ascii="Aptos" w:hAnsi="Aptos"/>
                <w:sz w:val="14"/>
              </w:rPr>
              <w:t>P06, PDF-S. –; Vertrauen: niedrig</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setzt auf Freiwilligkeit und lehnt allgemeine Pflicht eher ab</w:t>
            </w:r>
          </w:p>
        </w:tc>
        <w:tc>
          <w:tcPr>
            <w:tcW w:type="dxa" w:w="2018"/>
            <w:vAlign w:val="center"/>
            <w:tcMar>
              <w:top w:w="80" w:type="dxa"/>
              <w:start w:w="100" w:type="dxa"/>
              <w:bottom w:w="80" w:type="dxa"/>
              <w:end w:w="100" w:type="dxa"/>
            </w:tcMar>
          </w:tcPr>
          <w:p>
            <w:pPr>
              <w:spacing w:after="0" w:before="0"/>
            </w:pPr>
            <w:r>
              <w:rPr>
                <w:rFonts w:ascii="Aptos" w:hAnsi="Aptos"/>
                <w:sz w:val="14"/>
              </w:rPr>
              <w:t>P07, PDF-S. 32; Vertrauen: mittel</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zusätzliche personelle Kapazität → Erfahrungen zwischen sozialen Gruppen → Stärkung von Reserve und Katastrophenschutz → ein Jahr Ausbildung oder Erwerb wird verschoben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Kapazitäts- und Freiheitseffekte sind unmittelbar; Kohäsions- und Berufsorientierungswirkungen sind längerfristig.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Junge Erwachsene, Familien, soziale Einrichtungen, Bundeswehr, Bildungs- und Arbeitsmarkt.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niedrig bis mittel</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sehr hoch: Deutschland hat keine aktuelle breite Umsetzung; Wirkung hängt stark vom Design ab.</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Zwangsarbeitsverbot, Gleichbehandlung, angemessene Vergütung, Schutz regulärer Stellen und Härtefälle sind Mindestbedingungen.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E26</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Resilienz und gesellschaftliche Begegnung</w:t>
            </w:r>
          </w:p>
        </w:tc>
        <w:tc>
          <w:tcPr>
            <w:tcW w:type="dxa" w:w="5046"/>
            <w:vAlign w:val="center"/>
            <w:tcMar>
              <w:top w:w="80" w:type="dxa"/>
              <w:start w:w="100" w:type="dxa"/>
              <w:bottom w:w="80" w:type="dxa"/>
              <w:end w:w="100" w:type="dxa"/>
            </w:tcMar>
          </w:tcPr>
          <w:p>
            <w:pPr>
              <w:spacing w:after="0" w:before="0"/>
            </w:pPr>
            <w:r>
              <w:rPr>
                <w:rFonts w:ascii="Aptos" w:hAnsi="Aptos"/>
                <w:sz w:val="16"/>
              </w:rPr>
              <w:t>• starker Freiheitseingriff</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Nachwuchs für Dienste</w:t>
            </w:r>
          </w:p>
        </w:tc>
        <w:tc>
          <w:tcPr>
            <w:tcW w:type="dxa" w:w="5046"/>
            <w:vAlign w:val="center"/>
            <w:tcMar>
              <w:top w:w="80" w:type="dxa"/>
              <w:start w:w="100" w:type="dxa"/>
              <w:bottom w:w="80" w:type="dxa"/>
              <w:end w:w="100" w:type="dxa"/>
            </w:tcMar>
          </w:tcPr>
          <w:p>
            <w:pPr>
              <w:spacing w:after="0" w:before="0"/>
            </w:pPr>
            <w:r>
              <w:rPr>
                <w:rFonts w:ascii="Aptos" w:hAnsi="Aptos"/>
                <w:sz w:val="16"/>
              </w:rPr>
              <w:t>• Verdrängung regulärer Beschäftigung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Kompetenz- und Orientierungsgewinn</w:t>
            </w:r>
          </w:p>
        </w:tc>
        <w:tc>
          <w:tcPr>
            <w:tcW w:type="dxa" w:w="5046"/>
            <w:vAlign w:val="center"/>
            <w:tcMar>
              <w:top w:w="80" w:type="dxa"/>
              <w:start w:w="100" w:type="dxa"/>
              <w:bottom w:w="80" w:type="dxa"/>
              <w:end w:w="100" w:type="dxa"/>
            </w:tcMar>
          </w:tcPr>
          <w:p>
            <w:pPr>
              <w:spacing w:after="0" w:before="0"/>
            </w:pPr>
            <w:r>
              <w:rPr>
                <w:rFonts w:ascii="Aptos" w:hAnsi="Aptos"/>
                <w:sz w:val="16"/>
              </w:rPr>
              <w:t>• ungleiche Belastung und Ausnahmen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hohe Organisationskosten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Zwang schwächt Motivation</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0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0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−2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0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Teilnahme und Wahlverteilung · Kosten pro Platz · Verdrängung regulärer Arbeit · Kompetenzgewinn · soziale Durchmischung · Zufriedenheit und Härtefälle</w:t>
      </w:r>
    </w:p>
    <w:p>
      <w:pPr>
        <w:pStyle w:val="Heading3"/>
        <w:spacing w:after="80"/>
        <w:keepNext/>
      </w:pPr>
      <w:r>
        <w:t>Neutrale Ergebnis-Microcopy</w:t>
      </w:r>
    </w:p>
    <w:p>
      <w:pPr>
        <w:pStyle w:val="ListBullet"/>
        <w:spacing w:after="20" w:before="0"/>
      </w:pPr>
      <w:r>
        <w:t>„Bei Verpflichtendes Gesellschaftsjahr besteht eine {hohe/mittlere/geringe} positionale Nähe.“</w:t>
      </w:r>
    </w:p>
    <w:p>
      <w:pPr>
        <w:pStyle w:val="ListBullet"/>
        <w:spacing w:after="20" w:before="0"/>
      </w:pPr>
      <w:r>
        <w:t>„Die Option Verpflichtendes Gesellschaftsjahr weist vor allem in den Dimensionen Resilienz &amp; Generationengerechtigkeit, Soziale Sicherheit &amp; Fairness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1"/>
        <w:spacing w:after="80"/>
        <w:keepNext/>
        <w:pageBreakBefore w:val="true"/>
      </w:pPr>
      <w:r>
        <w:t>I. Bildung, Wissenschaft &amp; digitale Zukunft</w:t>
      </w:r>
    </w:p>
    <w:p>
      <w:pPr>
        <w:spacing w:after="80"/>
      </w:pPr>
      <w:r>
        <w:t>Die folgenden vier Fragen bilden das Themenfeld ab. Jede Frage enthält Parteiposition und Wirkungsanalyse als getrennte Ebenen.</w:t>
      </w:r>
    </w:p>
    <w:p>
      <w:pPr>
        <w:pStyle w:val="Heading2"/>
        <w:spacing w:after="80"/>
        <w:keepNext/>
      </w:pPr>
      <w:r>
        <w:t>Q33 · Mehr Bundesverantwortung und Mindeststandards in der Bildung</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Bund und Länder sollen in der Bildung enger zusammenarbeiten. Der Bund soll dauerhaft investieren können; bundesweit vergleichbare Mindeststandards und transparente Lernstandsdiagnosen sollen gelten.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wägt Bildungsföderalismus gegen gleiche Chancen, Koordination und gemeinsame Infrastruktur ab.</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Gesundheit, Bildung &amp; Teilhabe, Soziale Sicherheit &amp; Fairness, Resilienz &amp; Generationengerechtigkeit, Informationsqualität &amp; demokratischer Zusammenhalt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4, 10, 16</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verlässliche Bund-Länder-Finanzierung, gemeinsame Standards und Daten, aber pädagogische und regionale Gestaltungsspielräume.</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bessere Bund-Länder-Kooperation und bundesweit vergleichbare Standards</w:t>
            </w:r>
          </w:p>
        </w:tc>
        <w:tc>
          <w:tcPr>
            <w:tcW w:type="dxa" w:w="2018"/>
            <w:vAlign w:val="center"/>
            <w:tcMar>
              <w:top w:w="80" w:type="dxa"/>
              <w:start w:w="100" w:type="dxa"/>
              <w:bottom w:w="80" w:type="dxa"/>
              <w:end w:w="100" w:type="dxa"/>
            </w:tcMar>
          </w:tcPr>
          <w:p>
            <w:pPr>
              <w:spacing w:after="0" w:before="0"/>
            </w:pPr>
            <w:r>
              <w:rPr>
                <w:rFonts w:ascii="Aptos" w:hAnsi="Aptos"/>
                <w:sz w:val="14"/>
              </w:rPr>
              <w:t>P01, PDF-S. 65;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Investitionen, Startchancen und stärkere Kooperation</w:t>
            </w:r>
          </w:p>
        </w:tc>
        <w:tc>
          <w:tcPr>
            <w:tcW w:type="dxa" w:w="2018"/>
            <w:vAlign w:val="center"/>
            <w:tcMar>
              <w:top w:w="80" w:type="dxa"/>
              <w:start w:w="100" w:type="dxa"/>
              <w:bottom w:w="80" w:type="dxa"/>
              <w:end w:w="100" w:type="dxa"/>
            </w:tcMar>
          </w:tcPr>
          <w:p>
            <w:pPr>
              <w:spacing w:after="0" w:before="0"/>
            </w:pPr>
            <w:r>
              <w:rPr>
                <w:rFonts w:ascii="Aptos" w:hAnsi="Aptos"/>
                <w:sz w:val="14"/>
              </w:rPr>
              <w:t>P02, PDF-S. 38;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Bildungsfinanzierung als Gemeinschaftsaufgabe und Standards</w:t>
            </w:r>
          </w:p>
        </w:tc>
        <w:tc>
          <w:tcPr>
            <w:tcW w:type="dxa" w:w="2018"/>
            <w:vAlign w:val="center"/>
            <w:tcMar>
              <w:top w:w="80" w:type="dxa"/>
              <w:start w:w="100" w:type="dxa"/>
              <w:bottom w:w="80" w:type="dxa"/>
              <w:end w:w="100" w:type="dxa"/>
            </w:tcMar>
          </w:tcPr>
          <w:p>
            <w:pPr>
              <w:spacing w:after="0" w:before="0"/>
            </w:pPr>
            <w:r>
              <w:rPr>
                <w:rFonts w:ascii="Aptos" w:hAnsi="Aptos"/>
                <w:sz w:val="14"/>
              </w:rPr>
              <w:t>P03, PDF-S. 108;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betont Länderhoheit und nationale Leitkultur; gemeinsame Mindeststandards nur teilweise</w:t>
            </w:r>
          </w:p>
        </w:tc>
        <w:tc>
          <w:tcPr>
            <w:tcW w:type="dxa" w:w="2018"/>
            <w:vAlign w:val="center"/>
            <w:tcMar>
              <w:top w:w="80" w:type="dxa"/>
              <w:start w:w="100" w:type="dxa"/>
              <w:bottom w:w="80" w:type="dxa"/>
              <w:end w:w="100" w:type="dxa"/>
            </w:tcMar>
          </w:tcPr>
          <w:p>
            <w:pPr>
              <w:spacing w:after="0" w:before="0"/>
            </w:pPr>
            <w:r>
              <w:rPr>
                <w:rFonts w:ascii="Aptos" w:hAnsi="Aptos"/>
                <w:sz w:val="14"/>
              </w:rPr>
              <w:t>P04, PDF-S. 119;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Kooperationsverbot aufheben und Bildung umfassend öffentlich finanzieren</w:t>
            </w:r>
          </w:p>
        </w:tc>
        <w:tc>
          <w:tcPr>
            <w:tcW w:type="dxa" w:w="2018"/>
            <w:vAlign w:val="center"/>
            <w:tcMar>
              <w:top w:w="80" w:type="dxa"/>
              <w:start w:w="100" w:type="dxa"/>
              <w:bottom w:w="80" w:type="dxa"/>
              <w:end w:w="100" w:type="dxa"/>
            </w:tcMar>
          </w:tcPr>
          <w:p>
            <w:pPr>
              <w:spacing w:after="0" w:before="0"/>
            </w:pPr>
            <w:r>
              <w:rPr>
                <w:rFonts w:ascii="Aptos" w:hAnsi="Aptos"/>
                <w:sz w:val="14"/>
              </w:rPr>
              <w:t>P05, PDF-S. 38;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Bund-Länder-Investitionen und bundesweite Qualitätsverbesserung</w:t>
            </w:r>
          </w:p>
        </w:tc>
        <w:tc>
          <w:tcPr>
            <w:tcW w:type="dxa" w:w="2018"/>
            <w:vAlign w:val="center"/>
            <w:tcMar>
              <w:top w:w="80" w:type="dxa"/>
              <w:start w:w="100" w:type="dxa"/>
              <w:bottom w:w="80" w:type="dxa"/>
              <w:end w:w="100" w:type="dxa"/>
            </w:tcMar>
          </w:tcPr>
          <w:p>
            <w:pPr>
              <w:spacing w:after="0" w:before="0"/>
            </w:pPr>
            <w:r>
              <w:rPr>
                <w:rFonts w:ascii="Aptos" w:hAnsi="Aptos"/>
                <w:sz w:val="14"/>
              </w:rPr>
              <w:t>P06, PDF-S. 24;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Föderalismusreform, bundesweite Standards und digitale Bildung</w:t>
            </w:r>
          </w:p>
        </w:tc>
        <w:tc>
          <w:tcPr>
            <w:tcW w:type="dxa" w:w="2018"/>
            <w:vAlign w:val="center"/>
            <w:tcMar>
              <w:top w:w="80" w:type="dxa"/>
              <w:start w:w="100" w:type="dxa"/>
              <w:bottom w:w="80" w:type="dxa"/>
              <w:end w:w="100" w:type="dxa"/>
            </w:tcMar>
          </w:tcPr>
          <w:p>
            <w:pPr>
              <w:spacing w:after="0" w:before="0"/>
            </w:pPr>
            <w:r>
              <w:rPr>
                <w:rFonts w:ascii="Aptos" w:hAnsi="Aptos"/>
                <w:sz w:val="14"/>
              </w:rPr>
              <w:t>P07, PDF-S. 8; Vertrauen: hoch</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mehr und stabilere Finanzierung → gemeinsame Mindeststandards und Daten → gezieltere Unterstützung schwacher Regionen → Koordination und Rechenschaft steigen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Finanzierung kann schnell beginnen; Lern- und Chanceneffekte benötigen viele Jahre.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Kinder, Eltern, Lehrkräfte, Länder, Kommunen, strukturschwache Regionen und Wirtschaft.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Geld allein verbessert Ergebnisse nicht; Qualität, Personal und Governance sind entscheidend.</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Bildungszugang, Nichtdiskriminierung und Kindeswohl dürfen nicht durch reine Testwerte ersetzt werden.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E27</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geringere Abhängigkeit vom Wohnort</w:t>
            </w:r>
          </w:p>
        </w:tc>
        <w:tc>
          <w:tcPr>
            <w:tcW w:type="dxa" w:w="5046"/>
            <w:vAlign w:val="center"/>
            <w:tcMar>
              <w:top w:w="80" w:type="dxa"/>
              <w:start w:w="100" w:type="dxa"/>
              <w:bottom w:w="80" w:type="dxa"/>
              <w:end w:w="100" w:type="dxa"/>
            </w:tcMar>
          </w:tcPr>
          <w:p>
            <w:pPr>
              <w:spacing w:after="0" w:before="0"/>
            </w:pPr>
            <w:r>
              <w:rPr>
                <w:rFonts w:ascii="Aptos" w:hAnsi="Aptos"/>
                <w:sz w:val="16"/>
              </w:rPr>
              <w:t>• Zentralisierung und Standardisierung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bessere Vergleichbarkeit und Infrastruktur</w:t>
            </w:r>
          </w:p>
        </w:tc>
        <w:tc>
          <w:tcPr>
            <w:tcW w:type="dxa" w:w="5046"/>
            <w:vAlign w:val="center"/>
            <w:tcMar>
              <w:top w:w="80" w:type="dxa"/>
              <w:start w:w="100" w:type="dxa"/>
              <w:bottom w:w="80" w:type="dxa"/>
              <w:end w:w="100" w:type="dxa"/>
            </w:tcMar>
          </w:tcPr>
          <w:p>
            <w:pPr>
              <w:spacing w:after="0" w:before="0"/>
            </w:pPr>
            <w:r>
              <w:rPr>
                <w:rFonts w:ascii="Aptos" w:hAnsi="Aptos"/>
                <w:sz w:val="16"/>
              </w:rPr>
              <w:t>• Kompetenzkonflikte und Doppelbürokratie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schnellere Skalierung wirksamer Programme</w:t>
            </w:r>
          </w:p>
        </w:tc>
        <w:tc>
          <w:tcPr>
            <w:tcW w:type="dxa" w:w="5046"/>
            <w:vAlign w:val="center"/>
            <w:tcMar>
              <w:top w:w="80" w:type="dxa"/>
              <w:start w:w="100" w:type="dxa"/>
              <w:bottom w:w="80" w:type="dxa"/>
              <w:end w:w="100" w:type="dxa"/>
            </w:tcMar>
          </w:tcPr>
          <w:p>
            <w:pPr>
              <w:spacing w:after="0" w:before="0"/>
            </w:pPr>
            <w:r>
              <w:rPr>
                <w:rFonts w:ascii="Aptos" w:hAnsi="Aptos"/>
                <w:sz w:val="16"/>
              </w:rPr>
              <w:t>• Teaching to the test</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r>
          </w:p>
        </w:tc>
        <w:tc>
          <w:tcPr>
            <w:tcW w:type="dxa" w:w="5046"/>
            <w:vAlign w:val="center"/>
            <w:tcMar>
              <w:top w:w="80" w:type="dxa"/>
              <w:start w:w="100" w:type="dxa"/>
              <w:bottom w:w="80" w:type="dxa"/>
              <w:end w:w="100" w:type="dxa"/>
            </w:tcMar>
          </w:tcPr>
          <w:p>
            <w:pPr>
              <w:spacing w:after="0" w:before="0"/>
            </w:pPr>
            <w:r>
              <w:rPr>
                <w:rFonts w:ascii="Aptos" w:hAnsi="Aptos"/>
                <w:sz w:val="16"/>
              </w:rPr>
              <w:t>• Verlust regionaler Innovation</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Bildungsausgaben · Kompetenz- und Herkunftslücken · Schulabbruch · Personal- und Infrastrukturqualität · Vergleichbarkeit · Umsetzungsdauer</w:t>
      </w:r>
    </w:p>
    <w:p>
      <w:pPr>
        <w:pStyle w:val="Heading3"/>
        <w:spacing w:after="80"/>
        <w:keepNext/>
      </w:pPr>
      <w:r>
        <w:t>Neutrale Ergebnis-Microcopy</w:t>
      </w:r>
    </w:p>
    <w:p>
      <w:pPr>
        <w:pStyle w:val="ListBullet"/>
        <w:spacing w:after="20" w:before="0"/>
      </w:pPr>
      <w:r>
        <w:t>„Bei Mehr Bundesverantwortung und Mindeststandards in der Bildung besteht eine {hohe/mittlere/geringe} positionale Nähe.“</w:t>
      </w:r>
    </w:p>
    <w:p>
      <w:pPr>
        <w:pStyle w:val="ListBullet"/>
        <w:spacing w:after="20" w:before="0"/>
      </w:pPr>
      <w:r>
        <w:t>„Die Option Mehr Bundesverantwortung und Mindeststandards in der Bildung weist vor allem in den Dimensionen Gesundheit, Bildung &amp; Teilhabe, Soziale Sicherheit &amp; Fairness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Q34 · Kostenfreie hochwertige Betreuung und Ganztag</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Hochwertige Kitas und Ganztagsschulen sollen flächendeckend ausgebaut, schrittweise gebührenfrei und mit gesundem Mittagessen, Sprachförderung und ausreichendem Fachpersonal ausgestattet werden.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Betreuungsplätze wirken nur dann positiv, wenn Qualität, Personal, Ernährung und Teilhabe mitgedacht werden.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Gesundheit, Bildung &amp; Teilhabe, Soziale Sicherheit &amp; Fairness, Freiheit &amp; Selbstbestimmung, Resilienz &amp; Generationengerechtigkeit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2, 3, 4, 5, 10</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Ausbau plus Qualitätsstandards, Fachkräfteoffensive, soziale Priorisierung und verlässliche Finanzierung.</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Ganztag und Betreuung ausbauen; Gebührenfreiheit nicht umfassend</w:t>
            </w:r>
          </w:p>
        </w:tc>
        <w:tc>
          <w:tcPr>
            <w:tcW w:type="dxa" w:w="2018"/>
            <w:vAlign w:val="center"/>
            <w:tcMar>
              <w:top w:w="80" w:type="dxa"/>
              <w:start w:w="100" w:type="dxa"/>
              <w:bottom w:w="80" w:type="dxa"/>
              <w:end w:w="100" w:type="dxa"/>
            </w:tcMar>
          </w:tcPr>
          <w:p>
            <w:pPr>
              <w:spacing w:after="0" w:before="0"/>
            </w:pPr>
            <w:r>
              <w:rPr>
                <w:rFonts w:ascii="Aptos" w:hAnsi="Aptos"/>
                <w:sz w:val="14"/>
              </w:rPr>
              <w:t>P01, PDF-S. 65;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verlässliche Kitas/Ganztag, Mittagessen und Entlastung</w:t>
            </w:r>
          </w:p>
        </w:tc>
        <w:tc>
          <w:tcPr>
            <w:tcW w:type="dxa" w:w="2018"/>
            <w:vAlign w:val="center"/>
            <w:tcMar>
              <w:top w:w="80" w:type="dxa"/>
              <w:start w:w="100" w:type="dxa"/>
              <w:bottom w:w="80" w:type="dxa"/>
              <w:end w:w="100" w:type="dxa"/>
            </w:tcMar>
          </w:tcPr>
          <w:p>
            <w:pPr>
              <w:spacing w:after="0" w:before="0"/>
            </w:pPr>
            <w:r>
              <w:rPr>
                <w:rFonts w:ascii="Aptos" w:hAnsi="Aptos"/>
                <w:sz w:val="14"/>
              </w:rPr>
              <w:t>P02, PDF-S. 15;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gebührenfreie hochwertige Betreuung und Ganztag</w:t>
            </w:r>
          </w:p>
        </w:tc>
        <w:tc>
          <w:tcPr>
            <w:tcW w:type="dxa" w:w="2018"/>
            <w:vAlign w:val="center"/>
            <w:tcMar>
              <w:top w:w="80" w:type="dxa"/>
              <w:start w:w="100" w:type="dxa"/>
              <w:bottom w:w="80" w:type="dxa"/>
              <w:end w:w="100" w:type="dxa"/>
            </w:tcMar>
          </w:tcPr>
          <w:p>
            <w:pPr>
              <w:spacing w:after="0" w:before="0"/>
            </w:pPr>
            <w:r>
              <w:rPr>
                <w:rFonts w:ascii="Aptos" w:hAnsi="Aptos"/>
                <w:sz w:val="14"/>
              </w:rPr>
              <w:t>P03, PDF-S. 75;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unterstützt Familienbetreuung, aber kein umfassendes öffentliches Ausbaukonzept</w:t>
            </w:r>
          </w:p>
        </w:tc>
        <w:tc>
          <w:tcPr>
            <w:tcW w:type="dxa" w:w="2018"/>
            <w:vAlign w:val="center"/>
            <w:tcMar>
              <w:top w:w="80" w:type="dxa"/>
              <w:start w:w="100" w:type="dxa"/>
              <w:bottom w:w="80" w:type="dxa"/>
              <w:end w:w="100" w:type="dxa"/>
            </w:tcMar>
          </w:tcPr>
          <w:p>
            <w:pPr>
              <w:spacing w:after="0" w:before="0"/>
            </w:pPr>
            <w:r>
              <w:rPr>
                <w:rFonts w:ascii="Aptos" w:hAnsi="Aptos"/>
                <w:sz w:val="14"/>
              </w:rPr>
              <w:t>P04, PDF-S. 153;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kostenlose Kitas, Ganztag und Essen</w:t>
            </w:r>
          </w:p>
        </w:tc>
        <w:tc>
          <w:tcPr>
            <w:tcW w:type="dxa" w:w="2018"/>
            <w:vAlign w:val="center"/>
            <w:tcMar>
              <w:top w:w="80" w:type="dxa"/>
              <w:start w:w="100" w:type="dxa"/>
              <w:bottom w:w="80" w:type="dxa"/>
              <w:end w:w="100" w:type="dxa"/>
            </w:tcMar>
          </w:tcPr>
          <w:p>
            <w:pPr>
              <w:spacing w:after="0" w:before="0"/>
            </w:pPr>
            <w:r>
              <w:rPr>
                <w:rFonts w:ascii="Aptos" w:hAnsi="Aptos"/>
                <w:sz w:val="14"/>
              </w:rPr>
              <w:t>P05, PDF-S. 38;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kostenfreie Betreuung, Schulessen und mehr Personal</w:t>
            </w:r>
          </w:p>
        </w:tc>
        <w:tc>
          <w:tcPr>
            <w:tcW w:type="dxa" w:w="2018"/>
            <w:vAlign w:val="center"/>
            <w:tcMar>
              <w:top w:w="80" w:type="dxa"/>
              <w:start w:w="100" w:type="dxa"/>
              <w:bottom w:w="80" w:type="dxa"/>
              <w:end w:w="100" w:type="dxa"/>
            </w:tcMar>
          </w:tcPr>
          <w:p>
            <w:pPr>
              <w:spacing w:after="0" w:before="0"/>
            </w:pPr>
            <w:r>
              <w:rPr>
                <w:rFonts w:ascii="Aptos" w:hAnsi="Aptos"/>
                <w:sz w:val="14"/>
              </w:rPr>
              <w:t>P06, PDF-S. 31;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Betreuung ausbauen und steuerliche/finanzielle Wahlfreiheit stärken</w:t>
            </w:r>
          </w:p>
        </w:tc>
        <w:tc>
          <w:tcPr>
            <w:tcW w:type="dxa" w:w="2018"/>
            <w:vAlign w:val="center"/>
            <w:tcMar>
              <w:top w:w="80" w:type="dxa"/>
              <w:start w:w="100" w:type="dxa"/>
              <w:bottom w:w="80" w:type="dxa"/>
              <w:end w:w="100" w:type="dxa"/>
            </w:tcMar>
          </w:tcPr>
          <w:p>
            <w:pPr>
              <w:spacing w:after="0" w:before="0"/>
            </w:pPr>
            <w:r>
              <w:rPr>
                <w:rFonts w:ascii="Aptos" w:hAnsi="Aptos"/>
                <w:sz w:val="14"/>
              </w:rPr>
              <w:t>P07, PDF-S. 7; Vertrauen: mittel</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Kinder erhalten frühe Bildung und Versorgung → Eltern können Erwerbsarbeit ausweiten → Sprach- und Unterstützungsbedarfe werden früher erkannt → öffentliche Kosten und Personalbedarf steigen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Betreuungs- und Erwerbseffekte treten kurzfristig ein; Bildungs- und Lebensverlaufseffekte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Kinder, Eltern, Alleinerziehende, Fachkräfte, Kommunen und Arbeitgeber.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Qualität und Zielgenauigkeit bestimmen die langfristige Wirkung.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Kindeswohl, Schutz vor Gewalt, Inklusion und ausreichende Betreuungsqualität sind nicht durch Platzzahlen kompensierbar.</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E27</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bessere Bildungschancen</w:t>
            </w:r>
          </w:p>
        </w:tc>
        <w:tc>
          <w:tcPr>
            <w:tcW w:type="dxa" w:w="5046"/>
            <w:vAlign w:val="center"/>
            <w:tcMar>
              <w:top w:w="80" w:type="dxa"/>
              <w:start w:w="100" w:type="dxa"/>
              <w:bottom w:w="80" w:type="dxa"/>
              <w:end w:w="100" w:type="dxa"/>
            </w:tcMar>
          </w:tcPr>
          <w:p>
            <w:pPr>
              <w:spacing w:after="0" w:before="0"/>
            </w:pPr>
            <w:r>
              <w:rPr>
                <w:rFonts w:ascii="Aptos" w:hAnsi="Aptos"/>
                <w:sz w:val="16"/>
              </w:rPr>
              <w:t>• Qualitätsverlust bei zu schnellem Ausbau</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weniger Kinderarmutsfolgen</w:t>
            </w:r>
          </w:p>
        </w:tc>
        <w:tc>
          <w:tcPr>
            <w:tcW w:type="dxa" w:w="5046"/>
            <w:vAlign w:val="center"/>
            <w:tcMar>
              <w:top w:w="80" w:type="dxa"/>
              <w:start w:w="100" w:type="dxa"/>
              <w:bottom w:w="80" w:type="dxa"/>
              <w:end w:w="100" w:type="dxa"/>
            </w:tcMar>
          </w:tcPr>
          <w:p>
            <w:pPr>
              <w:spacing w:after="0" w:before="0"/>
            </w:pPr>
            <w:r>
              <w:rPr>
                <w:rFonts w:ascii="Aptos" w:hAnsi="Aptos"/>
                <w:sz w:val="16"/>
              </w:rPr>
              <w:t>• Fachkräftemangel und Überlastung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höhere Erwerbsbeteiligung insbesondere von Frauen</w:t>
            </w:r>
          </w:p>
        </w:tc>
        <w:tc>
          <w:tcPr>
            <w:tcW w:type="dxa" w:w="5046"/>
            <w:vAlign w:val="center"/>
            <w:tcMar>
              <w:top w:w="80" w:type="dxa"/>
              <w:start w:w="100" w:type="dxa"/>
              <w:bottom w:w="80" w:type="dxa"/>
              <w:end w:w="100" w:type="dxa"/>
            </w:tcMar>
          </w:tcPr>
          <w:p>
            <w:pPr>
              <w:spacing w:after="0" w:before="0"/>
            </w:pPr>
            <w:r>
              <w:rPr>
                <w:rFonts w:ascii="Aptos" w:hAnsi="Aptos"/>
                <w:sz w:val="16"/>
              </w:rPr>
              <w:t>• hohe laufende Kosten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Entlastung von Familien</w:t>
            </w:r>
          </w:p>
        </w:tc>
        <w:tc>
          <w:tcPr>
            <w:tcW w:type="dxa" w:w="5046"/>
            <w:vAlign w:val="center"/>
            <w:tcMar>
              <w:top w:w="80" w:type="dxa"/>
              <w:start w:w="100" w:type="dxa"/>
              <w:bottom w:w="80" w:type="dxa"/>
              <w:end w:w="100" w:type="dxa"/>
            </w:tcMar>
          </w:tcPr>
          <w:p>
            <w:pPr>
              <w:spacing w:after="0" w:before="0"/>
            </w:pPr>
            <w:r>
              <w:rPr>
                <w:rFonts w:ascii="Aptos" w:hAnsi="Aptos"/>
                <w:sz w:val="16"/>
              </w:rPr>
              <w:t>• geringe Passung zu Familienbedürfnissen</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Betreuungsquote und Öffnungszeiten · Fachkraft-Kind-Schlüssel · Gebührenbelastung · Sprach- und Kompetenzentwicklung · Erwerbsquote Eltern · Essensqualität</w:t>
      </w:r>
    </w:p>
    <w:p>
      <w:pPr>
        <w:pStyle w:val="Heading3"/>
        <w:spacing w:after="80"/>
        <w:keepNext/>
      </w:pPr>
      <w:r>
        <w:t>Neutrale Ergebnis-Microcopy</w:t>
      </w:r>
    </w:p>
    <w:p>
      <w:pPr>
        <w:pStyle w:val="ListBullet"/>
        <w:spacing w:after="20" w:before="0"/>
      </w:pPr>
      <w:r>
        <w:t>„Bei Kostenfreie hochwertige Betreuung und Ganztag besteht eine {hohe/mittlere/geringe} positionale Nähe.“</w:t>
      </w:r>
    </w:p>
    <w:p>
      <w:pPr>
        <w:pStyle w:val="ListBullet"/>
        <w:spacing w:after="20" w:before="0"/>
      </w:pPr>
      <w:r>
        <w:t>„Die Option Kostenfreie hochwertige Betreuung und Ganztag weist vor allem in den Dimensionen Gesundheit, Bildung &amp; Teilhabe, Soziale Sicherheit &amp; Fairness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Q35 · Wirkungsprüfung für KI und digitale Souveränität</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Hochriskante KI- und Algorithmensysteme sollen vor und während ihres Einsatzes auf Transparenz, Diskriminierung, Sicherheit, Datenschutz und demokratische Folgen geprüft werden. Der Staat soll zugleich in souveräne digitale Infrastruktur investieren.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verbindet Innovation mit fortlaufender Wirkungsprüfung. Ein Verbotsreflex ist ebenso unzureichend wie ungeprüfte Automatisierung.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Rechtsstaat &amp; Grundrechte, Informationsqualität &amp; demokratischer Zusammenhalt, Freiheit &amp; Selbstbestimmung, Resilienz &amp; Generationengerechtigkeit, Soziale Sicherheit &amp; Fairness</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9, 10, 16; SDG+ Technologie- und Digitalverantwortung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risikobasierte Pflichten, unabhängige Audits, menschliche Anfechtbarkeit, offene Standards und europäische/öffentliche digitale Infrastruktur.</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KI-Innovation, digitale Souveränität und risikobasierte Regeln</w:t>
            </w:r>
          </w:p>
        </w:tc>
        <w:tc>
          <w:tcPr>
            <w:tcW w:type="dxa" w:w="2018"/>
            <w:vAlign w:val="center"/>
            <w:tcMar>
              <w:top w:w="80" w:type="dxa"/>
              <w:start w:w="100" w:type="dxa"/>
              <w:bottom w:w="80" w:type="dxa"/>
              <w:end w:w="100" w:type="dxa"/>
            </w:tcMar>
          </w:tcPr>
          <w:p>
            <w:pPr>
              <w:spacing w:after="0" w:before="0"/>
            </w:pPr>
            <w:r>
              <w:rPr>
                <w:rFonts w:ascii="Aptos" w:hAnsi="Aptos"/>
                <w:sz w:val="14"/>
              </w:rPr>
              <w:t>P01, PDF-S. 57;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vertrauenswürdige KI, Datenschutz und digitale Verwaltung</w:t>
            </w:r>
          </w:p>
        </w:tc>
        <w:tc>
          <w:tcPr>
            <w:tcW w:type="dxa" w:w="2018"/>
            <w:vAlign w:val="center"/>
            <w:tcMar>
              <w:top w:w="80" w:type="dxa"/>
              <w:start w:w="100" w:type="dxa"/>
              <w:bottom w:w="80" w:type="dxa"/>
              <w:end w:w="100" w:type="dxa"/>
            </w:tcMar>
          </w:tcPr>
          <w:p>
            <w:pPr>
              <w:spacing w:after="0" w:before="0"/>
            </w:pPr>
            <w:r>
              <w:rPr>
                <w:rFonts w:ascii="Aptos" w:hAnsi="Aptos"/>
                <w:sz w:val="14"/>
              </w:rPr>
              <w:t>P02, PDF-S. 16;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strenge Grundrechts-, Transparenz- und Souveränitätsregeln</w:t>
            </w:r>
          </w:p>
        </w:tc>
        <w:tc>
          <w:tcPr>
            <w:tcW w:type="dxa" w:w="2018"/>
            <w:vAlign w:val="center"/>
            <w:tcMar>
              <w:top w:w="80" w:type="dxa"/>
              <w:start w:w="100" w:type="dxa"/>
              <w:bottom w:w="80" w:type="dxa"/>
              <w:end w:w="100" w:type="dxa"/>
            </w:tcMar>
          </w:tcPr>
          <w:p>
            <w:pPr>
              <w:spacing w:after="0" w:before="0"/>
            </w:pPr>
            <w:r>
              <w:rPr>
                <w:rFonts w:ascii="Aptos" w:hAnsi="Aptos"/>
                <w:sz w:val="14"/>
              </w:rPr>
              <w:t>P03, PDF-S. 35;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betont Meinungsfreiheit und nationale Souveränität, lehnt viele EU-Regeln ab</w:t>
            </w:r>
          </w:p>
        </w:tc>
        <w:tc>
          <w:tcPr>
            <w:tcW w:type="dxa" w:w="2018"/>
            <w:vAlign w:val="center"/>
            <w:tcMar>
              <w:top w:w="80" w:type="dxa"/>
              <w:start w:w="100" w:type="dxa"/>
              <w:bottom w:w="80" w:type="dxa"/>
              <w:end w:w="100" w:type="dxa"/>
            </w:tcMar>
          </w:tcPr>
          <w:p>
            <w:pPr>
              <w:spacing w:after="0" w:before="0"/>
            </w:pPr>
            <w:r>
              <w:rPr>
                <w:rFonts w:ascii="Aptos" w:hAnsi="Aptos"/>
                <w:sz w:val="14"/>
              </w:rPr>
              <w:t>P04, PDF-S. 50;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öffentliche digitale Infrastruktur, Audits und starke Grundrechte</w:t>
            </w:r>
          </w:p>
        </w:tc>
        <w:tc>
          <w:tcPr>
            <w:tcW w:type="dxa" w:w="2018"/>
            <w:vAlign w:val="center"/>
            <w:tcMar>
              <w:top w:w="80" w:type="dxa"/>
              <w:start w:w="100" w:type="dxa"/>
              <w:bottom w:w="80" w:type="dxa"/>
              <w:end w:w="100" w:type="dxa"/>
            </w:tcMar>
          </w:tcPr>
          <w:p>
            <w:pPr>
              <w:spacing w:after="0" w:before="0"/>
            </w:pPr>
            <w:r>
              <w:rPr>
                <w:rFonts w:ascii="Aptos" w:hAnsi="Aptos"/>
                <w:sz w:val="14"/>
              </w:rPr>
              <w:t>P05, PDF-S. 39;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betont Datenschutz, Bargeld und technologische Souveränität; KI-Regeln teils offen</w:t>
            </w:r>
          </w:p>
        </w:tc>
        <w:tc>
          <w:tcPr>
            <w:tcW w:type="dxa" w:w="2018"/>
            <w:vAlign w:val="center"/>
            <w:tcMar>
              <w:top w:w="80" w:type="dxa"/>
              <w:start w:w="100" w:type="dxa"/>
              <w:bottom w:w="80" w:type="dxa"/>
              <w:end w:w="100" w:type="dxa"/>
            </w:tcMar>
          </w:tcPr>
          <w:p>
            <w:pPr>
              <w:spacing w:after="0" w:before="0"/>
            </w:pPr>
            <w:r>
              <w:rPr>
                <w:rFonts w:ascii="Aptos" w:hAnsi="Aptos"/>
                <w:sz w:val="14"/>
              </w:rPr>
              <w:t>P06, PDF-S. 44;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Innovation, Datenzugang und schlanke risikobasierte Regulierung</w:t>
            </w:r>
          </w:p>
        </w:tc>
        <w:tc>
          <w:tcPr>
            <w:tcW w:type="dxa" w:w="2018"/>
            <w:vAlign w:val="center"/>
            <w:tcMar>
              <w:top w:w="80" w:type="dxa"/>
              <w:start w:w="100" w:type="dxa"/>
              <w:bottom w:w="80" w:type="dxa"/>
              <w:end w:w="100" w:type="dxa"/>
            </w:tcMar>
          </w:tcPr>
          <w:p>
            <w:pPr>
              <w:spacing w:after="0" w:before="0"/>
            </w:pPr>
            <w:r>
              <w:rPr>
                <w:rFonts w:ascii="Aptos" w:hAnsi="Aptos"/>
                <w:sz w:val="14"/>
              </w:rPr>
              <w:t>P07, PDF-S. 13; Vertrauen: mittel</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Risiken werden vor Einsatz analysiert → Daten, Modelle und Entscheidungen werden dokumentiert → Schäden können früher erkannt und korrigiert werden → souveräne Infrastruktur reduziert Abhängigkeiten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Regel- und Investitionskosten entstehen sofort; Sicherheits-, Vertrauens- und Souveränitätseffekte mittel- bis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Bürger*innen, Unternehmen, Verwaltung, Beschäftigte, diskriminierungsgefährdete Gruppen, Forschung und Sicherheitsbehörden.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mittel bis 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hoch: KI-Systeme entwickeln sich schnell; Audits und Kausalität sind methodisch anspruchsvoll.</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Menschenwürde, effektiver Rechtsschutz, Datenschutz, Nichtdiskriminierung und Verbot autonomer existenzieller Entscheidungen ohne Anfechtung sind Mindestbedingungen.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E18, E28</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Schutz vor Diskriminierung und Sicherheitsfehlern</w:t>
            </w:r>
          </w:p>
        </w:tc>
        <w:tc>
          <w:tcPr>
            <w:tcW w:type="dxa" w:w="5046"/>
            <w:vAlign w:val="center"/>
            <w:tcMar>
              <w:top w:w="80" w:type="dxa"/>
              <w:start w:w="100" w:type="dxa"/>
              <w:bottom w:w="80" w:type="dxa"/>
              <w:end w:w="100" w:type="dxa"/>
            </w:tcMar>
          </w:tcPr>
          <w:p>
            <w:pPr>
              <w:spacing w:after="0" w:before="0"/>
            </w:pPr>
            <w:r>
              <w:rPr>
                <w:rFonts w:ascii="Aptos" w:hAnsi="Aptos"/>
                <w:sz w:val="16"/>
              </w:rPr>
              <w:t>• hohe Compliancekosten und langsamere Innovation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mehr Vertrauen und Rechtsklarheit</w:t>
            </w:r>
          </w:p>
        </w:tc>
        <w:tc>
          <w:tcPr>
            <w:tcW w:type="dxa" w:w="5046"/>
            <w:vAlign w:val="center"/>
            <w:tcMar>
              <w:top w:w="80" w:type="dxa"/>
              <w:start w:w="100" w:type="dxa"/>
              <w:bottom w:w="80" w:type="dxa"/>
              <w:end w:w="100" w:type="dxa"/>
            </w:tcMar>
          </w:tcPr>
          <w:p>
            <w:pPr>
              <w:spacing w:after="0" w:before="0"/>
            </w:pPr>
            <w:r>
              <w:rPr>
                <w:rFonts w:ascii="Aptos" w:hAnsi="Aptos"/>
                <w:sz w:val="16"/>
              </w:rPr>
              <w:t>• Scheinaudits und regulatorische Vereinnahmung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geringeres geopolitisches Abhängigkeitsrisiko</w:t>
            </w:r>
          </w:p>
        </w:tc>
        <w:tc>
          <w:tcPr>
            <w:tcW w:type="dxa" w:w="5046"/>
            <w:vAlign w:val="center"/>
            <w:tcMar>
              <w:top w:w="80" w:type="dxa"/>
              <w:start w:w="100" w:type="dxa"/>
              <w:bottom w:w="80" w:type="dxa"/>
              <w:end w:w="100" w:type="dxa"/>
            </w:tcMar>
          </w:tcPr>
          <w:p>
            <w:pPr>
              <w:spacing w:after="0" w:before="0"/>
            </w:pPr>
            <w:r>
              <w:rPr>
                <w:rFonts w:ascii="Aptos" w:hAnsi="Aptos"/>
                <w:sz w:val="16"/>
              </w:rPr>
              <w:t>• Überwachung und Datenmacht des Staates</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bessere öffentliche Innovationsfähigkeit</w:t>
            </w:r>
          </w:p>
        </w:tc>
        <w:tc>
          <w:tcPr>
            <w:tcW w:type="dxa" w:w="5046"/>
            <w:vAlign w:val="center"/>
            <w:tcMar>
              <w:top w:w="80" w:type="dxa"/>
              <w:start w:w="100" w:type="dxa"/>
              <w:bottom w:w="80" w:type="dxa"/>
              <w:end w:w="100" w:type="dxa"/>
            </w:tcMar>
          </w:tcPr>
          <w:p>
            <w:pPr>
              <w:spacing w:after="0" w:before="0"/>
            </w:pPr>
            <w:r>
              <w:rPr>
                <w:rFonts w:ascii="Aptos" w:hAnsi="Aptos"/>
                <w:sz w:val="16"/>
              </w:rPr>
              <w:t>• technische Abhängigkeit bleibt trotz Label</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Rechtsstaat &amp; Grundrechte</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Informationsqualität &amp; demokratischer Zusammenhalt</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 bis +1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Anzahl und Qualität von Audits · Fehler- und Diskriminierungsraten · Anfechtbarkeit · Daten- und Cloudabhängigkeit · Sicherheitsvorfälle · Innovations- und Nutzungserfolg</w:t>
      </w:r>
    </w:p>
    <w:p>
      <w:pPr>
        <w:pStyle w:val="Heading3"/>
        <w:spacing w:after="80"/>
        <w:keepNext/>
      </w:pPr>
      <w:r>
        <w:t>Neutrale Ergebnis-Microcopy</w:t>
      </w:r>
    </w:p>
    <w:p>
      <w:pPr>
        <w:pStyle w:val="ListBullet"/>
        <w:spacing w:after="20" w:before="0"/>
      </w:pPr>
      <w:r>
        <w:t>„Bei Wirkungsprüfung für KI und digitale Souveränität besteht eine {hohe/mittlere/geringe} positionale Nähe.“</w:t>
      </w:r>
    </w:p>
    <w:p>
      <w:pPr>
        <w:pStyle w:val="ListBullet"/>
        <w:spacing w:after="20" w:before="0"/>
      </w:pPr>
      <w:r>
        <w:t>„Die Option Wirkungsprüfung für KI und digitale Souveränität weist vor allem in den Dimensionen Rechtsstaat &amp; Grundrechte, Informationsqualität &amp; demokratischer Zusammenhalt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2"/>
        <w:spacing w:after="80"/>
        <w:keepNext/>
      </w:pPr>
      <w:r>
        <w:t>Q36 · BAföG stärken und erste Ausbildung gebührenfrei halten</w:t>
      </w:r>
    </w:p>
    <w:tbl>
      <w:tblPr>
        <w:tblStyle w:val="TableGrid"/>
        <w:tblW w:type="auto" w:w="0"/>
        <w:tblLook w:firstColumn="1" w:firstRow="1" w:lastColumn="0" w:lastRow="0" w:noHBand="0" w:noVBand="1" w:val="04A0"/>
      </w:tblPr>
      <w:tblGrid>
        <w:gridCol w:w="10092"/>
      </w:tblGrid>
      <w:tr>
        <w:trPr>
          <w:cantSplit w:val="true"/>
        </w:trPr>
        <w:tc>
          <w:tcPr>
            <w:tcW w:type="dxa" w:w="10092"/>
            <w:shd w:fill="EEF6F3"/>
            <w:tcMar>
              <w:top w:w="140" w:type="dxa"/>
              <w:start w:w="160" w:type="dxa"/>
              <w:bottom w:w="140" w:type="dxa"/>
              <w:end w:w="160" w:type="dxa"/>
            </w:tcMar>
          </w:tcPr>
          <w:p>
            <w:r>
              <w:rPr>
                <w:b/>
                <w:color w:val="173B33"/>
                <w:sz w:val="16"/>
              </w:rPr>
              <w:t>FRAGE AN DIE NUTZERIN / DEN NUTZER</w:t>
              <w:br/>
            </w:r>
            <w:r>
              <w:rPr>
                <w:b/>
                <w:sz w:val="20"/>
              </w:rPr>
              <w:t>Das BAföG soll deutlich angehoben, regelmäßiger an Lebenshaltungskosten angepasst und überwiegend als Zuschuss gewährt werden. Die erste berufliche oder akademische Ausbildung soll grundsätzlich gebührenfrei bleiben.</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Warum diese Frage?</w:t>
            </w:r>
          </w:p>
        </w:tc>
        <w:tc>
          <w:tcPr>
            <w:tcW w:type="dxa" w:w="5046"/>
            <w:vAlign w:val="center"/>
            <w:tcMar>
              <w:top w:w="80" w:type="dxa"/>
              <w:start w:w="100" w:type="dxa"/>
              <w:bottom w:w="80" w:type="dxa"/>
              <w:end w:w="100" w:type="dxa"/>
            </w:tcMar>
          </w:tcPr>
          <w:p>
            <w:pPr>
              <w:spacing w:after="0" w:before="0"/>
            </w:pPr>
            <w:r>
              <w:rPr>
                <w:rFonts w:ascii="Aptos" w:hAnsi="Aptos"/>
                <w:sz w:val="17"/>
              </w:rPr>
              <w:t>Die Frage prüft, ob Bildung als private Investition oder als öffentliche Wirkungsinfrastruktur verstanden wird.</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Wirkungsdimensionen</w:t>
            </w:r>
          </w:p>
        </w:tc>
        <w:tc>
          <w:tcPr>
            <w:tcW w:type="dxa" w:w="5046"/>
            <w:vAlign w:val="center"/>
            <w:tcMar>
              <w:top w:w="80" w:type="dxa"/>
              <w:start w:w="100" w:type="dxa"/>
              <w:bottom w:w="80" w:type="dxa"/>
              <w:end w:w="100" w:type="dxa"/>
            </w:tcMar>
          </w:tcPr>
          <w:p>
            <w:pPr>
              <w:spacing w:after="0" w:before="0"/>
            </w:pPr>
            <w:r>
              <w:rPr>
                <w:rFonts w:ascii="Aptos" w:hAnsi="Aptos"/>
                <w:sz w:val="17"/>
              </w:rPr>
              <w:t>Gesundheit, Bildung &amp; Teilhabe, Soziale Sicherheit &amp; Fairness, Freiheit &amp; Selbstbestimmung, Resilienz &amp; Generationengerechtigkeit</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Referenzrahmen</w:t>
            </w:r>
          </w:p>
        </w:tc>
        <w:tc>
          <w:tcPr>
            <w:tcW w:type="dxa" w:w="5046"/>
            <w:vAlign w:val="center"/>
            <w:tcMar>
              <w:top w:w="80" w:type="dxa"/>
              <w:start w:w="100" w:type="dxa"/>
              <w:bottom w:w="80" w:type="dxa"/>
              <w:end w:w="100" w:type="dxa"/>
            </w:tcMar>
          </w:tcPr>
          <w:p>
            <w:pPr>
              <w:spacing w:after="0" w:before="0"/>
            </w:pPr>
            <w:r>
              <w:rPr>
                <w:rFonts w:ascii="Aptos" w:hAnsi="Aptos"/>
                <w:sz w:val="17"/>
              </w:rPr>
              <w:t>SDG 4, 5, 8, 10</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Antwortskala</w:t>
            </w:r>
          </w:p>
        </w:tc>
        <w:tc>
          <w:tcPr>
            <w:tcW w:type="dxa" w:w="5046"/>
            <w:vAlign w:val="center"/>
            <w:tcMar>
              <w:top w:w="80" w:type="dxa"/>
              <w:start w:w="100" w:type="dxa"/>
              <w:bottom w:w="80" w:type="dxa"/>
              <w:end w:w="100" w:type="dxa"/>
            </w:tcMar>
          </w:tcPr>
          <w:p>
            <w:pPr>
              <w:spacing w:after="0" w:before="0"/>
            </w:pPr>
            <w:r>
              <w:rPr>
                <w:rFonts w:ascii="Aptos" w:hAnsi="Aptos"/>
                <w:sz w:val="17"/>
              </w:rPr>
              <w:t>stimme gar nicht zu · stimme eher nicht zu · unentschieden · stimme eher zu · stimme vollständig zu · unsicher · überspringen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Persönliche Wichtigkeit</w:t>
            </w:r>
          </w:p>
        </w:tc>
        <w:tc>
          <w:tcPr>
            <w:tcW w:type="dxa" w:w="5046"/>
            <w:vAlign w:val="center"/>
            <w:tcMar>
              <w:top w:w="80" w:type="dxa"/>
              <w:start w:w="100" w:type="dxa"/>
              <w:bottom w:w="80" w:type="dxa"/>
              <w:end w:w="100" w:type="dxa"/>
            </w:tcMar>
          </w:tcPr>
          <w:p>
            <w:pPr>
              <w:spacing w:after="0" w:before="0"/>
            </w:pPr>
            <w:r>
              <w:rPr>
                <w:rFonts w:ascii="Aptos" w:hAnsi="Aptos"/>
                <w:sz w:val="17"/>
              </w:rPr>
              <w:t>nicht relevant · eher nachrangig · wichtig · sehr wichtig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Abgrenzung / Baseline</w:t>
            </w:r>
          </w:p>
        </w:tc>
        <w:tc>
          <w:tcPr>
            <w:tcW w:type="dxa" w:w="5046"/>
            <w:vAlign w:val="center"/>
            <w:tcMar>
              <w:top w:w="80" w:type="dxa"/>
              <w:start w:w="100" w:type="dxa"/>
              <w:bottom w:w="80" w:type="dxa"/>
              <w:end w:w="100" w:type="dxa"/>
            </w:tcMar>
          </w:tcPr>
          <w:p>
            <w:pPr>
              <w:spacing w:after="0" w:before="0"/>
            </w:pPr>
            <w:r>
              <w:rPr>
                <w:rFonts w:ascii="Aptos" w:hAnsi="Aptos"/>
                <w:sz w:val="17"/>
              </w:rPr>
              <w:t>Option: höhere Bedarfssätze und Wohnkostenpauschalen, breiterer Zugang, automatische Anpassung, einfacher Antrag und begrenzter Darlehensanteil.</w:t>
            </w:r>
          </w:p>
        </w:tc>
      </w:tr>
    </w:tbl>
    <w:p>
      <w:pPr>
        <w:pStyle w:val="Heading3"/>
        <w:spacing w:after="80"/>
        <w:keepNext/>
      </w:pPr>
      <w:r>
        <w:t>Programmbasierte Parteizuordnung</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cantSplit w:val="true"/>
          <w:tblHeader w:val="true"/>
        </w:trPr>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Partei</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Wert</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Einordnung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Programmbasierte Kurzbegründung</w:t>
            </w:r>
          </w:p>
        </w:tc>
        <w:tc>
          <w:tcPr>
            <w:tcW w:type="dxa" w:w="2018"/>
            <w:vAlign w:val="center"/>
            <w:tcMar>
              <w:top w:w="80" w:type="dxa"/>
              <w:start w:w="100" w:type="dxa"/>
              <w:bottom w:w="80" w:type="dxa"/>
              <w:end w:w="100" w:type="dxa"/>
            </w:tcMar>
            <w:shd w:fill="173B33"/>
          </w:tcPr>
          <w:p>
            <w:pPr>
              <w:spacing w:after="0" w:before="0"/>
            </w:pPr>
            <w:r>
              <w:rPr>
                <w:rFonts w:ascii="Aptos" w:hAnsi="Aptos"/>
                <w:b/>
                <w:color w:val="FFFFFF"/>
                <w:sz w:val="14"/>
              </w:rPr>
              <w:t>Quelle</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CDU/CSU</w:t>
            </w:r>
          </w:p>
        </w:tc>
        <w:tc>
          <w:tcPr>
            <w:tcW w:type="dxa" w:w="2018"/>
            <w:shd w:fill="F1F1EE"/>
            <w:vAlign w:val="center"/>
            <w:tcMar>
              <w:top w:w="80" w:type="dxa"/>
              <w:start w:w="100" w:type="dxa"/>
              <w:bottom w:w="80" w:type="dxa"/>
              <w:end w:w="100" w:type="dxa"/>
            </w:tcMar>
          </w:tcPr>
          <w:p>
            <w:pPr>
              <w:spacing w:after="0" w:before="0"/>
            </w:pPr>
            <w:r>
              <w:rPr>
                <w:rFonts w:ascii="Aptos" w:hAnsi="Aptos"/>
                <w:sz w:val="14"/>
              </w:rPr>
              <w:t>+0 0</w:t>
            </w:r>
          </w:p>
        </w:tc>
        <w:tc>
          <w:tcPr>
            <w:tcW w:type="dxa" w:w="2018"/>
            <w:vAlign w:val="center"/>
            <w:tcMar>
              <w:top w:w="80" w:type="dxa"/>
              <w:start w:w="100" w:type="dxa"/>
              <w:bottom w:w="80" w:type="dxa"/>
              <w:end w:w="100" w:type="dxa"/>
            </w:tcMar>
          </w:tcPr>
          <w:p>
            <w:pPr>
              <w:spacing w:after="0" w:before="0"/>
            </w:pPr>
            <w:r>
              <w:rPr>
                <w:rFonts w:ascii="Aptos" w:hAnsi="Aptos"/>
                <w:sz w:val="14"/>
              </w:rPr>
              <w:t>gemischt / nicht hinreichend belegt</w:t>
            </w:r>
          </w:p>
        </w:tc>
        <w:tc>
          <w:tcPr>
            <w:tcW w:type="dxa" w:w="2018"/>
            <w:vAlign w:val="center"/>
            <w:tcMar>
              <w:top w:w="80" w:type="dxa"/>
              <w:start w:w="100" w:type="dxa"/>
              <w:bottom w:w="80" w:type="dxa"/>
              <w:end w:w="100" w:type="dxa"/>
            </w:tcMar>
          </w:tcPr>
          <w:p>
            <w:pPr>
              <w:spacing w:after="0" w:before="0"/>
            </w:pPr>
            <w:r>
              <w:rPr>
                <w:rFonts w:ascii="Aptos" w:hAnsi="Aptos"/>
                <w:sz w:val="14"/>
              </w:rPr>
              <w:t>will BAföG reformieren und Aufstieg fördern, Zuschussorientierung nicht klar</w:t>
            </w:r>
          </w:p>
        </w:tc>
        <w:tc>
          <w:tcPr>
            <w:tcW w:type="dxa" w:w="2018"/>
            <w:vAlign w:val="center"/>
            <w:tcMar>
              <w:top w:w="80" w:type="dxa"/>
              <w:start w:w="100" w:type="dxa"/>
              <w:bottom w:w="80" w:type="dxa"/>
              <w:end w:w="100" w:type="dxa"/>
            </w:tcMar>
          </w:tcPr>
          <w:p>
            <w:pPr>
              <w:spacing w:after="0" w:before="0"/>
            </w:pPr>
            <w:r>
              <w:rPr>
                <w:rFonts w:ascii="Aptos" w:hAnsi="Aptos"/>
                <w:sz w:val="14"/>
              </w:rPr>
              <w:t>P01, PDF-S. 69;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SPD</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BAföG erhöhen, automatisch anpassen und Wohnkosten stärken</w:t>
            </w:r>
          </w:p>
        </w:tc>
        <w:tc>
          <w:tcPr>
            <w:tcW w:type="dxa" w:w="2018"/>
            <w:vAlign w:val="center"/>
            <w:tcMar>
              <w:top w:w="80" w:type="dxa"/>
              <w:start w:w="100" w:type="dxa"/>
              <w:bottom w:w="80" w:type="dxa"/>
              <w:end w:w="100" w:type="dxa"/>
            </w:tcMar>
          </w:tcPr>
          <w:p>
            <w:pPr>
              <w:spacing w:after="0" w:before="0"/>
            </w:pPr>
            <w:r>
              <w:rPr>
                <w:rFonts w:ascii="Aptos" w:hAnsi="Aptos"/>
                <w:sz w:val="14"/>
              </w:rPr>
              <w:t>P02, PDF-S. 16;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BÜNDNIS 90/DIE GRÜNEN</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BAföG deutlich ausbauen und Bildungsgebühren vermeiden</w:t>
            </w:r>
          </w:p>
        </w:tc>
        <w:tc>
          <w:tcPr>
            <w:tcW w:type="dxa" w:w="2018"/>
            <w:vAlign w:val="center"/>
            <w:tcMar>
              <w:top w:w="80" w:type="dxa"/>
              <w:start w:w="100" w:type="dxa"/>
              <w:bottom w:w="80" w:type="dxa"/>
              <w:end w:w="100" w:type="dxa"/>
            </w:tcMar>
          </w:tcPr>
          <w:p>
            <w:pPr>
              <w:spacing w:after="0" w:before="0"/>
            </w:pPr>
            <w:r>
              <w:rPr>
                <w:rFonts w:ascii="Aptos" w:hAnsi="Aptos"/>
                <w:sz w:val="14"/>
              </w:rPr>
              <w:t>P03, PDF-S. 79;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AfD</w:t>
            </w:r>
          </w:p>
        </w:tc>
        <w:tc>
          <w:tcPr>
            <w:tcW w:type="dxa" w:w="2018"/>
            <w:shd w:fill="F7E8D5"/>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Ablehnung</w:t>
            </w:r>
          </w:p>
        </w:tc>
        <w:tc>
          <w:tcPr>
            <w:tcW w:type="dxa" w:w="2018"/>
            <w:vAlign w:val="center"/>
            <w:tcMar>
              <w:top w:w="80" w:type="dxa"/>
              <w:start w:w="100" w:type="dxa"/>
              <w:bottom w:w="80" w:type="dxa"/>
              <w:end w:w="100" w:type="dxa"/>
            </w:tcMar>
          </w:tcPr>
          <w:p>
            <w:pPr>
              <w:spacing w:after="0" w:before="0"/>
            </w:pPr>
            <w:r>
              <w:rPr>
                <w:rFonts w:ascii="Aptos" w:hAnsi="Aptos"/>
                <w:sz w:val="14"/>
              </w:rPr>
              <w:t>setzt stärker auf Leistung und Familie; Ausbau nicht belegt</w:t>
            </w:r>
          </w:p>
        </w:tc>
        <w:tc>
          <w:tcPr>
            <w:tcW w:type="dxa" w:w="2018"/>
            <w:vAlign w:val="center"/>
            <w:tcMar>
              <w:top w:w="80" w:type="dxa"/>
              <w:start w:w="100" w:type="dxa"/>
              <w:bottom w:w="80" w:type="dxa"/>
              <w:end w:w="100" w:type="dxa"/>
            </w:tcMar>
          </w:tcPr>
          <w:p>
            <w:pPr>
              <w:spacing w:after="0" w:before="0"/>
            </w:pPr>
            <w:r>
              <w:rPr>
                <w:rFonts w:ascii="Aptos" w:hAnsi="Aptos"/>
                <w:sz w:val="14"/>
              </w:rPr>
              <w:t>P04, PDF-S. 149; Vertrauen: mittel</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DIE LINKE</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elternunabhängiges, höheres BAföG als Vollzuschuss und Gebührenfreiheit</w:t>
            </w:r>
          </w:p>
        </w:tc>
        <w:tc>
          <w:tcPr>
            <w:tcW w:type="dxa" w:w="2018"/>
            <w:vAlign w:val="center"/>
            <w:tcMar>
              <w:top w:w="80" w:type="dxa"/>
              <w:start w:w="100" w:type="dxa"/>
              <w:bottom w:w="80" w:type="dxa"/>
              <w:end w:w="100" w:type="dxa"/>
            </w:tcMar>
          </w:tcPr>
          <w:p>
            <w:pPr>
              <w:spacing w:after="0" w:before="0"/>
            </w:pPr>
            <w:r>
              <w:rPr>
                <w:rFonts w:ascii="Aptos" w:hAnsi="Aptos"/>
                <w:sz w:val="14"/>
              </w:rPr>
              <w:t>P05, PDF-S. 40;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BSW</w:t>
            </w:r>
          </w:p>
        </w:tc>
        <w:tc>
          <w:tcPr>
            <w:tcW w:type="dxa" w:w="2018"/>
            <w:shd w:fill="D7EBDD"/>
            <w:vAlign w:val="center"/>
            <w:tcMar>
              <w:top w:w="80" w:type="dxa"/>
              <w:start w:w="100" w:type="dxa"/>
              <w:bottom w:w="80" w:type="dxa"/>
              <w:end w:w="100" w:type="dxa"/>
            </w:tcMar>
          </w:tcPr>
          <w:p>
            <w:pPr>
              <w:spacing w:after="0" w:before="0"/>
            </w:pPr>
            <w:r>
              <w:rPr>
                <w:rFonts w:ascii="Aptos" w:hAnsi="Aptos"/>
                <w:sz w:val="14"/>
              </w:rPr>
              <w:t>+2 ++</w:t>
            </w:r>
          </w:p>
        </w:tc>
        <w:tc>
          <w:tcPr>
            <w:tcW w:type="dxa" w:w="2018"/>
            <w:vAlign w:val="center"/>
            <w:tcMar>
              <w:top w:w="80" w:type="dxa"/>
              <w:start w:w="100" w:type="dxa"/>
              <w:bottom w:w="80" w:type="dxa"/>
              <w:end w:w="100" w:type="dxa"/>
            </w:tcMar>
          </w:tcPr>
          <w:p>
            <w:pPr>
              <w:spacing w:after="0" w:before="0"/>
            </w:pPr>
            <w:r>
              <w:rPr>
                <w:rFonts w:ascii="Aptos" w:hAnsi="Aptos"/>
                <w:sz w:val="14"/>
              </w:rPr>
              <w:t>klare Zustimmung</w:t>
            </w:r>
          </w:p>
        </w:tc>
        <w:tc>
          <w:tcPr>
            <w:tcW w:type="dxa" w:w="2018"/>
            <w:vAlign w:val="center"/>
            <w:tcMar>
              <w:top w:w="80" w:type="dxa"/>
              <w:start w:w="100" w:type="dxa"/>
              <w:bottom w:w="80" w:type="dxa"/>
              <w:end w:w="100" w:type="dxa"/>
            </w:tcMar>
          </w:tcPr>
          <w:p>
            <w:pPr>
              <w:spacing w:after="0" w:before="0"/>
            </w:pPr>
            <w:r>
              <w:rPr>
                <w:rFonts w:ascii="Aptos" w:hAnsi="Aptos"/>
                <w:sz w:val="14"/>
              </w:rPr>
              <w:t>fordert höhere Ausbildungsförderung und gebührenfreien Zugang</w:t>
            </w:r>
          </w:p>
        </w:tc>
        <w:tc>
          <w:tcPr>
            <w:tcW w:type="dxa" w:w="2018"/>
            <w:vAlign w:val="center"/>
            <w:tcMar>
              <w:top w:w="80" w:type="dxa"/>
              <w:start w:w="100" w:type="dxa"/>
              <w:bottom w:w="80" w:type="dxa"/>
              <w:end w:w="100" w:type="dxa"/>
            </w:tcMar>
          </w:tcPr>
          <w:p>
            <w:pPr>
              <w:spacing w:after="0" w:before="0"/>
            </w:pPr>
            <w:r>
              <w:rPr>
                <w:rFonts w:ascii="Aptos" w:hAnsi="Aptos"/>
                <w:sz w:val="14"/>
              </w:rPr>
              <w:t>P06, PDF-S. 25; Vertrauen: hoch</w:t>
            </w:r>
          </w:p>
        </w:tc>
      </w:tr>
      <w:tr>
        <w:trPr>
          <w:cantSplit w:val="true"/>
        </w:trPr>
        <w:tc>
          <w:tcPr>
            <w:tcW w:type="dxa" w:w="2018"/>
            <w:vAlign w:val="center"/>
            <w:tcMar>
              <w:top w:w="80" w:type="dxa"/>
              <w:start w:w="100" w:type="dxa"/>
              <w:bottom w:w="80" w:type="dxa"/>
              <w:end w:w="100" w:type="dxa"/>
            </w:tcMar>
          </w:tcPr>
          <w:p>
            <w:pPr>
              <w:spacing w:after="0" w:before="0"/>
            </w:pPr>
            <w:r>
              <w:rPr>
                <w:rFonts w:ascii="Aptos" w:hAnsi="Aptos"/>
                <w:sz w:val="14"/>
              </w:rPr>
              <w:t>FDP</w:t>
            </w:r>
          </w:p>
        </w:tc>
        <w:tc>
          <w:tcPr>
            <w:tcW w:type="dxa" w:w="2018"/>
            <w:shd w:fill="EAF3DE"/>
            <w:vAlign w:val="center"/>
            <w:tcMar>
              <w:top w:w="80" w:type="dxa"/>
              <w:start w:w="100" w:type="dxa"/>
              <w:bottom w:w="80" w:type="dxa"/>
              <w:end w:w="100" w:type="dxa"/>
            </w:tcMar>
          </w:tcPr>
          <w:p>
            <w:pPr>
              <w:spacing w:after="0" w:before="0"/>
            </w:pPr>
            <w:r>
              <w:rPr>
                <w:rFonts w:ascii="Aptos" w:hAnsi="Aptos"/>
                <w:sz w:val="14"/>
              </w:rPr>
              <w:t>+1 +</w:t>
            </w:r>
          </w:p>
        </w:tc>
        <w:tc>
          <w:tcPr>
            <w:tcW w:type="dxa" w:w="2018"/>
            <w:vAlign w:val="center"/>
            <w:tcMar>
              <w:top w:w="80" w:type="dxa"/>
              <w:start w:w="100" w:type="dxa"/>
              <w:bottom w:w="80" w:type="dxa"/>
              <w:end w:w="100" w:type="dxa"/>
            </w:tcMar>
          </w:tcPr>
          <w:p>
            <w:pPr>
              <w:spacing w:after="0" w:before="0"/>
            </w:pPr>
            <w:r>
              <w:rPr>
                <w:rFonts w:ascii="Aptos" w:hAnsi="Aptos"/>
                <w:sz w:val="14"/>
              </w:rPr>
              <w:t>tendenzielle Zustimmung</w:t>
            </w:r>
          </w:p>
        </w:tc>
        <w:tc>
          <w:tcPr>
            <w:tcW w:type="dxa" w:w="2018"/>
            <w:vAlign w:val="center"/>
            <w:tcMar>
              <w:top w:w="80" w:type="dxa"/>
              <w:start w:w="100" w:type="dxa"/>
              <w:bottom w:w="80" w:type="dxa"/>
              <w:end w:w="100" w:type="dxa"/>
            </w:tcMar>
          </w:tcPr>
          <w:p>
            <w:pPr>
              <w:spacing w:after="0" w:before="0"/>
            </w:pPr>
            <w:r>
              <w:rPr>
                <w:rFonts w:ascii="Aptos" w:hAnsi="Aptos"/>
                <w:sz w:val="14"/>
              </w:rPr>
              <w:t>will elternunabhängigeres BAföG und flexible Finanzierung, stärker auch Darlehen</w:t>
            </w:r>
          </w:p>
        </w:tc>
        <w:tc>
          <w:tcPr>
            <w:tcW w:type="dxa" w:w="2018"/>
            <w:vAlign w:val="center"/>
            <w:tcMar>
              <w:top w:w="80" w:type="dxa"/>
              <w:start w:w="100" w:type="dxa"/>
              <w:bottom w:w="80" w:type="dxa"/>
              <w:end w:w="100" w:type="dxa"/>
            </w:tcMar>
          </w:tcPr>
          <w:p>
            <w:pPr>
              <w:spacing w:after="0" w:before="0"/>
            </w:pPr>
            <w:r>
              <w:rPr>
                <w:rFonts w:ascii="Aptos" w:hAnsi="Aptos"/>
                <w:sz w:val="14"/>
              </w:rPr>
              <w:t>P07, PDF-S. 10; Vertrauen: mittel</w:t>
            </w:r>
          </w:p>
        </w:tc>
      </w:tr>
    </w:tbl>
    <w:p>
      <w:pPr>
        <w:spacing w:after="80"/>
      </w:pPr>
      <w:r>
        <w:t>Hinweis: Die Zuordnung beschreibt Nähe zur exakt formulierten Option. Ein Wert 0 bedeutet nicht automatisch politische Neutralität, sondern häufig eine gemischte oder nicht hinreichend belegte Position.</w:t>
      </w:r>
    </w:p>
    <w:p>
      <w:pPr>
        <w:pStyle w:val="Heading3"/>
        <w:spacing w:after="80"/>
        <w:keepNext/>
      </w:pPr>
      <w:r>
        <w:t>Unabhängige wirkungsökonomische Einordnung der Option</w:t>
      </w:r>
    </w:p>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Wirkungspfad</w:t>
            </w:r>
          </w:p>
        </w:tc>
        <w:tc>
          <w:tcPr>
            <w:tcW w:type="dxa" w:w="5046"/>
            <w:vAlign w:val="center"/>
            <w:tcMar>
              <w:top w:w="80" w:type="dxa"/>
              <w:start w:w="100" w:type="dxa"/>
              <w:bottom w:w="80" w:type="dxa"/>
              <w:end w:w="100" w:type="dxa"/>
            </w:tcMar>
          </w:tcPr>
          <w:p>
            <w:pPr>
              <w:spacing w:after="0" w:before="0"/>
            </w:pPr>
            <w:r>
              <w:rPr>
                <w:rFonts w:ascii="Aptos" w:hAnsi="Aptos"/>
                <w:sz w:val="17"/>
              </w:rPr>
              <w:t>finanzielle Zugangsbarrieren sinken → mehr Menschen können Ausbildung aufnehmen oder abschließen → Verschuldungsangst sinkt → öffentliche Ausgaben steigen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Zeitwirkung</w:t>
            </w:r>
          </w:p>
        </w:tc>
        <w:tc>
          <w:tcPr>
            <w:tcW w:type="dxa" w:w="5046"/>
            <w:vAlign w:val="center"/>
            <w:tcMar>
              <w:top w:w="80" w:type="dxa"/>
              <w:start w:w="100" w:type="dxa"/>
              <w:bottom w:w="80" w:type="dxa"/>
              <w:end w:w="100" w:type="dxa"/>
            </w:tcMar>
          </w:tcPr>
          <w:p>
            <w:pPr>
              <w:spacing w:after="0" w:before="0"/>
            </w:pPr>
            <w:r>
              <w:rPr>
                <w:rFonts w:ascii="Aptos" w:hAnsi="Aptos"/>
                <w:sz w:val="17"/>
              </w:rPr>
              <w:t>Liquiditäts- und Zugangsfolgen treten schnell ein; Bildungs-, Einkommens- und Innovationswirkungen langfristig.</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Betroffene Gruppen</w:t>
            </w:r>
          </w:p>
        </w:tc>
        <w:tc>
          <w:tcPr>
            <w:tcW w:type="dxa" w:w="5046"/>
            <w:vAlign w:val="center"/>
            <w:tcMar>
              <w:top w:w="80" w:type="dxa"/>
              <w:start w:w="100" w:type="dxa"/>
              <w:bottom w:w="80" w:type="dxa"/>
              <w:end w:w="100" w:type="dxa"/>
            </w:tcMar>
          </w:tcPr>
          <w:p>
            <w:pPr>
              <w:spacing w:after="0" w:before="0"/>
            </w:pPr>
            <w:r>
              <w:rPr>
                <w:rFonts w:ascii="Aptos" w:hAnsi="Aptos"/>
                <w:sz w:val="17"/>
              </w:rPr>
              <w:t>Studierende, Auszubildende, Familien, Hochschulen, Betriebe und öffentliche Haushalte.</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Evidenzgrad</w:t>
            </w:r>
          </w:p>
        </w:tc>
        <w:tc>
          <w:tcPr>
            <w:tcW w:type="dxa" w:w="5046"/>
            <w:vAlign w:val="center"/>
            <w:tcMar>
              <w:top w:w="80" w:type="dxa"/>
              <w:start w:w="100" w:type="dxa"/>
              <w:bottom w:w="80" w:type="dxa"/>
              <w:end w:w="100" w:type="dxa"/>
            </w:tcMar>
          </w:tcPr>
          <w:p>
            <w:pPr>
              <w:spacing w:after="0" w:before="0"/>
            </w:pPr>
            <w:r>
              <w:rPr>
                <w:rFonts w:ascii="Aptos" w:hAnsi="Aptos"/>
                <w:sz w:val="17"/>
              </w:rPr>
              <w:t>hoch</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Zentrale Unsicherheit</w:t>
            </w:r>
          </w:p>
        </w:tc>
        <w:tc>
          <w:tcPr>
            <w:tcW w:type="dxa" w:w="5046"/>
            <w:vAlign w:val="center"/>
            <w:tcMar>
              <w:top w:w="80" w:type="dxa"/>
              <w:start w:w="100" w:type="dxa"/>
              <w:bottom w:w="80" w:type="dxa"/>
              <w:end w:w="100" w:type="dxa"/>
            </w:tcMar>
          </w:tcPr>
          <w:p>
            <w:pPr>
              <w:spacing w:after="0" w:before="0"/>
            </w:pPr>
            <w:r>
              <w:rPr>
                <w:rFonts w:ascii="Aptos" w:hAnsi="Aptos"/>
                <w:sz w:val="17"/>
              </w:rPr>
              <w:t>mittel: Zugangs-, Abschluss- und Kapazitätseffekte hängen von Ausgestaltung und Wohnungsmarkt ab.</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Wirkungsgrenzen</w:t>
            </w:r>
          </w:p>
        </w:tc>
        <w:tc>
          <w:tcPr>
            <w:tcW w:type="dxa" w:w="5046"/>
            <w:vAlign w:val="center"/>
            <w:tcMar>
              <w:top w:w="80" w:type="dxa"/>
              <w:start w:w="100" w:type="dxa"/>
              <w:bottom w:w="80" w:type="dxa"/>
              <w:end w:w="100" w:type="dxa"/>
            </w:tcMar>
          </w:tcPr>
          <w:p>
            <w:pPr>
              <w:spacing w:after="0" w:before="0"/>
            </w:pPr>
            <w:r>
              <w:rPr>
                <w:rFonts w:ascii="Aptos" w:hAnsi="Aptos"/>
                <w:sz w:val="17"/>
              </w:rPr>
              <w:t>Diskriminierungsfreier Zugang und angemessene Existenzsicherung während der Ausbildung sind Mindestbedingungen.</w:t>
            </w:r>
          </w:p>
        </w:tc>
      </w:tr>
      <w:tr>
        <w:trPr>
          <w:cantSplit w:val="true"/>
        </w:trPr>
        <w:tc>
          <w:tcPr>
            <w:tcW w:type="dxa" w:w="5046"/>
            <w:shd w:fill="DDEBE6"/>
            <w:vAlign w:val="center"/>
            <w:tcMar>
              <w:top w:w="80" w:type="dxa"/>
              <w:start w:w="100" w:type="dxa"/>
              <w:bottom w:w="80" w:type="dxa"/>
              <w:end w:w="100" w:type="dxa"/>
            </w:tcMar>
          </w:tcPr>
          <w:p>
            <w:pPr>
              <w:spacing w:after="0" w:before="0"/>
            </w:pPr>
            <w:r>
              <w:rPr>
                <w:rFonts w:ascii="Aptos" w:hAnsi="Aptos"/>
                <w:b/>
                <w:color w:val="173B33"/>
                <w:sz w:val="17"/>
              </w:rPr>
              <w:t>Evidenzquellen</w:t>
            </w:r>
          </w:p>
        </w:tc>
        <w:tc>
          <w:tcPr>
            <w:tcW w:type="dxa" w:w="5046"/>
            <w:vAlign w:val="center"/>
            <w:tcMar>
              <w:top w:w="80" w:type="dxa"/>
              <w:start w:w="100" w:type="dxa"/>
              <w:bottom w:w="80" w:type="dxa"/>
              <w:end w:w="100" w:type="dxa"/>
            </w:tcMar>
          </w:tcPr>
          <w:p>
            <w:pPr>
              <w:spacing w:after="0" w:before="0"/>
            </w:pPr>
            <w:r>
              <w:rPr>
                <w:rFonts w:ascii="Aptos" w:hAnsi="Aptos"/>
                <w:sz w:val="17"/>
              </w:rPr>
              <w:t>E27</w:t>
            </w:r>
          </w:p>
        </w:tc>
      </w:tr>
    </w:tbl>
    <w:tbl>
      <w:tblPr>
        <w:tblStyle w:val="TableGrid"/>
        <w:tblW w:type="auto" w:w="0"/>
        <w:jc w:val="center"/>
        <w:tblLook w:firstColumn="1" w:firstRow="1" w:lastColumn="0" w:lastRow="0" w:noHBand="0" w:noVBand="1" w:val="04A0"/>
      </w:tblPr>
      <w:tblGrid>
        <w:gridCol w:w="5046"/>
        <w:gridCol w:w="5046"/>
      </w:tblGrid>
      <w:tr>
        <w:trPr>
          <w:cantSplit w:val="true"/>
        </w:trPr>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Positive Wirkungspotenziale</w:t>
            </w:r>
          </w:p>
        </w:tc>
        <w:tc>
          <w:tcPr>
            <w:tcW w:type="dxa" w:w="5046"/>
            <w:shd w:fill="173B33"/>
            <w:vAlign w:val="center"/>
            <w:tcMar>
              <w:top w:w="80" w:type="dxa"/>
              <w:start w:w="100" w:type="dxa"/>
              <w:bottom w:w="80" w:type="dxa"/>
              <w:end w:w="100" w:type="dxa"/>
            </w:tcMar>
          </w:tcPr>
          <w:p>
            <w:pPr>
              <w:spacing w:after="0" w:before="0"/>
            </w:pPr>
            <w:r>
              <w:rPr>
                <w:rFonts w:ascii="Aptos" w:hAnsi="Aptos"/>
                <w:b/>
                <w:color w:val="FFFFFF"/>
                <w:sz w:val="16"/>
              </w:rPr>
              <w:t>Risiken, Nebenwirkungen und Zielkonflikte</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mehr Bildungsteilhabe und Fachkräfte</w:t>
            </w:r>
          </w:p>
        </w:tc>
        <w:tc>
          <w:tcPr>
            <w:tcW w:type="dxa" w:w="5046"/>
            <w:vAlign w:val="center"/>
            <w:tcMar>
              <w:top w:w="80" w:type="dxa"/>
              <w:start w:w="100" w:type="dxa"/>
              <w:bottom w:w="80" w:type="dxa"/>
              <w:end w:w="100" w:type="dxa"/>
            </w:tcMar>
          </w:tcPr>
          <w:p>
            <w:pPr>
              <w:spacing w:after="0" w:before="0"/>
            </w:pPr>
            <w:r>
              <w:rPr>
                <w:rFonts w:ascii="Aptos" w:hAnsi="Aptos"/>
                <w:sz w:val="16"/>
              </w:rPr>
              <w:t>• Mitnahmeeffekte bei breiter Förderung</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geringere Herkunftsabhängigkeit</w:t>
            </w:r>
          </w:p>
        </w:tc>
        <w:tc>
          <w:tcPr>
            <w:tcW w:type="dxa" w:w="5046"/>
            <w:vAlign w:val="center"/>
            <w:tcMar>
              <w:top w:w="80" w:type="dxa"/>
              <w:start w:w="100" w:type="dxa"/>
              <w:bottom w:w="80" w:type="dxa"/>
              <w:end w:w="100" w:type="dxa"/>
            </w:tcMar>
          </w:tcPr>
          <w:p>
            <w:pPr>
              <w:spacing w:after="0" w:before="0"/>
            </w:pPr>
            <w:r>
              <w:rPr>
                <w:rFonts w:ascii="Aptos" w:hAnsi="Aptos"/>
                <w:sz w:val="16"/>
              </w:rPr>
              <w:t>• Kosten ohne Kapazitätsausbau</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mehr Freiheit bei Bildungswahl</w:t>
            </w:r>
          </w:p>
        </w:tc>
        <w:tc>
          <w:tcPr>
            <w:tcW w:type="dxa" w:w="5046"/>
            <w:vAlign w:val="center"/>
            <w:tcMar>
              <w:top w:w="80" w:type="dxa"/>
              <w:start w:w="100" w:type="dxa"/>
              <w:bottom w:w="80" w:type="dxa"/>
              <w:end w:w="100" w:type="dxa"/>
            </w:tcMar>
          </w:tcPr>
          <w:p>
            <w:pPr>
              <w:spacing w:after="0" w:before="0"/>
            </w:pPr>
            <w:r>
              <w:rPr>
                <w:rFonts w:ascii="Aptos" w:hAnsi="Aptos"/>
                <w:sz w:val="16"/>
              </w:rPr>
              <w:t>• Preise für Wohnraum können teilweise mitsteigen</w:t>
            </w:r>
          </w:p>
        </w:tc>
      </w:tr>
      <w:tr>
        <w:trPr>
          <w:cantSplit w:val="true"/>
        </w:trPr>
        <w:tc>
          <w:tcPr>
            <w:tcW w:type="dxa" w:w="5046"/>
            <w:vAlign w:val="center"/>
            <w:tcMar>
              <w:top w:w="80" w:type="dxa"/>
              <w:start w:w="100" w:type="dxa"/>
              <w:bottom w:w="80" w:type="dxa"/>
              <w:end w:w="100" w:type="dxa"/>
            </w:tcMar>
          </w:tcPr>
          <w:p>
            <w:pPr>
              <w:spacing w:after="0" w:before="0"/>
            </w:pPr>
            <w:r>
              <w:rPr>
                <w:rFonts w:ascii="Aptos" w:hAnsi="Aptos"/>
                <w:sz w:val="16"/>
              </w:rPr>
              <w:t>• langfristig höhere Steuer- und Innovationsbasis</w:t>
            </w:r>
          </w:p>
        </w:tc>
        <w:tc>
          <w:tcPr>
            <w:tcW w:type="dxa" w:w="5046"/>
            <w:vAlign w:val="center"/>
            <w:tcMar>
              <w:top w:w="80" w:type="dxa"/>
              <w:start w:w="100" w:type="dxa"/>
              <w:bottom w:w="80" w:type="dxa"/>
              <w:end w:w="100" w:type="dxa"/>
            </w:tcMar>
          </w:tcPr>
          <w:p>
            <w:pPr>
              <w:spacing w:after="0" w:before="0"/>
            </w:pPr>
            <w:r>
              <w:rPr>
                <w:rFonts w:ascii="Aptos" w:hAnsi="Aptos"/>
                <w:sz w:val="16"/>
              </w:rPr>
              <w:t>• Fehlanreize bei sehr langen Studienzeiten</w:t>
            </w:r>
          </w:p>
        </w:tc>
      </w:tr>
    </w:tbl>
    <w:p>
      <w:pPr>
        <w:pStyle w:val="Heading3"/>
        <w:spacing w:after="80"/>
        <w:keepNext/>
      </w:pPr>
      <w:r>
        <w:t>Modelliertes Wirkungsprofil der Option</w:t>
      </w:r>
    </w:p>
    <w:tbl>
      <w:tblPr>
        <w:tblStyle w:val="TableGrid"/>
        <w:tblW w:type="auto" w:w="0"/>
        <w:jc w:val="center"/>
        <w:tblLook w:firstColumn="1" w:firstRow="1" w:lastColumn="0" w:lastRow="0" w:noHBand="0" w:noVBand="1" w:val="04A0"/>
      </w:tblPr>
      <w:tblGrid>
        <w:gridCol w:w="3364"/>
        <w:gridCol w:w="3364"/>
        <w:gridCol w:w="3364"/>
      </w:tblGrid>
      <w:tr>
        <w:trPr>
          <w:cantSplit w:val="true"/>
          <w:tblHeader w:val="true"/>
        </w:trPr>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Dimension</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Bandbreite</w:t>
            </w:r>
          </w:p>
        </w:tc>
        <w:tc>
          <w:tcPr>
            <w:tcW w:type="dxa" w:w="3364"/>
            <w:vAlign w:val="center"/>
            <w:tcMar>
              <w:top w:w="80" w:type="dxa"/>
              <w:start w:w="100" w:type="dxa"/>
              <w:bottom w:w="80" w:type="dxa"/>
              <w:end w:w="100" w:type="dxa"/>
            </w:tcMar>
            <w:shd w:fill="173B33"/>
          </w:tcPr>
          <w:p>
            <w:pPr>
              <w:spacing w:after="0" w:before="0"/>
            </w:pPr>
            <w:r>
              <w:rPr>
                <w:rFonts w:ascii="Aptos" w:hAnsi="Aptos"/>
                <w:b/>
                <w:color w:val="FFFFFF"/>
                <w:sz w:val="16"/>
              </w:rPr>
              <w:t>Lesart</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Gesundheit, Bildung &amp; Teilhabe</w:t>
            </w:r>
          </w:p>
        </w:tc>
        <w:tc>
          <w:tcPr>
            <w:tcW w:type="dxa" w:w="3364"/>
            <w:vAlign w:val="center"/>
            <w:tcMar>
              <w:top w:w="80" w:type="dxa"/>
              <w:start w:w="100" w:type="dxa"/>
              <w:bottom w:w="80" w:type="dxa"/>
              <w:end w:w="100" w:type="dxa"/>
            </w:tcMar>
          </w:tcPr>
          <w:p>
            <w:pPr>
              <w:spacing w:after="0" w:before="0"/>
            </w:pPr>
            <w:r>
              <w:rPr>
                <w:rFonts w:ascii="Aptos" w:hAnsi="Aptos"/>
                <w:sz w:val="16"/>
              </w:rPr>
              <w:t>+2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Soziale Sicherheit &amp; Fairness</w:t>
            </w:r>
          </w:p>
        </w:tc>
        <w:tc>
          <w:tcPr>
            <w:tcW w:type="dxa" w:w="3364"/>
            <w:vAlign w:val="center"/>
            <w:tcMar>
              <w:top w:w="80" w:type="dxa"/>
              <w:start w:w="100" w:type="dxa"/>
              <w:bottom w:w="80" w:type="dxa"/>
              <w:end w:w="100" w:type="dxa"/>
            </w:tcMar>
          </w:tcPr>
          <w:p>
            <w:pPr>
              <w:spacing w:after="0" w:before="0"/>
            </w:pPr>
            <w:r>
              <w:rPr>
                <w:rFonts w:ascii="Aptos" w:hAnsi="Aptos"/>
                <w:sz w:val="16"/>
              </w:rPr>
              <w:t>+1 bis +2</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Freiheit &amp; Selbstbestimmung</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r>
        <w:trPr>
          <w:cantSplit w:val="true"/>
        </w:trPr>
        <w:tc>
          <w:tcPr>
            <w:tcW w:type="dxa" w:w="3364"/>
            <w:vAlign w:val="center"/>
            <w:tcMar>
              <w:top w:w="80" w:type="dxa"/>
              <w:start w:w="100" w:type="dxa"/>
              <w:bottom w:w="80" w:type="dxa"/>
              <w:end w:w="100" w:type="dxa"/>
            </w:tcMar>
          </w:tcPr>
          <w:p>
            <w:pPr>
              <w:spacing w:after="0" w:before="0"/>
            </w:pPr>
            <w:r>
              <w:rPr>
                <w:rFonts w:ascii="Aptos" w:hAnsi="Aptos"/>
                <w:sz w:val="16"/>
              </w:rPr>
              <w:t>Resilienz &amp; Generationengerechtigkeit</w:t>
            </w:r>
          </w:p>
        </w:tc>
        <w:tc>
          <w:tcPr>
            <w:tcW w:type="dxa" w:w="3364"/>
            <w:vAlign w:val="center"/>
            <w:tcMar>
              <w:top w:w="80" w:type="dxa"/>
              <w:start w:w="100" w:type="dxa"/>
              <w:bottom w:w="80" w:type="dxa"/>
              <w:end w:w="100" w:type="dxa"/>
            </w:tcMar>
          </w:tcPr>
          <w:p>
            <w:pPr>
              <w:spacing w:after="0" w:before="0"/>
            </w:pPr>
            <w:r>
              <w:rPr>
                <w:rFonts w:ascii="Aptos" w:hAnsi="Aptos"/>
                <w:sz w:val="16"/>
              </w:rPr>
              <w:t>+1</w:t>
            </w:r>
          </w:p>
        </w:tc>
        <w:tc>
          <w:tcPr>
            <w:tcW w:type="dxa" w:w="3364"/>
            <w:vAlign w:val="center"/>
            <w:tcMar>
              <w:top w:w="80" w:type="dxa"/>
              <w:start w:w="100" w:type="dxa"/>
              <w:bottom w:w="80" w:type="dxa"/>
              <w:end w:w="100" w:type="dxa"/>
            </w:tcMar>
          </w:tcPr>
          <w:p>
            <w:pPr>
              <w:spacing w:after="0" w:before="0"/>
            </w:pPr>
            <w:r>
              <w:rPr>
                <w:rFonts w:ascii="Aptos" w:hAnsi="Aptos"/>
                <w:sz w:val="16"/>
              </w:rPr>
              <w:t>modelliertes Wirkungspotenzial; keine bereits nachgewiesene Gesamtwirkung</w:t>
            </w:r>
          </w:p>
        </w:tc>
      </w:tr>
    </w:tbl>
    <w:p>
      <w:pPr>
        <w:spacing w:after="40"/>
      </w:pPr>
      <w:r>
        <w:t>Mögliche Indikatoren: BAföG-Reichweite und Bedarfssatz · Verschuldung · Studien-/Ausbildungsabbrüche · soziale Herkunft · Bearbeitungsdauer · Abschluss- und Erwerbsverläufe</w:t>
      </w:r>
    </w:p>
    <w:p>
      <w:pPr>
        <w:pStyle w:val="Heading3"/>
        <w:spacing w:after="80"/>
        <w:keepNext/>
      </w:pPr>
      <w:r>
        <w:t>Neutrale Ergebnis-Microcopy</w:t>
      </w:r>
    </w:p>
    <w:p>
      <w:pPr>
        <w:pStyle w:val="ListBullet"/>
        <w:spacing w:after="20" w:before="0"/>
      </w:pPr>
      <w:r>
        <w:t>„Bei BAföG stärken und erste Ausbildung gebührenfrei halten besteht eine {hohe/mittlere/geringe} positionale Nähe.“</w:t>
      </w:r>
    </w:p>
    <w:p>
      <w:pPr>
        <w:pStyle w:val="ListBullet"/>
        <w:spacing w:after="20" w:before="0"/>
      </w:pPr>
      <w:r>
        <w:t>„Die Option BAföG stärken und erste Ausbildung gebührenfrei halten weist vor allem in den Dimensionen Gesundheit, Bildung &amp; Teilhabe, Soziale Sicherheit &amp; Fairness Wirkungspotenzial auf.“</w:t>
      </w:r>
    </w:p>
    <w:p>
      <w:pPr>
        <w:pStyle w:val="ListBullet"/>
        <w:spacing w:after="20" w:before="0"/>
      </w:pPr>
      <w:r>
        <w:t>„Die Einordnung ist mit {niedriger/mittlerer/hoher} Unsicherheit verbunden. Entscheidend ist die konkrete Ausgestaltung.“</w:t>
      </w:r>
    </w:p>
    <w:p>
      <w:pPr>
        <w:spacing w:after="20"/>
      </w:pPr>
    </w:p>
    <w:p>
      <w:pPr>
        <w:pStyle w:val="Heading1"/>
        <w:spacing w:after="80"/>
        <w:keepNext/>
        <w:pageBreakBefore w:val="true"/>
      </w:pPr>
      <w:r>
        <w:t>J. Übergreifende Wirkungsgrenzen</w:t>
      </w:r>
    </w:p>
    <w:p>
      <w:pPr>
        <w:spacing w:after="80"/>
      </w:pPr>
      <w:r>
        <w:t>Die folgenden Mindestbedingungen sind keine gewöhnlichen Präferenzen. Sie werden für alle Parteien und politischen Optionen nach denselben Regeln geprüft und nicht mit positiven Werten in anderen Feldern verrechnet.</w:t>
      </w:r>
    </w:p>
    <w:p>
      <w:pPr>
        <w:pStyle w:val="ListBullet"/>
        <w:spacing w:after="20" w:before="0"/>
      </w:pPr>
      <w:r>
        <w:t>Menschenwürde, Schutz vor Folter, Gewalt und willkürlicher Behandlung</w:t>
      </w:r>
    </w:p>
    <w:p>
      <w:pPr>
        <w:pStyle w:val="ListBullet"/>
        <w:spacing w:after="20" w:before="0"/>
      </w:pPr>
      <w:r>
        <w:t>individuelle Grund- und Menschenrechte sowie effektiver Rechtsschutz</w:t>
      </w:r>
    </w:p>
    <w:p>
      <w:pPr>
        <w:pStyle w:val="ListBullet"/>
        <w:spacing w:after="20" w:before="0"/>
      </w:pPr>
      <w:r>
        <w:t>freie, gleiche und faire Wahlen; Gewaltenteilung und unabhängige Gerichte</w:t>
      </w:r>
    </w:p>
    <w:p>
      <w:pPr>
        <w:pStyle w:val="ListBullet"/>
        <w:spacing w:after="20" w:before="0"/>
      </w:pPr>
      <w:r>
        <w:t>Medienfreiheit, wissenschaftliche Freiheit und Schutz vor staatlicher Propaganda</w:t>
      </w:r>
    </w:p>
    <w:p>
      <w:pPr>
        <w:pStyle w:val="ListBullet"/>
        <w:spacing w:after="20" w:before="0"/>
      </w:pPr>
      <w:r>
        <w:t>Non-Refoulement und individuelle Schutzprüfung</w:t>
      </w:r>
    </w:p>
    <w:p>
      <w:pPr>
        <w:pStyle w:val="ListBullet"/>
        <w:spacing w:after="20" w:before="0"/>
      </w:pPr>
      <w:r>
        <w:t>Kinderrechte, Verbot von Kinder- und Zwangsarbeit</w:t>
      </w:r>
    </w:p>
    <w:p>
      <w:pPr>
        <w:pStyle w:val="ListBullet"/>
        <w:spacing w:after="20" w:before="0"/>
      </w:pPr>
      <w:r>
        <w:t>irreversible ökologische Schäden und Überschreitung kritischer Systemschwellen</w:t>
      </w:r>
    </w:p>
    <w:p>
      <w:pPr>
        <w:pStyle w:val="ListBullet"/>
        <w:spacing w:after="20" w:before="0"/>
      </w:pPr>
      <w:r>
        <w:t>erhebliche Gesundheits- und Sicherheitsrisiken</w:t>
      </w:r>
    </w:p>
    <w:p>
      <w:pPr>
        <w:pStyle w:val="ListBullet"/>
        <w:spacing w:after="20" w:before="0"/>
      </w:pPr>
      <w:r>
        <w:t>systematische Korruption, verdeckte Einflussnahme oder institutionelle Unterwanderung</w:t>
      </w:r>
    </w:p>
    <w:p>
      <w:pPr>
        <w:pStyle w:val="Heading2"/>
        <w:spacing w:after="80"/>
        <w:keepNext/>
      </w:pPr>
      <w:r>
        <w:t>Darstellungsregel</w:t>
      </w:r>
    </w:p>
    <w:p>
      <w:pPr>
        <w:spacing w:after="80"/>
      </w:pPr>
      <w:r>
        <w:t>Die Anwendung darf beispielsweise anzeigen: „In einzelnen Sachfragen besteht positionale Nähe. Gleichzeitig berührt die programmatische Option eine demokratische Mindestbedingung. Dieser Befund wird nicht mit anderen Übereinstimmungen verrechnet.“ Sie darf daraus dennoch keine automatische Wahlempfehlung ableiten.</w:t>
      </w:r>
    </w:p>
    <w:p>
      <w:pPr>
        <w:pStyle w:val="Heading1"/>
        <w:spacing w:after="80"/>
        <w:keepNext/>
      </w:pPr>
      <w:r>
        <w:t>K. Ergebnis- und Transparenztexte</w:t>
      </w:r>
    </w:p>
    <w:p>
      <w:pPr>
        <w:pStyle w:val="Heading2"/>
        <w:spacing w:after="80"/>
        <w:keepNext/>
      </w:pPr>
      <w:r>
        <w:t>K.1 Onboarding</w:t>
      </w:r>
    </w:p>
    <w:p>
      <w:pPr>
        <w:pStyle w:val="ListBullet"/>
        <w:spacing w:after="20" w:before="0"/>
      </w:pPr>
      <w:r>
        <w:t>„Der Wirkungswahl-Kompass sagt dir nicht, welche Partei du wählen sollst.“</w:t>
      </w:r>
    </w:p>
    <w:p>
      <w:pPr>
        <w:pStyle w:val="ListBullet"/>
        <w:spacing w:after="20" w:before="0"/>
      </w:pPr>
      <w:r>
        <w:t>„Er trennt drei Dinge: deine Position, die Position der Parteien und das erwartete Wirkungspotenzial politischer Optionen.“</w:t>
      </w:r>
    </w:p>
    <w:p>
      <w:pPr>
        <w:pStyle w:val="ListBullet"/>
        <w:spacing w:after="20" w:before="0"/>
      </w:pPr>
      <w:r>
        <w:t>„Parteien werden nicht als Ganzes bewertet. Gleichartige Vorschläge erhalten dieselbe Einordnung – unabhängig vom Absender.“</w:t>
      </w:r>
    </w:p>
    <w:p>
      <w:pPr>
        <w:pStyle w:val="ListBullet"/>
        <w:spacing w:after="20" w:before="0"/>
      </w:pPr>
      <w:r>
        <w:t>„Unsichere oder nicht belegte Positionen werden nicht erraten.“</w:t>
      </w:r>
    </w:p>
    <w:p>
      <w:pPr>
        <w:pStyle w:val="ListBullet"/>
        <w:spacing w:after="20" w:before="0"/>
      </w:pPr>
      <w:r>
        <w:t>„Deine Antworten bleiben standardmäßig lokal in deinem Browser.“</w:t>
      </w:r>
    </w:p>
    <w:p>
      <w:pPr>
        <w:pStyle w:val="Heading2"/>
        <w:spacing w:after="80"/>
        <w:keepNext/>
      </w:pPr>
      <w:r>
        <w:t>K.2 Ergebnisübersicht</w:t>
      </w:r>
    </w:p>
    <w:p>
      <w:pPr>
        <w:pStyle w:val="ListBullet"/>
        <w:spacing w:after="20" w:before="0"/>
      </w:pPr>
      <w:r>
        <w:t>„Das sind deine wichtigsten Wirkungsfelder.“</w:t>
      </w:r>
    </w:p>
    <w:p>
      <w:pPr>
        <w:pStyle w:val="ListBullet"/>
        <w:spacing w:after="20" w:before="0"/>
      </w:pPr>
      <w:r>
        <w:t>„Hier liegen deine Positionen und die Programmaussagen der Parteien nah beieinander.“</w:t>
      </w:r>
    </w:p>
    <w:p>
      <w:pPr>
        <w:pStyle w:val="ListBullet"/>
        <w:spacing w:after="20" w:before="0"/>
      </w:pPr>
      <w:r>
        <w:t>„Hier gibt es deutliche Unterschiede – teilweise wegen anderer Ziele, teilweise wegen anderer Instrumente.“</w:t>
      </w:r>
    </w:p>
    <w:p>
      <w:pPr>
        <w:pStyle w:val="ListBullet"/>
        <w:spacing w:after="20" w:before="0"/>
      </w:pPr>
      <w:r>
        <w:t>„Positionale Nähe ist keine Aussage darüber, ob eine Maßnahme wirkt.“</w:t>
      </w:r>
    </w:p>
    <w:p>
      <w:pPr>
        <w:pStyle w:val="ListBullet"/>
        <w:spacing w:after="20" w:before="0"/>
      </w:pPr>
      <w:r>
        <w:t>„Die Wirkungsanalyse zeigt Chancen, Risiken, Zeitwirkungen und Unsicherheit der politischen Option.“</w:t>
      </w:r>
    </w:p>
    <w:p>
      <w:pPr>
        <w:pStyle w:val="Heading2"/>
        <w:spacing w:after="80"/>
        <w:keepNext/>
      </w:pPr>
      <w:r>
        <w:t>K.3 Quellen- und Fehlerhinweis</w:t>
      </w:r>
    </w:p>
    <w:p>
      <w:pPr>
        <w:pStyle w:val="ListBullet"/>
        <w:spacing w:after="20" w:before="0"/>
      </w:pPr>
      <w:r>
        <w:t>„Programmbasis: offizielle Bundestagswahlprogramme 2025. Datenstichtag: 4. August 2026.“</w:t>
      </w:r>
    </w:p>
    <w:p>
      <w:pPr>
        <w:pStyle w:val="ListBullet"/>
        <w:spacing w:after="20" w:before="0"/>
      </w:pPr>
      <w:r>
        <w:t>„Eine Partei kann eine Zuordnung beanstanden und eine offizielle Quelle nachreichen. Änderungen werden versioniert veröffentlicht.“</w:t>
      </w:r>
    </w:p>
    <w:p>
      <w:pPr>
        <w:pStyle w:val="ListBullet"/>
        <w:spacing w:after="20" w:before="0"/>
      </w:pPr>
      <w:r>
        <w:t>„Keine eindeutige Fundstelle bedeutet: nicht hinreichend belegt – nicht automatisch Zustimmung oder Ablehnung.“</w:t>
      </w:r>
    </w:p>
    <w:p>
      <w:pPr>
        <w:pStyle w:val="Heading1"/>
        <w:spacing w:after="80"/>
        <w:keepNext/>
      </w:pPr>
      <w:r>
        <w:t>L. Datenvertrag für Claude und CodeX</w:t>
      </w:r>
    </w:p>
    <w:p>
      <w:pPr>
        <w:spacing w:after="80"/>
      </w:pPr>
      <w:r>
        <w:t>Jeder Frage-Datensatz muss mindestens die folgenden Felder enthalten. Die Darstellung darf keine zusätzliche, redaktionell nicht freigegebene Kennzahl erzeugen.</w:t>
      </w:r>
    </w:p>
    <w:p>
      <w:pPr>
        <w:pStyle w:val="NoSpacing"/>
      </w:pPr>
      <w:r>
        <w:rPr>
          <w:rFonts w:ascii="Aptos Mono" w:hAnsi="Aptos Mono"/>
          <w:sz w:val="15"/>
        </w:rPr>
        <w:t>{</w:t>
        <w:br/>
        <w:t xml:space="preserve">  "id": "Q01",</w:t>
        <w:br/>
        <w:t xml:space="preserve">  "topic": "Klima, Energie &amp; Ressourcen",</w:t>
        <w:br/>
        <w:t xml:space="preserve">  "thesis": "...",</w:t>
        <w:br/>
        <w:t xml:space="preserve">  "explanation": "...",</w:t>
        <w:br/>
        <w:t xml:space="preserve">  "answer_scale": [-2, -1, 0, 1, 2],</w:t>
        <w:br/>
        <w:t xml:space="preserve">  "importance_scale": [0, 1, 2, 3],</w:t>
        <w:br/>
        <w:t xml:space="preserve">  "party_positions": [</w:t>
        <w:br/>
        <w:t xml:space="preserve">    {"party_id":"cdu_csu","stance":2,"confidence":"high","source_id":"P01","pdf_page":23}</w:t>
        <w:br/>
        <w:t xml:space="preserve">  ],</w:t>
        <w:br/>
        <w:t xml:space="preserve">  "impact_assessment": {</w:t>
        <w:br/>
        <w:t xml:space="preserve">    "status":"modelled_potential",</w:t>
        <w:br/>
        <w:t xml:space="preserve">    "effect_path":["..."],</w:t>
        <w:br/>
        <w:t xml:space="preserve">    "bands":{"CLI":[2,3],"RSL":[2,3]},</w:t>
        <w:br/>
        <w:t xml:space="preserve">    "positive_potentials":["..."],</w:t>
        <w:br/>
        <w:t xml:space="preserve">    "risks":["..."],</w:t>
        <w:br/>
        <w:t xml:space="preserve">    "uncertainty":"medium",</w:t>
        <w:br/>
        <w:t xml:space="preserve">    "red_lines":["..."],</w:t>
        <w:br/>
        <w:t xml:space="preserve">    "evidence_ids":["E01","E02"]</w:t>
        <w:br/>
        <w:t xml:space="preserve">  }</w:t>
        <w:br/>
        <w:t>}</w:t>
      </w:r>
    </w:p>
    <w:p>
      <w:pPr>
        <w:pStyle w:val="Heading2"/>
        <w:spacing w:after="80"/>
        <w:keepNext/>
      </w:pPr>
      <w:r>
        <w:t>Verbotene berechnete Felder</w:t>
      </w:r>
    </w:p>
    <w:p>
      <w:pPr>
        <w:pStyle w:val="ListBullet"/>
        <w:spacing w:after="20" w:before="0"/>
      </w:pPr>
      <w:r>
        <w:t>party_total_impact_score</w:t>
      </w:r>
    </w:p>
    <w:p>
      <w:pPr>
        <w:pStyle w:val="ListBullet"/>
        <w:spacing w:after="20" w:before="0"/>
      </w:pPr>
      <w:r>
        <w:t>recommended_party</w:t>
      </w:r>
    </w:p>
    <w:p>
      <w:pPr>
        <w:pStyle w:val="ListBullet"/>
        <w:spacing w:after="20" w:before="0"/>
      </w:pPr>
      <w:r>
        <w:t>winner</w:t>
      </w:r>
    </w:p>
    <w:p>
      <w:pPr>
        <w:pStyle w:val="ListBullet"/>
        <w:spacing w:after="20" w:before="0"/>
      </w:pPr>
      <w:r>
        <w:t>overall_democracy_compensation</w:t>
      </w:r>
    </w:p>
    <w:p>
      <w:pPr>
        <w:pStyle w:val="ListBullet"/>
        <w:spacing w:after="20" w:before="0"/>
      </w:pPr>
      <w:r>
        <w:t>single_match_percentage als primäre Ergebnisanzeige</w:t>
      </w:r>
    </w:p>
    <w:p>
      <w:pPr>
        <w:pStyle w:val="Heading1"/>
        <w:spacing w:after="80"/>
        <w:keepNext/>
      </w:pPr>
      <w:r>
        <w:t>M. Evidenzregister</w:t>
      </w:r>
    </w:p>
    <w:p>
      <w:pPr>
        <w:spacing w:after="80"/>
      </w:pPr>
      <w:r>
        <w:t>Die Evidenzquellen stützen die unabhängige Wirkungsanalyse, nicht die Parteizuordnung. Sie sind vor Veröffentlichung auf Aktualität, genaue Fundstelle und abweichende Fachpositionen zu prüfen.</w:t>
      </w:r>
    </w:p>
    <w:tbl>
      <w:tblPr>
        <w:tblStyle w:val="TableGrid"/>
        <w:tblW w:type="auto" w:w="0"/>
        <w:jc w:val="center"/>
        <w:tblLook w:firstColumn="1" w:firstRow="1" w:lastColumn="0" w:lastRow="0" w:noHBand="0" w:noVBand="1" w:val="04A0"/>
      </w:tblPr>
      <w:tblGrid>
        <w:gridCol w:w="2523"/>
        <w:gridCol w:w="2523"/>
        <w:gridCol w:w="2523"/>
        <w:gridCol w:w="2523"/>
      </w:tblGrid>
      <w:tr>
        <w:trPr>
          <w:cantSplit w:val="true"/>
          <w:tblHeader w:val="true"/>
        </w:trPr>
        <w:tc>
          <w:tcPr>
            <w:tcW w:type="dxa" w:w="2523"/>
            <w:vAlign w:val="center"/>
            <w:tcMar>
              <w:top w:w="80" w:type="dxa"/>
              <w:start w:w="100" w:type="dxa"/>
              <w:bottom w:w="80" w:type="dxa"/>
              <w:end w:w="100" w:type="dxa"/>
            </w:tcMar>
            <w:shd w:fill="173B33"/>
          </w:tcPr>
          <w:p>
            <w:pPr>
              <w:spacing w:after="0" w:before="0"/>
            </w:pPr>
            <w:r>
              <w:rPr>
                <w:rFonts w:ascii="Aptos" w:hAnsi="Aptos"/>
                <w:b/>
                <w:color w:val="FFFFFF"/>
                <w:sz w:val="15"/>
              </w:rPr>
              <w:t>ID</w:t>
            </w:r>
          </w:p>
        </w:tc>
        <w:tc>
          <w:tcPr>
            <w:tcW w:type="dxa" w:w="2523"/>
            <w:vAlign w:val="center"/>
            <w:tcMar>
              <w:top w:w="80" w:type="dxa"/>
              <w:start w:w="100" w:type="dxa"/>
              <w:bottom w:w="80" w:type="dxa"/>
              <w:end w:w="100" w:type="dxa"/>
            </w:tcMar>
            <w:shd w:fill="173B33"/>
          </w:tcPr>
          <w:p>
            <w:pPr>
              <w:spacing w:after="0" w:before="0"/>
            </w:pPr>
            <w:r>
              <w:rPr>
                <w:rFonts w:ascii="Aptos" w:hAnsi="Aptos"/>
                <w:b/>
                <w:color w:val="FFFFFF"/>
                <w:sz w:val="15"/>
              </w:rPr>
              <w:t>Institution</w:t>
            </w:r>
          </w:p>
        </w:tc>
        <w:tc>
          <w:tcPr>
            <w:tcW w:type="dxa" w:w="2523"/>
            <w:vAlign w:val="center"/>
            <w:tcMar>
              <w:top w:w="80" w:type="dxa"/>
              <w:start w:w="100" w:type="dxa"/>
              <w:bottom w:w="80" w:type="dxa"/>
              <w:end w:w="100" w:type="dxa"/>
            </w:tcMar>
            <w:shd w:fill="173B33"/>
          </w:tcPr>
          <w:p>
            <w:pPr>
              <w:spacing w:after="0" w:before="0"/>
            </w:pPr>
            <w:r>
              <w:rPr>
                <w:rFonts w:ascii="Aptos" w:hAnsi="Aptos"/>
                <w:b/>
                <w:color w:val="FFFFFF"/>
                <w:sz w:val="15"/>
              </w:rPr>
              <w:t>Thema</w:t>
            </w:r>
          </w:p>
        </w:tc>
        <w:tc>
          <w:tcPr>
            <w:tcW w:type="dxa" w:w="2523"/>
            <w:vAlign w:val="center"/>
            <w:tcMar>
              <w:top w:w="80" w:type="dxa"/>
              <w:start w:w="100" w:type="dxa"/>
              <w:bottom w:w="80" w:type="dxa"/>
              <w:end w:w="100" w:type="dxa"/>
            </w:tcMar>
            <w:shd w:fill="173B33"/>
          </w:tcPr>
          <w:p>
            <w:pPr>
              <w:spacing w:after="0" w:before="0"/>
            </w:pPr>
            <w:r>
              <w:rPr>
                <w:rFonts w:ascii="Aptos" w:hAnsi="Aptos"/>
                <w:b/>
                <w:color w:val="FFFFFF"/>
                <w:sz w:val="15"/>
              </w:rPr>
              <w:t>Link</w:t>
            </w:r>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E01</w:t>
            </w:r>
          </w:p>
        </w:tc>
        <w:tc>
          <w:tcPr>
            <w:tcW w:type="dxa" w:w="2523"/>
            <w:vAlign w:val="center"/>
            <w:tcMar>
              <w:top w:w="80" w:type="dxa"/>
              <w:start w:w="100" w:type="dxa"/>
              <w:bottom w:w="80" w:type="dxa"/>
              <w:end w:w="100" w:type="dxa"/>
            </w:tcMar>
          </w:tcPr>
          <w:p>
            <w:pPr>
              <w:spacing w:after="0" w:before="0"/>
            </w:pPr>
            <w:r>
              <w:rPr>
                <w:rFonts w:ascii="Aptos" w:hAnsi="Aptos"/>
                <w:sz w:val="15"/>
              </w:rPr>
              <w:t>Expertenrat für Klimafragen / Umweltbundesamt</w:t>
            </w:r>
          </w:p>
        </w:tc>
        <w:tc>
          <w:tcPr>
            <w:tcW w:type="dxa" w:w="2523"/>
            <w:vAlign w:val="center"/>
            <w:tcMar>
              <w:top w:w="80" w:type="dxa"/>
              <w:start w:w="100" w:type="dxa"/>
              <w:bottom w:w="80" w:type="dxa"/>
              <w:end w:w="100" w:type="dxa"/>
            </w:tcMar>
          </w:tcPr>
          <w:p>
            <w:pPr>
              <w:spacing w:after="0" w:before="0"/>
            </w:pPr>
            <w:r>
              <w:rPr>
                <w:rFonts w:ascii="Aptos" w:hAnsi="Aptos"/>
                <w:sz w:val="15"/>
              </w:rPr>
              <w:t>Prüf- und Projektionsberichte zur deutschen Zielerreichung und zu langfristigen Klimakosten</w:t>
            </w:r>
          </w:p>
        </w:tc>
        <w:tc>
          <w:tcPr>
            <w:tcW w:type="dxa" w:w="2523"/>
            <w:vAlign w:val="center"/>
            <w:tcMar>
              <w:top w:w="80" w:type="dxa"/>
              <w:start w:w="100" w:type="dxa"/>
              <w:bottom w:w="80" w:type="dxa"/>
              <w:end w:w="100" w:type="dxa"/>
            </w:tcMar>
          </w:tcPr>
          <w:p>
            <w:pPr>
              <w:spacing w:after="0" w:before="0"/>
            </w:pPr>
            <w:hyperlink r:id="rId17">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E02</w:t>
            </w:r>
          </w:p>
        </w:tc>
        <w:tc>
          <w:tcPr>
            <w:tcW w:type="dxa" w:w="2523"/>
            <w:vAlign w:val="center"/>
            <w:tcMar>
              <w:top w:w="80" w:type="dxa"/>
              <w:start w:w="100" w:type="dxa"/>
              <w:bottom w:w="80" w:type="dxa"/>
              <w:end w:w="100" w:type="dxa"/>
            </w:tcMar>
          </w:tcPr>
          <w:p>
            <w:pPr>
              <w:spacing w:after="0" w:before="0"/>
            </w:pPr>
            <w:r>
              <w:rPr>
                <w:rFonts w:ascii="Aptos" w:hAnsi="Aptos"/>
                <w:sz w:val="15"/>
              </w:rPr>
              <w:t>International Energy Agency</w:t>
            </w:r>
          </w:p>
        </w:tc>
        <w:tc>
          <w:tcPr>
            <w:tcW w:type="dxa" w:w="2523"/>
            <w:vAlign w:val="center"/>
            <w:tcMar>
              <w:top w:w="80" w:type="dxa"/>
              <w:start w:w="100" w:type="dxa"/>
              <w:bottom w:w="80" w:type="dxa"/>
              <w:end w:w="100" w:type="dxa"/>
            </w:tcMar>
          </w:tcPr>
          <w:p>
            <w:pPr>
              <w:spacing w:after="0" w:before="0"/>
            </w:pPr>
            <w:r>
              <w:rPr>
                <w:rFonts w:ascii="Aptos" w:hAnsi="Aptos"/>
                <w:sz w:val="15"/>
              </w:rPr>
              <w:t>Germany energy policy review / country profile: Energiesystem, Versorgungssicherheit und Transformation</w:t>
            </w:r>
          </w:p>
        </w:tc>
        <w:tc>
          <w:tcPr>
            <w:tcW w:type="dxa" w:w="2523"/>
            <w:vAlign w:val="center"/>
            <w:tcMar>
              <w:top w:w="80" w:type="dxa"/>
              <w:start w:w="100" w:type="dxa"/>
              <w:bottom w:w="80" w:type="dxa"/>
              <w:end w:w="100" w:type="dxa"/>
            </w:tcMar>
          </w:tcPr>
          <w:p>
            <w:pPr>
              <w:spacing w:after="0" w:before="0"/>
            </w:pPr>
            <w:hyperlink r:id="rId18">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E03</w:t>
            </w:r>
          </w:p>
        </w:tc>
        <w:tc>
          <w:tcPr>
            <w:tcW w:type="dxa" w:w="2523"/>
            <w:vAlign w:val="center"/>
            <w:tcMar>
              <w:top w:w="80" w:type="dxa"/>
              <w:start w:w="100" w:type="dxa"/>
              <w:bottom w:w="80" w:type="dxa"/>
              <w:end w:w="100" w:type="dxa"/>
            </w:tcMar>
          </w:tcPr>
          <w:p>
            <w:pPr>
              <w:spacing w:after="0" w:before="0"/>
            </w:pPr>
            <w:r>
              <w:rPr>
                <w:rFonts w:ascii="Aptos" w:hAnsi="Aptos"/>
                <w:sz w:val="15"/>
              </w:rPr>
              <w:t>Umweltbundesamt</w:t>
            </w:r>
          </w:p>
        </w:tc>
        <w:tc>
          <w:tcPr>
            <w:tcW w:type="dxa" w:w="2523"/>
            <w:vAlign w:val="center"/>
            <w:tcMar>
              <w:top w:w="80" w:type="dxa"/>
              <w:start w:w="100" w:type="dxa"/>
              <w:bottom w:w="80" w:type="dxa"/>
              <w:end w:w="100" w:type="dxa"/>
            </w:tcMar>
          </w:tcPr>
          <w:p>
            <w:pPr>
              <w:spacing w:after="0" w:before="0"/>
            </w:pPr>
            <w:r>
              <w:rPr>
                <w:rFonts w:ascii="Aptos" w:hAnsi="Aptos"/>
                <w:sz w:val="15"/>
              </w:rPr>
              <w:t>Sozialverträgliche CO₂-Bepreisung und Rückverteilung/Klimageld</w:t>
            </w:r>
          </w:p>
        </w:tc>
        <w:tc>
          <w:tcPr>
            <w:tcW w:type="dxa" w:w="2523"/>
            <w:vAlign w:val="center"/>
            <w:tcMar>
              <w:top w:w="80" w:type="dxa"/>
              <w:start w:w="100" w:type="dxa"/>
              <w:bottom w:w="80" w:type="dxa"/>
              <w:end w:w="100" w:type="dxa"/>
            </w:tcMar>
          </w:tcPr>
          <w:p>
            <w:pPr>
              <w:spacing w:after="0" w:before="0"/>
            </w:pPr>
            <w:hyperlink r:id="rId19">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E04</w:t>
            </w:r>
          </w:p>
        </w:tc>
        <w:tc>
          <w:tcPr>
            <w:tcW w:type="dxa" w:w="2523"/>
            <w:vAlign w:val="center"/>
            <w:tcMar>
              <w:top w:w="80" w:type="dxa"/>
              <w:start w:w="100" w:type="dxa"/>
              <w:bottom w:w="80" w:type="dxa"/>
              <w:end w:w="100" w:type="dxa"/>
            </w:tcMar>
          </w:tcPr>
          <w:p>
            <w:pPr>
              <w:spacing w:after="0" w:before="0"/>
            </w:pPr>
            <w:r>
              <w:rPr>
                <w:rFonts w:ascii="Aptos" w:hAnsi="Aptos"/>
                <w:sz w:val="15"/>
              </w:rPr>
              <w:t>Umweltbundesamt</w:t>
            </w:r>
          </w:p>
        </w:tc>
        <w:tc>
          <w:tcPr>
            <w:tcW w:type="dxa" w:w="2523"/>
            <w:vAlign w:val="center"/>
            <w:tcMar>
              <w:top w:w="80" w:type="dxa"/>
              <w:start w:w="100" w:type="dxa"/>
              <w:bottom w:w="80" w:type="dxa"/>
              <w:end w:w="100" w:type="dxa"/>
            </w:tcMar>
          </w:tcPr>
          <w:p>
            <w:pPr>
              <w:spacing w:after="0" w:before="0"/>
            </w:pPr>
            <w:r>
              <w:rPr>
                <w:rFonts w:ascii="Aptos" w:hAnsi="Aptos"/>
                <w:sz w:val="15"/>
              </w:rPr>
              <w:t>Umweltschädliche Subventionen in Deutschland</w:t>
            </w:r>
          </w:p>
        </w:tc>
        <w:tc>
          <w:tcPr>
            <w:tcW w:type="dxa" w:w="2523"/>
            <w:vAlign w:val="center"/>
            <w:tcMar>
              <w:top w:w="80" w:type="dxa"/>
              <w:start w:w="100" w:type="dxa"/>
              <w:bottom w:w="80" w:type="dxa"/>
              <w:end w:w="100" w:type="dxa"/>
            </w:tcMar>
          </w:tcPr>
          <w:p>
            <w:pPr>
              <w:spacing w:after="0" w:before="0"/>
            </w:pPr>
            <w:hyperlink r:id="rId20">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E05</w:t>
            </w:r>
          </w:p>
        </w:tc>
        <w:tc>
          <w:tcPr>
            <w:tcW w:type="dxa" w:w="2523"/>
            <w:vAlign w:val="center"/>
            <w:tcMar>
              <w:top w:w="80" w:type="dxa"/>
              <w:start w:w="100" w:type="dxa"/>
              <w:bottom w:w="80" w:type="dxa"/>
              <w:end w:w="100" w:type="dxa"/>
            </w:tcMar>
          </w:tcPr>
          <w:p>
            <w:pPr>
              <w:spacing w:after="0" w:before="0"/>
            </w:pPr>
            <w:r>
              <w:rPr>
                <w:rFonts w:ascii="Aptos" w:hAnsi="Aptos"/>
                <w:sz w:val="15"/>
              </w:rPr>
              <w:t>Umweltbundesamt</w:t>
            </w:r>
          </w:p>
        </w:tc>
        <w:tc>
          <w:tcPr>
            <w:tcW w:type="dxa" w:w="2523"/>
            <w:vAlign w:val="center"/>
            <w:tcMar>
              <w:top w:w="80" w:type="dxa"/>
              <w:start w:w="100" w:type="dxa"/>
              <w:bottom w:w="80" w:type="dxa"/>
              <w:end w:w="100" w:type="dxa"/>
            </w:tcMar>
          </w:tcPr>
          <w:p>
            <w:pPr>
              <w:spacing w:after="0" w:before="0"/>
            </w:pPr>
            <w:r>
              <w:rPr>
                <w:rFonts w:ascii="Aptos" w:hAnsi="Aptos"/>
                <w:sz w:val="15"/>
              </w:rPr>
              <w:t>Tempolimit und Klimaschutz im Verkehr</w:t>
            </w:r>
          </w:p>
        </w:tc>
        <w:tc>
          <w:tcPr>
            <w:tcW w:type="dxa" w:w="2523"/>
            <w:vAlign w:val="center"/>
            <w:tcMar>
              <w:top w:w="80" w:type="dxa"/>
              <w:start w:w="100" w:type="dxa"/>
              <w:bottom w:w="80" w:type="dxa"/>
              <w:end w:w="100" w:type="dxa"/>
            </w:tcMar>
          </w:tcPr>
          <w:p>
            <w:pPr>
              <w:spacing w:after="0" w:before="0"/>
            </w:pPr>
            <w:hyperlink r:id="rId21">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E06</w:t>
            </w:r>
          </w:p>
        </w:tc>
        <w:tc>
          <w:tcPr>
            <w:tcW w:type="dxa" w:w="2523"/>
            <w:vAlign w:val="center"/>
            <w:tcMar>
              <w:top w:w="80" w:type="dxa"/>
              <w:start w:w="100" w:type="dxa"/>
              <w:bottom w:w="80" w:type="dxa"/>
              <w:end w:w="100" w:type="dxa"/>
            </w:tcMar>
          </w:tcPr>
          <w:p>
            <w:pPr>
              <w:spacing w:after="0" w:before="0"/>
            </w:pPr>
            <w:r>
              <w:rPr>
                <w:rFonts w:ascii="Aptos" w:hAnsi="Aptos"/>
                <w:sz w:val="15"/>
              </w:rPr>
              <w:t>Europäische Kommission</w:t>
            </w:r>
          </w:p>
        </w:tc>
        <w:tc>
          <w:tcPr>
            <w:tcW w:type="dxa" w:w="2523"/>
            <w:vAlign w:val="center"/>
            <w:tcMar>
              <w:top w:w="80" w:type="dxa"/>
              <w:start w:w="100" w:type="dxa"/>
              <w:bottom w:w="80" w:type="dxa"/>
              <w:end w:w="100" w:type="dxa"/>
            </w:tcMar>
          </w:tcPr>
          <w:p>
            <w:pPr>
              <w:spacing w:after="0" w:before="0"/>
            </w:pPr>
            <w:r>
              <w:rPr>
                <w:rFonts w:ascii="Aptos" w:hAnsi="Aptos"/>
                <w:sz w:val="15"/>
              </w:rPr>
              <w:t>CO₂-Emissionsnormen für neue Pkw und leichte Nutzfahrzeuge</w:t>
            </w:r>
          </w:p>
        </w:tc>
        <w:tc>
          <w:tcPr>
            <w:tcW w:type="dxa" w:w="2523"/>
            <w:vAlign w:val="center"/>
            <w:tcMar>
              <w:top w:w="80" w:type="dxa"/>
              <w:start w:w="100" w:type="dxa"/>
              <w:bottom w:w="80" w:type="dxa"/>
              <w:end w:w="100" w:type="dxa"/>
            </w:tcMar>
          </w:tcPr>
          <w:p>
            <w:pPr>
              <w:spacing w:after="0" w:before="0"/>
            </w:pPr>
            <w:hyperlink r:id="rId22">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E07</w:t>
            </w:r>
          </w:p>
        </w:tc>
        <w:tc>
          <w:tcPr>
            <w:tcW w:type="dxa" w:w="2523"/>
            <w:vAlign w:val="center"/>
            <w:tcMar>
              <w:top w:w="80" w:type="dxa"/>
              <w:start w:w="100" w:type="dxa"/>
              <w:bottom w:w="80" w:type="dxa"/>
              <w:end w:w="100" w:type="dxa"/>
            </w:tcMar>
          </w:tcPr>
          <w:p>
            <w:pPr>
              <w:spacing w:after="0" w:before="0"/>
            </w:pPr>
            <w:r>
              <w:rPr>
                <w:rFonts w:ascii="Aptos" w:hAnsi="Aptos"/>
                <w:sz w:val="15"/>
              </w:rPr>
              <w:t>Thünen-Institut</w:t>
            </w:r>
          </w:p>
        </w:tc>
        <w:tc>
          <w:tcPr>
            <w:tcW w:type="dxa" w:w="2523"/>
            <w:vAlign w:val="center"/>
            <w:tcMar>
              <w:top w:w="80" w:type="dxa"/>
              <w:start w:w="100" w:type="dxa"/>
              <w:bottom w:w="80" w:type="dxa"/>
              <w:end w:w="100" w:type="dxa"/>
            </w:tcMar>
          </w:tcPr>
          <w:p>
            <w:pPr>
              <w:spacing w:after="0" w:before="0"/>
            </w:pPr>
            <w:r>
              <w:rPr>
                <w:rFonts w:ascii="Aptos" w:hAnsi="Aptos"/>
                <w:sz w:val="15"/>
              </w:rPr>
              <w:t>Wissenschaftliche Beiträge zu zielorientierter Agrarumweltförderung und Gemeinwohlprämie</w:t>
            </w:r>
          </w:p>
        </w:tc>
        <w:tc>
          <w:tcPr>
            <w:tcW w:type="dxa" w:w="2523"/>
            <w:vAlign w:val="center"/>
            <w:tcMar>
              <w:top w:w="80" w:type="dxa"/>
              <w:start w:w="100" w:type="dxa"/>
              <w:bottom w:w="80" w:type="dxa"/>
              <w:end w:w="100" w:type="dxa"/>
            </w:tcMar>
          </w:tcPr>
          <w:p>
            <w:pPr>
              <w:spacing w:after="0" w:before="0"/>
            </w:pPr>
            <w:hyperlink r:id="rId23">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E08</w:t>
            </w:r>
          </w:p>
        </w:tc>
        <w:tc>
          <w:tcPr>
            <w:tcW w:type="dxa" w:w="2523"/>
            <w:vAlign w:val="center"/>
            <w:tcMar>
              <w:top w:w="80" w:type="dxa"/>
              <w:start w:w="100" w:type="dxa"/>
              <w:bottom w:w="80" w:type="dxa"/>
              <w:end w:w="100" w:type="dxa"/>
            </w:tcMar>
          </w:tcPr>
          <w:p>
            <w:pPr>
              <w:spacing w:after="0" w:before="0"/>
            </w:pPr>
            <w:r>
              <w:rPr>
                <w:rFonts w:ascii="Aptos" w:hAnsi="Aptos"/>
                <w:sz w:val="15"/>
              </w:rPr>
              <w:t>Sachverständigenrat / Deutsche Bundesbank</w:t>
            </w:r>
          </w:p>
        </w:tc>
        <w:tc>
          <w:tcPr>
            <w:tcW w:type="dxa" w:w="2523"/>
            <w:vAlign w:val="center"/>
            <w:tcMar>
              <w:top w:w="80" w:type="dxa"/>
              <w:start w:w="100" w:type="dxa"/>
              <w:bottom w:w="80" w:type="dxa"/>
              <w:end w:w="100" w:type="dxa"/>
            </w:tcMar>
          </w:tcPr>
          <w:p>
            <w:pPr>
              <w:spacing w:after="0" w:before="0"/>
            </w:pPr>
            <w:r>
              <w:rPr>
                <w:rFonts w:ascii="Aptos" w:hAnsi="Aptos"/>
                <w:sz w:val="15"/>
              </w:rPr>
              <w:t>Zukunftsorientierung öffentlicher Finanzen und Reformoptionen der Schuldenbremse</w:t>
            </w:r>
          </w:p>
        </w:tc>
        <w:tc>
          <w:tcPr>
            <w:tcW w:type="dxa" w:w="2523"/>
            <w:vAlign w:val="center"/>
            <w:tcMar>
              <w:top w:w="80" w:type="dxa"/>
              <w:start w:w="100" w:type="dxa"/>
              <w:bottom w:w="80" w:type="dxa"/>
              <w:end w:w="100" w:type="dxa"/>
            </w:tcMar>
          </w:tcPr>
          <w:p>
            <w:pPr>
              <w:spacing w:after="0" w:before="0"/>
            </w:pPr>
            <w:hyperlink r:id="rId24">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E09</w:t>
            </w:r>
          </w:p>
        </w:tc>
        <w:tc>
          <w:tcPr>
            <w:tcW w:type="dxa" w:w="2523"/>
            <w:vAlign w:val="center"/>
            <w:tcMar>
              <w:top w:w="80" w:type="dxa"/>
              <w:start w:w="100" w:type="dxa"/>
              <w:bottom w:w="80" w:type="dxa"/>
              <w:end w:w="100" w:type="dxa"/>
            </w:tcMar>
          </w:tcPr>
          <w:p>
            <w:pPr>
              <w:spacing w:after="0" w:before="0"/>
            </w:pPr>
            <w:r>
              <w:rPr>
                <w:rFonts w:ascii="Aptos" w:hAnsi="Aptos"/>
                <w:sz w:val="15"/>
              </w:rPr>
              <w:t>OECD</w:t>
            </w:r>
          </w:p>
        </w:tc>
        <w:tc>
          <w:tcPr>
            <w:tcW w:type="dxa" w:w="2523"/>
            <w:vAlign w:val="center"/>
            <w:tcMar>
              <w:top w:w="80" w:type="dxa"/>
              <w:start w:w="100" w:type="dxa"/>
              <w:bottom w:w="80" w:type="dxa"/>
              <w:end w:w="100" w:type="dxa"/>
            </w:tcMar>
          </w:tcPr>
          <w:p>
            <w:pPr>
              <w:spacing w:after="0" w:before="0"/>
            </w:pPr>
            <w:r>
              <w:rPr>
                <w:rFonts w:ascii="Aptos" w:hAnsi="Aptos"/>
                <w:sz w:val="15"/>
              </w:rPr>
              <w:t>Inheritance Taxation in OECD Countries; Taxation and Inequality</w:t>
            </w:r>
          </w:p>
        </w:tc>
        <w:tc>
          <w:tcPr>
            <w:tcW w:type="dxa" w:w="2523"/>
            <w:vAlign w:val="center"/>
            <w:tcMar>
              <w:top w:w="80" w:type="dxa"/>
              <w:start w:w="100" w:type="dxa"/>
              <w:bottom w:w="80" w:type="dxa"/>
              <w:end w:w="100" w:type="dxa"/>
            </w:tcMar>
          </w:tcPr>
          <w:p>
            <w:pPr>
              <w:spacing w:after="0" w:before="0"/>
            </w:pPr>
            <w:hyperlink r:id="rId25">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E10</w:t>
            </w:r>
          </w:p>
        </w:tc>
        <w:tc>
          <w:tcPr>
            <w:tcW w:type="dxa" w:w="2523"/>
            <w:vAlign w:val="center"/>
            <w:tcMar>
              <w:top w:w="80" w:type="dxa"/>
              <w:start w:w="100" w:type="dxa"/>
              <w:bottom w:w="80" w:type="dxa"/>
              <w:end w:w="100" w:type="dxa"/>
            </w:tcMar>
          </w:tcPr>
          <w:p>
            <w:pPr>
              <w:spacing w:after="0" w:before="0"/>
            </w:pPr>
            <w:r>
              <w:rPr>
                <w:rFonts w:ascii="Aptos" w:hAnsi="Aptos"/>
                <w:sz w:val="15"/>
              </w:rPr>
              <w:t>OECD</w:t>
            </w:r>
          </w:p>
        </w:tc>
        <w:tc>
          <w:tcPr>
            <w:tcW w:type="dxa" w:w="2523"/>
            <w:vAlign w:val="center"/>
            <w:tcMar>
              <w:top w:w="80" w:type="dxa"/>
              <w:start w:w="100" w:type="dxa"/>
              <w:bottom w:w="80" w:type="dxa"/>
              <w:end w:w="100" w:type="dxa"/>
            </w:tcMar>
          </w:tcPr>
          <w:p>
            <w:pPr>
              <w:spacing w:after="0" w:before="0"/>
            </w:pPr>
            <w:r>
              <w:rPr>
                <w:rFonts w:ascii="Aptos" w:hAnsi="Aptos"/>
                <w:sz w:val="15"/>
              </w:rPr>
              <w:t>OECD Economic Survey Germany 2025: Investitionen, Unternehmensdynamik und Strukturreformen</w:t>
            </w:r>
          </w:p>
        </w:tc>
        <w:tc>
          <w:tcPr>
            <w:tcW w:type="dxa" w:w="2523"/>
            <w:vAlign w:val="center"/>
            <w:tcMar>
              <w:top w:w="80" w:type="dxa"/>
              <w:start w:w="100" w:type="dxa"/>
              <w:bottom w:w="80" w:type="dxa"/>
              <w:end w:w="100" w:type="dxa"/>
            </w:tcMar>
          </w:tcPr>
          <w:p>
            <w:pPr>
              <w:spacing w:after="0" w:before="0"/>
            </w:pPr>
            <w:hyperlink r:id="rId26">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E11</w:t>
            </w:r>
          </w:p>
        </w:tc>
        <w:tc>
          <w:tcPr>
            <w:tcW w:type="dxa" w:w="2523"/>
            <w:vAlign w:val="center"/>
            <w:tcMar>
              <w:top w:w="80" w:type="dxa"/>
              <w:start w:w="100" w:type="dxa"/>
              <w:bottom w:w="80" w:type="dxa"/>
              <w:end w:w="100" w:type="dxa"/>
            </w:tcMar>
          </w:tcPr>
          <w:p>
            <w:pPr>
              <w:spacing w:after="0" w:before="0"/>
            </w:pPr>
            <w:r>
              <w:rPr>
                <w:rFonts w:ascii="Aptos" w:hAnsi="Aptos"/>
                <w:sz w:val="15"/>
              </w:rPr>
              <w:t>Institut für Arbeitsmarkt- und Berufsforschung</w:t>
            </w:r>
          </w:p>
        </w:tc>
        <w:tc>
          <w:tcPr>
            <w:tcW w:type="dxa" w:w="2523"/>
            <w:vAlign w:val="center"/>
            <w:tcMar>
              <w:top w:w="80" w:type="dxa"/>
              <w:start w:w="100" w:type="dxa"/>
              <w:bottom w:w="80" w:type="dxa"/>
              <w:end w:w="100" w:type="dxa"/>
            </w:tcMar>
          </w:tcPr>
          <w:p>
            <w:pPr>
              <w:spacing w:after="0" w:before="0"/>
            </w:pPr>
            <w:r>
              <w:rPr>
                <w:rFonts w:ascii="Aptos" w:hAnsi="Aptos"/>
                <w:sz w:val="15"/>
              </w:rPr>
              <w:t>Forschungsberichte zu Sanktionen in der Grundsicherung und Beschäftigungsqualität</w:t>
            </w:r>
          </w:p>
        </w:tc>
        <w:tc>
          <w:tcPr>
            <w:tcW w:type="dxa" w:w="2523"/>
            <w:vAlign w:val="center"/>
            <w:tcMar>
              <w:top w:w="80" w:type="dxa"/>
              <w:start w:w="100" w:type="dxa"/>
              <w:bottom w:w="80" w:type="dxa"/>
              <w:end w:w="100" w:type="dxa"/>
            </w:tcMar>
          </w:tcPr>
          <w:p>
            <w:pPr>
              <w:spacing w:after="0" w:before="0"/>
            </w:pPr>
            <w:hyperlink r:id="rId27">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E12</w:t>
            </w:r>
          </w:p>
        </w:tc>
        <w:tc>
          <w:tcPr>
            <w:tcW w:type="dxa" w:w="2523"/>
            <w:vAlign w:val="center"/>
            <w:tcMar>
              <w:top w:w="80" w:type="dxa"/>
              <w:start w:w="100" w:type="dxa"/>
              <w:bottom w:w="80" w:type="dxa"/>
              <w:end w:w="100" w:type="dxa"/>
            </w:tcMar>
          </w:tcPr>
          <w:p>
            <w:pPr>
              <w:spacing w:after="0" w:before="0"/>
            </w:pPr>
            <w:r>
              <w:rPr>
                <w:rFonts w:ascii="Aptos" w:hAnsi="Aptos"/>
                <w:sz w:val="15"/>
              </w:rPr>
              <w:t>Bundesministerium für Arbeit und Soziales</w:t>
            </w:r>
          </w:p>
        </w:tc>
        <w:tc>
          <w:tcPr>
            <w:tcW w:type="dxa" w:w="2523"/>
            <w:vAlign w:val="center"/>
            <w:tcMar>
              <w:top w:w="80" w:type="dxa"/>
              <w:start w:w="100" w:type="dxa"/>
              <w:bottom w:w="80" w:type="dxa"/>
              <w:end w:w="100" w:type="dxa"/>
            </w:tcMar>
          </w:tcPr>
          <w:p>
            <w:pPr>
              <w:spacing w:after="0" w:before="0"/>
            </w:pPr>
            <w:r>
              <w:rPr>
                <w:rFonts w:ascii="Aptos" w:hAnsi="Aptos"/>
                <w:sz w:val="15"/>
              </w:rPr>
              <w:t>Mindestlohn: Rechtslage und Entwicklung</w:t>
            </w:r>
          </w:p>
        </w:tc>
        <w:tc>
          <w:tcPr>
            <w:tcW w:type="dxa" w:w="2523"/>
            <w:vAlign w:val="center"/>
            <w:tcMar>
              <w:top w:w="80" w:type="dxa"/>
              <w:start w:w="100" w:type="dxa"/>
              <w:bottom w:w="80" w:type="dxa"/>
              <w:end w:w="100" w:type="dxa"/>
            </w:tcMar>
          </w:tcPr>
          <w:p>
            <w:pPr>
              <w:spacing w:after="0" w:before="0"/>
            </w:pPr>
            <w:hyperlink r:id="rId28">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E13</w:t>
            </w:r>
          </w:p>
        </w:tc>
        <w:tc>
          <w:tcPr>
            <w:tcW w:type="dxa" w:w="2523"/>
            <w:vAlign w:val="center"/>
            <w:tcMar>
              <w:top w:w="80" w:type="dxa"/>
              <w:start w:w="100" w:type="dxa"/>
              <w:bottom w:w="80" w:type="dxa"/>
              <w:end w:w="100" w:type="dxa"/>
            </w:tcMar>
          </w:tcPr>
          <w:p>
            <w:pPr>
              <w:spacing w:after="0" w:before="0"/>
            </w:pPr>
            <w:r>
              <w:rPr>
                <w:rFonts w:ascii="Aptos" w:hAnsi="Aptos"/>
                <w:sz w:val="15"/>
              </w:rPr>
              <w:t>Bundesministerium für Arbeit und Soziales</w:t>
            </w:r>
          </w:p>
        </w:tc>
        <w:tc>
          <w:tcPr>
            <w:tcW w:type="dxa" w:w="2523"/>
            <w:vAlign w:val="center"/>
            <w:tcMar>
              <w:top w:w="80" w:type="dxa"/>
              <w:start w:w="100" w:type="dxa"/>
              <w:bottom w:w="80" w:type="dxa"/>
              <w:end w:w="100" w:type="dxa"/>
            </w:tcMar>
          </w:tcPr>
          <w:p>
            <w:pPr>
              <w:spacing w:after="0" w:before="0"/>
            </w:pPr>
            <w:r>
              <w:rPr>
                <w:rFonts w:ascii="Aptos" w:hAnsi="Aptos"/>
                <w:sz w:val="15"/>
              </w:rPr>
              <w:t>Rentenversicherungsbericht und Alterssicherungsberichte</w:t>
            </w:r>
          </w:p>
        </w:tc>
        <w:tc>
          <w:tcPr>
            <w:tcW w:type="dxa" w:w="2523"/>
            <w:vAlign w:val="center"/>
            <w:tcMar>
              <w:top w:w="80" w:type="dxa"/>
              <w:start w:w="100" w:type="dxa"/>
              <w:bottom w:w="80" w:type="dxa"/>
              <w:end w:w="100" w:type="dxa"/>
            </w:tcMar>
          </w:tcPr>
          <w:p>
            <w:pPr>
              <w:spacing w:after="0" w:before="0"/>
            </w:pPr>
            <w:hyperlink r:id="rId29">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E14</w:t>
            </w:r>
          </w:p>
        </w:tc>
        <w:tc>
          <w:tcPr>
            <w:tcW w:type="dxa" w:w="2523"/>
            <w:vAlign w:val="center"/>
            <w:tcMar>
              <w:top w:w="80" w:type="dxa"/>
              <w:start w:w="100" w:type="dxa"/>
              <w:bottom w:w="80" w:type="dxa"/>
              <w:end w:w="100" w:type="dxa"/>
            </w:tcMar>
          </w:tcPr>
          <w:p>
            <w:pPr>
              <w:spacing w:after="0" w:before="0"/>
            </w:pPr>
            <w:r>
              <w:rPr>
                <w:rFonts w:ascii="Aptos" w:hAnsi="Aptos"/>
                <w:sz w:val="15"/>
              </w:rPr>
              <w:t>OECD</w:t>
            </w:r>
          </w:p>
        </w:tc>
        <w:tc>
          <w:tcPr>
            <w:tcW w:type="dxa" w:w="2523"/>
            <w:vAlign w:val="center"/>
            <w:tcMar>
              <w:top w:w="80" w:type="dxa"/>
              <w:start w:w="100" w:type="dxa"/>
              <w:bottom w:w="80" w:type="dxa"/>
              <w:end w:w="100" w:type="dxa"/>
            </w:tcMar>
          </w:tcPr>
          <w:p>
            <w:pPr>
              <w:spacing w:after="0" w:before="0"/>
            </w:pPr>
            <w:r>
              <w:rPr>
                <w:rFonts w:ascii="Aptos" w:hAnsi="Aptos"/>
                <w:sz w:val="15"/>
              </w:rPr>
              <w:t>Analysen zu Segmentierung, Gerechtigkeit und Effizienz des deutschen Krankenversicherungssystems</w:t>
            </w:r>
          </w:p>
        </w:tc>
        <w:tc>
          <w:tcPr>
            <w:tcW w:type="dxa" w:w="2523"/>
            <w:vAlign w:val="center"/>
            <w:tcMar>
              <w:top w:w="80" w:type="dxa"/>
              <w:start w:w="100" w:type="dxa"/>
              <w:bottom w:w="80" w:type="dxa"/>
              <w:end w:w="100" w:type="dxa"/>
            </w:tcMar>
          </w:tcPr>
          <w:p>
            <w:pPr>
              <w:spacing w:after="0" w:before="0"/>
            </w:pPr>
            <w:hyperlink r:id="rId30">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E15</w:t>
            </w:r>
          </w:p>
        </w:tc>
        <w:tc>
          <w:tcPr>
            <w:tcW w:type="dxa" w:w="2523"/>
            <w:vAlign w:val="center"/>
            <w:tcMar>
              <w:top w:w="80" w:type="dxa"/>
              <w:start w:w="100" w:type="dxa"/>
              <w:bottom w:w="80" w:type="dxa"/>
              <w:end w:w="100" w:type="dxa"/>
            </w:tcMar>
          </w:tcPr>
          <w:p>
            <w:pPr>
              <w:spacing w:after="0" w:before="0"/>
            </w:pPr>
            <w:r>
              <w:rPr>
                <w:rFonts w:ascii="Aptos" w:hAnsi="Aptos"/>
                <w:sz w:val="15"/>
              </w:rPr>
              <w:t>Bundesinstitut für Bau-, Stadt- und Raumforschung</w:t>
            </w:r>
          </w:p>
        </w:tc>
        <w:tc>
          <w:tcPr>
            <w:tcW w:type="dxa" w:w="2523"/>
            <w:vAlign w:val="center"/>
            <w:tcMar>
              <w:top w:w="80" w:type="dxa"/>
              <w:start w:w="100" w:type="dxa"/>
              <w:bottom w:w="80" w:type="dxa"/>
              <w:end w:w="100" w:type="dxa"/>
            </w:tcMar>
          </w:tcPr>
          <w:p>
            <w:pPr>
              <w:spacing w:after="0" w:before="0"/>
            </w:pPr>
            <w:r>
              <w:rPr>
                <w:rFonts w:ascii="Aptos" w:hAnsi="Aptos"/>
                <w:sz w:val="15"/>
              </w:rPr>
              <w:t>Wohnungsbedarfsprognose, Mietwohnungssegmente und bezahlbares Wohnen</w:t>
            </w:r>
          </w:p>
        </w:tc>
        <w:tc>
          <w:tcPr>
            <w:tcW w:type="dxa" w:w="2523"/>
            <w:vAlign w:val="center"/>
            <w:tcMar>
              <w:top w:w="80" w:type="dxa"/>
              <w:start w:w="100" w:type="dxa"/>
              <w:bottom w:w="80" w:type="dxa"/>
              <w:end w:w="100" w:type="dxa"/>
            </w:tcMar>
          </w:tcPr>
          <w:p>
            <w:pPr>
              <w:spacing w:after="0" w:before="0"/>
            </w:pPr>
            <w:hyperlink r:id="rId31">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E16</w:t>
            </w:r>
          </w:p>
        </w:tc>
        <w:tc>
          <w:tcPr>
            <w:tcW w:type="dxa" w:w="2523"/>
            <w:vAlign w:val="center"/>
            <w:tcMar>
              <w:top w:w="80" w:type="dxa"/>
              <w:start w:w="100" w:type="dxa"/>
              <w:bottom w:w="80" w:type="dxa"/>
              <w:end w:w="100" w:type="dxa"/>
            </w:tcMar>
          </w:tcPr>
          <w:p>
            <w:pPr>
              <w:spacing w:after="0" w:before="0"/>
            </w:pPr>
            <w:r>
              <w:rPr>
                <w:rFonts w:ascii="Aptos" w:hAnsi="Aptos"/>
                <w:sz w:val="15"/>
              </w:rPr>
              <w:t>Umweltbundesamt</w:t>
            </w:r>
          </w:p>
        </w:tc>
        <w:tc>
          <w:tcPr>
            <w:tcW w:type="dxa" w:w="2523"/>
            <w:vAlign w:val="center"/>
            <w:tcMar>
              <w:top w:w="80" w:type="dxa"/>
              <w:start w:w="100" w:type="dxa"/>
              <w:bottom w:w="80" w:type="dxa"/>
              <w:end w:w="100" w:type="dxa"/>
            </w:tcMar>
          </w:tcPr>
          <w:p>
            <w:pPr>
              <w:spacing w:after="0" w:before="0"/>
            </w:pPr>
            <w:r>
              <w:rPr>
                <w:rFonts w:ascii="Aptos" w:hAnsi="Aptos"/>
                <w:sz w:val="15"/>
              </w:rPr>
              <w:t>Flächensparende Siedlungsentwicklung, gemeinwohlorientierte Bodenpolitik und Baulandmobilisierung</w:t>
            </w:r>
          </w:p>
        </w:tc>
        <w:tc>
          <w:tcPr>
            <w:tcW w:type="dxa" w:w="2523"/>
            <w:vAlign w:val="center"/>
            <w:tcMar>
              <w:top w:w="80" w:type="dxa"/>
              <w:start w:w="100" w:type="dxa"/>
              <w:bottom w:w="80" w:type="dxa"/>
              <w:end w:w="100" w:type="dxa"/>
            </w:tcMar>
          </w:tcPr>
          <w:p>
            <w:pPr>
              <w:spacing w:after="0" w:before="0"/>
            </w:pPr>
            <w:hyperlink r:id="rId32">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E17</w:t>
            </w:r>
          </w:p>
        </w:tc>
        <w:tc>
          <w:tcPr>
            <w:tcW w:type="dxa" w:w="2523"/>
            <w:vAlign w:val="center"/>
            <w:tcMar>
              <w:top w:w="80" w:type="dxa"/>
              <w:start w:w="100" w:type="dxa"/>
              <w:bottom w:w="80" w:type="dxa"/>
              <w:end w:w="100" w:type="dxa"/>
            </w:tcMar>
          </w:tcPr>
          <w:p>
            <w:pPr>
              <w:spacing w:after="0" w:before="0"/>
            </w:pPr>
            <w:r>
              <w:rPr>
                <w:rFonts w:ascii="Aptos" w:hAnsi="Aptos"/>
                <w:sz w:val="15"/>
              </w:rPr>
              <w:t>Europarat / Europäische Audiovisuelle Informationsstelle</w:t>
            </w:r>
          </w:p>
        </w:tc>
        <w:tc>
          <w:tcPr>
            <w:tcW w:type="dxa" w:w="2523"/>
            <w:vAlign w:val="center"/>
            <w:tcMar>
              <w:top w:w="80" w:type="dxa"/>
              <w:start w:w="100" w:type="dxa"/>
              <w:bottom w:w="80" w:type="dxa"/>
              <w:end w:w="100" w:type="dxa"/>
            </w:tcMar>
          </w:tcPr>
          <w:p>
            <w:pPr>
              <w:spacing w:after="0" w:before="0"/>
            </w:pPr>
            <w:r>
              <w:rPr>
                <w:rFonts w:ascii="Aptos" w:hAnsi="Aptos"/>
                <w:sz w:val="15"/>
              </w:rPr>
              <w:t>Governance und Unabhängigkeit öffentlich-rechtlicher Medien</w:t>
            </w:r>
          </w:p>
        </w:tc>
        <w:tc>
          <w:tcPr>
            <w:tcW w:type="dxa" w:w="2523"/>
            <w:vAlign w:val="center"/>
            <w:tcMar>
              <w:top w:w="80" w:type="dxa"/>
              <w:start w:w="100" w:type="dxa"/>
              <w:bottom w:w="80" w:type="dxa"/>
              <w:end w:w="100" w:type="dxa"/>
            </w:tcMar>
          </w:tcPr>
          <w:p>
            <w:pPr>
              <w:spacing w:after="0" w:before="0"/>
            </w:pPr>
            <w:hyperlink r:id="rId33">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E18</w:t>
            </w:r>
          </w:p>
        </w:tc>
        <w:tc>
          <w:tcPr>
            <w:tcW w:type="dxa" w:w="2523"/>
            <w:vAlign w:val="center"/>
            <w:tcMar>
              <w:top w:w="80" w:type="dxa"/>
              <w:start w:w="100" w:type="dxa"/>
              <w:bottom w:w="80" w:type="dxa"/>
              <w:end w:w="100" w:type="dxa"/>
            </w:tcMar>
          </w:tcPr>
          <w:p>
            <w:pPr>
              <w:spacing w:after="0" w:before="0"/>
            </w:pPr>
            <w:r>
              <w:rPr>
                <w:rFonts w:ascii="Aptos" w:hAnsi="Aptos"/>
                <w:sz w:val="15"/>
              </w:rPr>
              <w:t>Europäische Kommission</w:t>
            </w:r>
          </w:p>
        </w:tc>
        <w:tc>
          <w:tcPr>
            <w:tcW w:type="dxa" w:w="2523"/>
            <w:vAlign w:val="center"/>
            <w:tcMar>
              <w:top w:w="80" w:type="dxa"/>
              <w:start w:w="100" w:type="dxa"/>
              <w:bottom w:w="80" w:type="dxa"/>
              <w:end w:w="100" w:type="dxa"/>
            </w:tcMar>
          </w:tcPr>
          <w:p>
            <w:pPr>
              <w:spacing w:after="0" w:before="0"/>
            </w:pPr>
            <w:r>
              <w:rPr>
                <w:rFonts w:ascii="Aptos" w:hAnsi="Aptos"/>
                <w:sz w:val="15"/>
              </w:rPr>
              <w:t>Digital Services Act, Algorithmustransparenz und systemische Risiken; AI Act</w:t>
            </w:r>
          </w:p>
        </w:tc>
        <w:tc>
          <w:tcPr>
            <w:tcW w:type="dxa" w:w="2523"/>
            <w:vAlign w:val="center"/>
            <w:tcMar>
              <w:top w:w="80" w:type="dxa"/>
              <w:start w:w="100" w:type="dxa"/>
              <w:bottom w:w="80" w:type="dxa"/>
              <w:end w:w="100" w:type="dxa"/>
            </w:tcMar>
          </w:tcPr>
          <w:p>
            <w:pPr>
              <w:spacing w:after="0" w:before="0"/>
            </w:pPr>
            <w:hyperlink r:id="rId34">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E19</w:t>
            </w:r>
          </w:p>
        </w:tc>
        <w:tc>
          <w:tcPr>
            <w:tcW w:type="dxa" w:w="2523"/>
            <w:vAlign w:val="center"/>
            <w:tcMar>
              <w:top w:w="80" w:type="dxa"/>
              <w:start w:w="100" w:type="dxa"/>
              <w:bottom w:w="80" w:type="dxa"/>
              <w:end w:w="100" w:type="dxa"/>
            </w:tcMar>
          </w:tcPr>
          <w:p>
            <w:pPr>
              <w:spacing w:after="0" w:before="0"/>
            </w:pPr>
            <w:r>
              <w:rPr>
                <w:rFonts w:ascii="Aptos" w:hAnsi="Aptos"/>
                <w:sz w:val="15"/>
              </w:rPr>
              <w:t>Deutscher Bundestag</w:t>
            </w:r>
          </w:p>
        </w:tc>
        <w:tc>
          <w:tcPr>
            <w:tcW w:type="dxa" w:w="2523"/>
            <w:vAlign w:val="center"/>
            <w:tcMar>
              <w:top w:w="80" w:type="dxa"/>
              <w:start w:w="100" w:type="dxa"/>
              <w:bottom w:w="80" w:type="dxa"/>
              <w:end w:w="100" w:type="dxa"/>
            </w:tcMar>
          </w:tcPr>
          <w:p>
            <w:pPr>
              <w:spacing w:after="0" w:before="0"/>
            </w:pPr>
            <w:r>
              <w:rPr>
                <w:rFonts w:ascii="Aptos" w:hAnsi="Aptos"/>
                <w:sz w:val="15"/>
              </w:rPr>
              <w:t>Lobbyregister und Regeln der Parteienfinanzierung</w:t>
            </w:r>
          </w:p>
        </w:tc>
        <w:tc>
          <w:tcPr>
            <w:tcW w:type="dxa" w:w="2523"/>
            <w:vAlign w:val="center"/>
            <w:tcMar>
              <w:top w:w="80" w:type="dxa"/>
              <w:start w:w="100" w:type="dxa"/>
              <w:bottom w:w="80" w:type="dxa"/>
              <w:end w:w="100" w:type="dxa"/>
            </w:tcMar>
          </w:tcPr>
          <w:p>
            <w:pPr>
              <w:spacing w:after="0" w:before="0"/>
            </w:pPr>
            <w:hyperlink r:id="rId35">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E20</w:t>
            </w:r>
          </w:p>
        </w:tc>
        <w:tc>
          <w:tcPr>
            <w:tcW w:type="dxa" w:w="2523"/>
            <w:vAlign w:val="center"/>
            <w:tcMar>
              <w:top w:w="80" w:type="dxa"/>
              <w:start w:w="100" w:type="dxa"/>
              <w:bottom w:w="80" w:type="dxa"/>
              <w:end w:w="100" w:type="dxa"/>
            </w:tcMar>
          </w:tcPr>
          <w:p>
            <w:pPr>
              <w:spacing w:after="0" w:before="0"/>
            </w:pPr>
            <w:r>
              <w:rPr>
                <w:rFonts w:ascii="Aptos" w:hAnsi="Aptos"/>
                <w:sz w:val="15"/>
              </w:rPr>
              <w:t>Bundeszentrale für politische Bildung</w:t>
            </w:r>
          </w:p>
        </w:tc>
        <w:tc>
          <w:tcPr>
            <w:tcW w:type="dxa" w:w="2523"/>
            <w:vAlign w:val="center"/>
            <w:tcMar>
              <w:top w:w="80" w:type="dxa"/>
              <w:start w:w="100" w:type="dxa"/>
              <w:bottom w:w="80" w:type="dxa"/>
              <w:end w:w="100" w:type="dxa"/>
            </w:tcMar>
          </w:tcPr>
          <w:p>
            <w:pPr>
              <w:spacing w:after="0" w:before="0"/>
            </w:pPr>
            <w:r>
              <w:rPr>
                <w:rFonts w:ascii="Aptos" w:hAnsi="Aptos"/>
                <w:sz w:val="15"/>
              </w:rPr>
              <w:t>Bürgerbeteiligung, Bürgerräte und direkte Demokratie</w:t>
            </w:r>
          </w:p>
        </w:tc>
        <w:tc>
          <w:tcPr>
            <w:tcW w:type="dxa" w:w="2523"/>
            <w:vAlign w:val="center"/>
            <w:tcMar>
              <w:top w:w="80" w:type="dxa"/>
              <w:start w:w="100" w:type="dxa"/>
              <w:bottom w:w="80" w:type="dxa"/>
              <w:end w:w="100" w:type="dxa"/>
            </w:tcMar>
          </w:tcPr>
          <w:p>
            <w:pPr>
              <w:spacing w:after="0" w:before="0"/>
            </w:pPr>
            <w:hyperlink r:id="rId36">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E21</w:t>
            </w:r>
          </w:p>
        </w:tc>
        <w:tc>
          <w:tcPr>
            <w:tcW w:type="dxa" w:w="2523"/>
            <w:vAlign w:val="center"/>
            <w:tcMar>
              <w:top w:w="80" w:type="dxa"/>
              <w:start w:w="100" w:type="dxa"/>
              <w:bottom w:w="80" w:type="dxa"/>
              <w:end w:w="100" w:type="dxa"/>
            </w:tcMar>
          </w:tcPr>
          <w:p>
            <w:pPr>
              <w:spacing w:after="0" w:before="0"/>
            </w:pPr>
            <w:r>
              <w:rPr>
                <w:rFonts w:ascii="Aptos" w:hAnsi="Aptos"/>
                <w:sz w:val="15"/>
              </w:rPr>
              <w:t>UNHCR</w:t>
            </w:r>
          </w:p>
        </w:tc>
        <w:tc>
          <w:tcPr>
            <w:tcW w:type="dxa" w:w="2523"/>
            <w:vAlign w:val="center"/>
            <w:tcMar>
              <w:top w:w="80" w:type="dxa"/>
              <w:start w:w="100" w:type="dxa"/>
              <w:bottom w:w="80" w:type="dxa"/>
              <w:end w:w="100" w:type="dxa"/>
            </w:tcMar>
          </w:tcPr>
          <w:p>
            <w:pPr>
              <w:spacing w:after="0" w:before="0"/>
            </w:pPr>
            <w:r>
              <w:rPr>
                <w:rFonts w:ascii="Aptos" w:hAnsi="Aptos"/>
                <w:sz w:val="15"/>
              </w:rPr>
              <w:t>Flüchtlingskonvention, Zugang zum Asylverfahren und Verbot von Pushbacks/Refoulement</w:t>
            </w:r>
          </w:p>
        </w:tc>
        <w:tc>
          <w:tcPr>
            <w:tcW w:type="dxa" w:w="2523"/>
            <w:vAlign w:val="center"/>
            <w:tcMar>
              <w:top w:w="80" w:type="dxa"/>
              <w:start w:w="100" w:type="dxa"/>
              <w:bottom w:w="80" w:type="dxa"/>
              <w:end w:w="100" w:type="dxa"/>
            </w:tcMar>
          </w:tcPr>
          <w:p>
            <w:pPr>
              <w:spacing w:after="0" w:before="0"/>
            </w:pPr>
            <w:hyperlink r:id="rId37">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E22</w:t>
            </w:r>
          </w:p>
        </w:tc>
        <w:tc>
          <w:tcPr>
            <w:tcW w:type="dxa" w:w="2523"/>
            <w:vAlign w:val="center"/>
            <w:tcMar>
              <w:top w:w="80" w:type="dxa"/>
              <w:start w:w="100" w:type="dxa"/>
              <w:bottom w:w="80" w:type="dxa"/>
              <w:end w:w="100" w:type="dxa"/>
            </w:tcMar>
          </w:tcPr>
          <w:p>
            <w:pPr>
              <w:spacing w:after="0" w:before="0"/>
            </w:pPr>
            <w:r>
              <w:rPr>
                <w:rFonts w:ascii="Aptos" w:hAnsi="Aptos"/>
                <w:sz w:val="15"/>
              </w:rPr>
              <w:t>IAB / OECD</w:t>
            </w:r>
          </w:p>
        </w:tc>
        <w:tc>
          <w:tcPr>
            <w:tcW w:type="dxa" w:w="2523"/>
            <w:vAlign w:val="center"/>
            <w:tcMar>
              <w:top w:w="80" w:type="dxa"/>
              <w:start w:w="100" w:type="dxa"/>
              <w:bottom w:w="80" w:type="dxa"/>
              <w:end w:w="100" w:type="dxa"/>
            </w:tcMar>
          </w:tcPr>
          <w:p>
            <w:pPr>
              <w:spacing w:after="0" w:before="0"/>
            </w:pPr>
            <w:r>
              <w:rPr>
                <w:rFonts w:ascii="Aptos" w:hAnsi="Aptos"/>
                <w:sz w:val="15"/>
              </w:rPr>
              <w:t>Arbeitsmarktintegration, Fachkräftemigration und Integrationspolitik</w:t>
            </w:r>
          </w:p>
        </w:tc>
        <w:tc>
          <w:tcPr>
            <w:tcW w:type="dxa" w:w="2523"/>
            <w:vAlign w:val="center"/>
            <w:tcMar>
              <w:top w:w="80" w:type="dxa"/>
              <w:start w:w="100" w:type="dxa"/>
              <w:bottom w:w="80" w:type="dxa"/>
              <w:end w:w="100" w:type="dxa"/>
            </w:tcMar>
          </w:tcPr>
          <w:p>
            <w:pPr>
              <w:spacing w:after="0" w:before="0"/>
            </w:pPr>
            <w:hyperlink r:id="rId38">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E23</w:t>
            </w:r>
          </w:p>
        </w:tc>
        <w:tc>
          <w:tcPr>
            <w:tcW w:type="dxa" w:w="2523"/>
            <w:vAlign w:val="center"/>
            <w:tcMar>
              <w:top w:w="80" w:type="dxa"/>
              <w:start w:w="100" w:type="dxa"/>
              <w:bottom w:w="80" w:type="dxa"/>
              <w:end w:w="100" w:type="dxa"/>
            </w:tcMar>
          </w:tcPr>
          <w:p>
            <w:pPr>
              <w:spacing w:after="0" w:before="0"/>
            </w:pPr>
            <w:r>
              <w:rPr>
                <w:rFonts w:ascii="Aptos" w:hAnsi="Aptos"/>
                <w:sz w:val="15"/>
              </w:rPr>
              <w:t>Europäische Grundrechteagentur / Antidiskriminierungsstelle des Bundes</w:t>
            </w:r>
          </w:p>
        </w:tc>
        <w:tc>
          <w:tcPr>
            <w:tcW w:type="dxa" w:w="2523"/>
            <w:vAlign w:val="center"/>
            <w:tcMar>
              <w:top w:w="80" w:type="dxa"/>
              <w:start w:w="100" w:type="dxa"/>
              <w:bottom w:w="80" w:type="dxa"/>
              <w:end w:w="100" w:type="dxa"/>
            </w:tcMar>
          </w:tcPr>
          <w:p>
            <w:pPr>
              <w:spacing w:after="0" w:before="0"/>
            </w:pPr>
            <w:r>
              <w:rPr>
                <w:rFonts w:ascii="Aptos" w:hAnsi="Aptos"/>
                <w:sz w:val="15"/>
              </w:rPr>
              <w:t>Gleichbehandlung, Diskriminierung und Schutz vulnerabler Gruppen</w:t>
            </w:r>
          </w:p>
        </w:tc>
        <w:tc>
          <w:tcPr>
            <w:tcW w:type="dxa" w:w="2523"/>
            <w:vAlign w:val="center"/>
            <w:tcMar>
              <w:top w:w="80" w:type="dxa"/>
              <w:start w:w="100" w:type="dxa"/>
              <w:bottom w:w="80" w:type="dxa"/>
              <w:end w:w="100" w:type="dxa"/>
            </w:tcMar>
          </w:tcPr>
          <w:p>
            <w:pPr>
              <w:spacing w:after="0" w:before="0"/>
            </w:pPr>
            <w:hyperlink r:id="rId39">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E24</w:t>
            </w:r>
          </w:p>
        </w:tc>
        <w:tc>
          <w:tcPr>
            <w:tcW w:type="dxa" w:w="2523"/>
            <w:vAlign w:val="center"/>
            <w:tcMar>
              <w:top w:w="80" w:type="dxa"/>
              <w:start w:w="100" w:type="dxa"/>
              <w:bottom w:w="80" w:type="dxa"/>
              <w:end w:w="100" w:type="dxa"/>
            </w:tcMar>
          </w:tcPr>
          <w:p>
            <w:pPr>
              <w:spacing w:after="0" w:before="0"/>
            </w:pPr>
            <w:r>
              <w:rPr>
                <w:rFonts w:ascii="Aptos" w:hAnsi="Aptos"/>
                <w:sz w:val="15"/>
              </w:rPr>
              <w:t>Europäische Union</w:t>
            </w:r>
          </w:p>
        </w:tc>
        <w:tc>
          <w:tcPr>
            <w:tcW w:type="dxa" w:w="2523"/>
            <w:vAlign w:val="center"/>
            <w:tcMar>
              <w:top w:w="80" w:type="dxa"/>
              <w:start w:w="100" w:type="dxa"/>
              <w:bottom w:w="80" w:type="dxa"/>
              <w:end w:w="100" w:type="dxa"/>
            </w:tcMar>
          </w:tcPr>
          <w:p>
            <w:pPr>
              <w:spacing w:after="0" w:before="0"/>
            </w:pPr>
            <w:r>
              <w:rPr>
                <w:rFonts w:ascii="Aptos" w:hAnsi="Aptos"/>
                <w:sz w:val="15"/>
              </w:rPr>
              <w:t>Verträge, Binnenmarkt, Rechtsstaatlichkeit und gemeinsame Politik</w:t>
            </w:r>
          </w:p>
        </w:tc>
        <w:tc>
          <w:tcPr>
            <w:tcW w:type="dxa" w:w="2523"/>
            <w:vAlign w:val="center"/>
            <w:tcMar>
              <w:top w:w="80" w:type="dxa"/>
              <w:start w:w="100" w:type="dxa"/>
              <w:bottom w:w="80" w:type="dxa"/>
              <w:end w:w="100" w:type="dxa"/>
            </w:tcMar>
          </w:tcPr>
          <w:p>
            <w:pPr>
              <w:spacing w:after="0" w:before="0"/>
            </w:pPr>
            <w:hyperlink r:id="rId40">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E25</w:t>
            </w:r>
          </w:p>
        </w:tc>
        <w:tc>
          <w:tcPr>
            <w:tcW w:type="dxa" w:w="2523"/>
            <w:vAlign w:val="center"/>
            <w:tcMar>
              <w:top w:w="80" w:type="dxa"/>
              <w:start w:w="100" w:type="dxa"/>
              <w:bottom w:w="80" w:type="dxa"/>
              <w:end w:w="100" w:type="dxa"/>
            </w:tcMar>
          </w:tcPr>
          <w:p>
            <w:pPr>
              <w:spacing w:after="0" w:before="0"/>
            </w:pPr>
            <w:r>
              <w:rPr>
                <w:rFonts w:ascii="Aptos" w:hAnsi="Aptos"/>
                <w:sz w:val="15"/>
              </w:rPr>
              <w:t>Vereinte Nationen / Bundesregierung</w:t>
            </w:r>
          </w:p>
        </w:tc>
        <w:tc>
          <w:tcPr>
            <w:tcW w:type="dxa" w:w="2523"/>
            <w:vAlign w:val="center"/>
            <w:tcMar>
              <w:top w:w="80" w:type="dxa"/>
              <w:start w:w="100" w:type="dxa"/>
              <w:bottom w:w="80" w:type="dxa"/>
              <w:end w:w="100" w:type="dxa"/>
            </w:tcMar>
          </w:tcPr>
          <w:p>
            <w:pPr>
              <w:spacing w:after="0" w:before="0"/>
            </w:pPr>
            <w:r>
              <w:rPr>
                <w:rFonts w:ascii="Aptos" w:hAnsi="Aptos"/>
                <w:sz w:val="15"/>
              </w:rPr>
              <w:t>UN-Charta, Souveränität der Ukraine, humanitäre und sicherheitspolitische Unterstützung</w:t>
            </w:r>
          </w:p>
        </w:tc>
        <w:tc>
          <w:tcPr>
            <w:tcW w:type="dxa" w:w="2523"/>
            <w:vAlign w:val="center"/>
            <w:tcMar>
              <w:top w:w="80" w:type="dxa"/>
              <w:start w:w="100" w:type="dxa"/>
              <w:bottom w:w="80" w:type="dxa"/>
              <w:end w:w="100" w:type="dxa"/>
            </w:tcMar>
          </w:tcPr>
          <w:p>
            <w:pPr>
              <w:spacing w:after="0" w:before="0"/>
            </w:pPr>
            <w:hyperlink r:id="rId41">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E26</w:t>
            </w:r>
          </w:p>
        </w:tc>
        <w:tc>
          <w:tcPr>
            <w:tcW w:type="dxa" w:w="2523"/>
            <w:vAlign w:val="center"/>
            <w:tcMar>
              <w:top w:w="80" w:type="dxa"/>
              <w:start w:w="100" w:type="dxa"/>
              <w:bottom w:w="80" w:type="dxa"/>
              <w:end w:w="100" w:type="dxa"/>
            </w:tcMar>
          </w:tcPr>
          <w:p>
            <w:pPr>
              <w:spacing w:after="0" w:before="0"/>
            </w:pPr>
            <w:r>
              <w:rPr>
                <w:rFonts w:ascii="Aptos" w:hAnsi="Aptos"/>
                <w:sz w:val="15"/>
              </w:rPr>
              <w:t>NATO / Deutscher Bundestag</w:t>
            </w:r>
          </w:p>
        </w:tc>
        <w:tc>
          <w:tcPr>
            <w:tcW w:type="dxa" w:w="2523"/>
            <w:vAlign w:val="center"/>
            <w:tcMar>
              <w:top w:w="80" w:type="dxa"/>
              <w:start w:w="100" w:type="dxa"/>
              <w:bottom w:w="80" w:type="dxa"/>
              <w:end w:w="100" w:type="dxa"/>
            </w:tcMar>
          </w:tcPr>
          <w:p>
            <w:pPr>
              <w:spacing w:after="0" w:before="0"/>
            </w:pPr>
            <w:r>
              <w:rPr>
                <w:rFonts w:ascii="Aptos" w:hAnsi="Aptos"/>
                <w:sz w:val="15"/>
              </w:rPr>
              <w:t>Fähigkeitsziele, Verteidigungsinvestitionen, Wehrbeauftragte und Wehrdienstdebatte</w:t>
            </w:r>
          </w:p>
        </w:tc>
        <w:tc>
          <w:tcPr>
            <w:tcW w:type="dxa" w:w="2523"/>
            <w:vAlign w:val="center"/>
            <w:tcMar>
              <w:top w:w="80" w:type="dxa"/>
              <w:start w:w="100" w:type="dxa"/>
              <w:bottom w:w="80" w:type="dxa"/>
              <w:end w:w="100" w:type="dxa"/>
            </w:tcMar>
          </w:tcPr>
          <w:p>
            <w:pPr>
              <w:spacing w:after="0" w:before="0"/>
            </w:pPr>
            <w:hyperlink r:id="rId42">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E27</w:t>
            </w:r>
          </w:p>
        </w:tc>
        <w:tc>
          <w:tcPr>
            <w:tcW w:type="dxa" w:w="2523"/>
            <w:vAlign w:val="center"/>
            <w:tcMar>
              <w:top w:w="80" w:type="dxa"/>
              <w:start w:w="100" w:type="dxa"/>
              <w:bottom w:w="80" w:type="dxa"/>
              <w:end w:w="100" w:type="dxa"/>
            </w:tcMar>
          </w:tcPr>
          <w:p>
            <w:pPr>
              <w:spacing w:after="0" w:before="0"/>
            </w:pPr>
            <w:r>
              <w:rPr>
                <w:rFonts w:ascii="Aptos" w:hAnsi="Aptos"/>
                <w:sz w:val="15"/>
              </w:rPr>
              <w:t>OECD</w:t>
            </w:r>
          </w:p>
        </w:tc>
        <w:tc>
          <w:tcPr>
            <w:tcW w:type="dxa" w:w="2523"/>
            <w:vAlign w:val="center"/>
            <w:tcMar>
              <w:top w:w="80" w:type="dxa"/>
              <w:start w:w="100" w:type="dxa"/>
              <w:bottom w:w="80" w:type="dxa"/>
              <w:end w:w="100" w:type="dxa"/>
            </w:tcMar>
          </w:tcPr>
          <w:p>
            <w:pPr>
              <w:spacing w:after="0" w:before="0"/>
            </w:pPr>
            <w:r>
              <w:rPr>
                <w:rFonts w:ascii="Aptos" w:hAnsi="Aptos"/>
                <w:sz w:val="15"/>
              </w:rPr>
              <w:t>Education at a Glance 2025 und Economic Survey Germany 2025: Bildungsungleichheit, frühe Bildung und Investitionen</w:t>
            </w:r>
          </w:p>
        </w:tc>
        <w:tc>
          <w:tcPr>
            <w:tcW w:type="dxa" w:w="2523"/>
            <w:vAlign w:val="center"/>
            <w:tcMar>
              <w:top w:w="80" w:type="dxa"/>
              <w:start w:w="100" w:type="dxa"/>
              <w:bottom w:w="80" w:type="dxa"/>
              <w:end w:w="100" w:type="dxa"/>
            </w:tcMar>
          </w:tcPr>
          <w:p>
            <w:pPr>
              <w:spacing w:after="0" w:before="0"/>
            </w:pPr>
            <w:hyperlink r:id="rId43">
              <w:r>
                <w:rPr>
                  <w:color w:val="2A5C50"/>
                  <w:u w:val="single"/>
                </w:rPr>
                <w:t>Quelle</w:t>
              </w:r>
            </w:hyperlink>
          </w:p>
        </w:tc>
      </w:tr>
      <w:tr>
        <w:trPr>
          <w:cantSplit w:val="true"/>
        </w:trPr>
        <w:tc>
          <w:tcPr>
            <w:tcW w:type="dxa" w:w="2523"/>
            <w:vAlign w:val="center"/>
            <w:tcMar>
              <w:top w:w="80" w:type="dxa"/>
              <w:start w:w="100" w:type="dxa"/>
              <w:bottom w:w="80" w:type="dxa"/>
              <w:end w:w="100" w:type="dxa"/>
            </w:tcMar>
          </w:tcPr>
          <w:p>
            <w:pPr>
              <w:spacing w:after="0" w:before="0"/>
            </w:pPr>
            <w:r>
              <w:rPr>
                <w:rFonts w:ascii="Aptos" w:hAnsi="Aptos"/>
                <w:sz w:val="15"/>
              </w:rPr>
              <w:t>E28</w:t>
            </w:r>
          </w:p>
        </w:tc>
        <w:tc>
          <w:tcPr>
            <w:tcW w:type="dxa" w:w="2523"/>
            <w:vAlign w:val="center"/>
            <w:tcMar>
              <w:top w:w="80" w:type="dxa"/>
              <w:start w:w="100" w:type="dxa"/>
              <w:bottom w:w="80" w:type="dxa"/>
              <w:end w:w="100" w:type="dxa"/>
            </w:tcMar>
          </w:tcPr>
          <w:p>
            <w:pPr>
              <w:spacing w:after="0" w:before="0"/>
            </w:pPr>
            <w:r>
              <w:rPr>
                <w:rFonts w:ascii="Aptos" w:hAnsi="Aptos"/>
                <w:sz w:val="15"/>
              </w:rPr>
              <w:t>Europäische Kommission</w:t>
            </w:r>
          </w:p>
        </w:tc>
        <w:tc>
          <w:tcPr>
            <w:tcW w:type="dxa" w:w="2523"/>
            <w:vAlign w:val="center"/>
            <w:tcMar>
              <w:top w:w="80" w:type="dxa"/>
              <w:start w:w="100" w:type="dxa"/>
              <w:bottom w:w="80" w:type="dxa"/>
              <w:end w:w="100" w:type="dxa"/>
            </w:tcMar>
          </w:tcPr>
          <w:p>
            <w:pPr>
              <w:spacing w:after="0" w:before="0"/>
            </w:pPr>
            <w:r>
              <w:rPr>
                <w:rFonts w:ascii="Aptos" w:hAnsi="Aptos"/>
                <w:sz w:val="15"/>
              </w:rPr>
              <w:t>AI Act und europäische Regeln für risikobasierte KI-Governance</w:t>
            </w:r>
          </w:p>
        </w:tc>
        <w:tc>
          <w:tcPr>
            <w:tcW w:type="dxa" w:w="2523"/>
            <w:vAlign w:val="center"/>
            <w:tcMar>
              <w:top w:w="80" w:type="dxa"/>
              <w:start w:w="100" w:type="dxa"/>
              <w:bottom w:w="80" w:type="dxa"/>
              <w:end w:w="100" w:type="dxa"/>
            </w:tcMar>
          </w:tcPr>
          <w:p>
            <w:pPr>
              <w:spacing w:after="0" w:before="0"/>
            </w:pPr>
            <w:hyperlink r:id="rId44">
              <w:r>
                <w:rPr>
                  <w:color w:val="2A5C50"/>
                  <w:u w:val="single"/>
                </w:rPr>
                <w:t>Quelle</w:t>
              </w:r>
            </w:hyperlink>
          </w:p>
        </w:tc>
      </w:tr>
    </w:tbl>
    <w:p>
      <w:pPr>
        <w:pStyle w:val="Heading1"/>
        <w:spacing w:after="80"/>
        <w:keepNext/>
      </w:pPr>
      <w:r>
        <w:t>N. Redaktions- und Freigabecheckliste</w:t>
      </w:r>
    </w:p>
    <w:p>
      <w:pPr>
        <w:pStyle w:val="ListBullet"/>
        <w:spacing w:after="20" w:before="0"/>
      </w:pPr>
      <w:r>
        <w:t>Jede Parteizuordnung von zwei Personen unabhängig gegen die Primärquelle prüfen.</w:t>
      </w:r>
    </w:p>
    <w:p>
      <w:pPr>
        <w:pStyle w:val="ListBullet"/>
        <w:spacing w:after="20" w:before="0"/>
      </w:pPr>
      <w:r>
        <w:t>Parteien vor öffentlicher Veröffentlichung eine befristete Möglichkeit zur Quellenkorrektur geben.</w:t>
      </w:r>
    </w:p>
    <w:p>
      <w:pPr>
        <w:pStyle w:val="ListBullet"/>
        <w:spacing w:after="20" w:before="0"/>
      </w:pPr>
      <w:r>
        <w:t>Programmaussage, parlamentarisches Handeln und Regierungsumsetzung niemals still vermischen.</w:t>
      </w:r>
    </w:p>
    <w:p>
      <w:pPr>
        <w:pStyle w:val="ListBullet"/>
        <w:spacing w:after="20" w:before="0"/>
      </w:pPr>
      <w:r>
        <w:t>Jede Wirkungsanalyse mindestens mit einer fachlich unabhängigen Gegenposition prüfen.</w:t>
      </w:r>
    </w:p>
    <w:p>
      <w:pPr>
        <w:pStyle w:val="ListBullet"/>
        <w:spacing w:after="20" w:before="0"/>
      </w:pPr>
      <w:r>
        <w:t>Bandbreiten, Unsicherheit und Gültigkeitsbedingungen sichtbar halten.</w:t>
      </w:r>
    </w:p>
    <w:p>
      <w:pPr>
        <w:pStyle w:val="ListBullet"/>
        <w:spacing w:after="20" w:before="0"/>
      </w:pPr>
      <w:r>
        <w:t>Fragen auf Doppelfragen, Frames, versteckte Wertung und soziale Erwünschtheit testen.</w:t>
      </w:r>
    </w:p>
    <w:p>
      <w:pPr>
        <w:pStyle w:val="ListBullet"/>
        <w:spacing w:after="20" w:before="0"/>
      </w:pPr>
      <w:r>
        <w:t>Berechnungslogik und Quellendatensatz offen versionieren.</w:t>
      </w:r>
    </w:p>
    <w:p>
      <w:pPr>
        <w:pStyle w:val="ListBullet"/>
        <w:spacing w:after="20" w:before="0"/>
      </w:pPr>
      <w:r>
        <w:t>Keine persönlichen Antwortdaten serverseitig speichern, solange dies nicht ausdrücklich erforderlich und eingewilligt ist.</w:t>
      </w:r>
    </w:p>
    <w:p>
      <w:pPr>
        <w:pStyle w:val="ListBullet"/>
        <w:spacing w:after="20" w:before="0"/>
      </w:pPr>
      <w:r>
        <w:t>Regelmäßigen Datenstichtag und Änderungsprotokoll veröffentlichen.</w:t>
      </w:r>
    </w:p>
    <w:p>
      <w:pPr>
        <w:pStyle w:val="ListBullet"/>
        <w:spacing w:after="20" w:before="0"/>
      </w:pPr>
      <w:r>
        <w:t>Juristische Prüfung zu Wahlwerbung, Markenrecht, Datenschutz, Parteiengleichbehandlung und Presserecht durchführen.</w:t>
      </w:r>
    </w:p>
    <w:p>
      <w:pPr>
        <w:pStyle w:val="Heading1"/>
        <w:spacing w:after="80"/>
        <w:keepNext/>
      </w:pPr>
      <w:r>
        <w:t>O. Führende wirkungsökonomische Quellen</w:t>
      </w:r>
    </w:p>
    <w:p>
      <w:pPr>
        <w:pStyle w:val="ListBullet"/>
        <w:spacing w:after="20" w:before="0"/>
      </w:pPr>
      <w:r>
        <w:t>WOeK_Begriffsleitfaden_fuehrend_v1.0.md – maßgebliche Sprache und Abgrenzung der Wirkungsbegriffe.</w:t>
      </w:r>
    </w:p>
    <w:p>
      <w:pPr>
        <w:pStyle w:val="ListBullet"/>
        <w:spacing w:after="20" w:before="0"/>
      </w:pPr>
      <w:r>
        <w:t>Wirkungswahl-Kompass_Methodik_Content_UX-Paket_v1.0.docx – Produkt-, UX- und Berechnungsarchitektur.</w:t>
      </w:r>
    </w:p>
    <w:p>
      <w:pPr>
        <w:pStyle w:val="ListBullet"/>
        <w:spacing w:after="20" w:before="0"/>
      </w:pPr>
      <w:r>
        <w:t>Natalie-Weber_Die neue Ordnung des Wohlstands_2026.pdf – aktuelles Grundlagenwerk und Referenzrahmen.</w:t>
      </w:r>
    </w:p>
    <w:p>
      <w:pPr>
        <w:pStyle w:val="ListBullet"/>
        <w:spacing w:after="20" w:before="0"/>
      </w:pPr>
      <w:r>
        <w:t>Systemmodell-der-Wirkungsökonomie.pdf – Ordnungskarte Mensch, Planet und Demokratie.</w:t>
      </w:r>
    </w:p>
    <w:p>
      <w:pPr>
        <w:pStyle w:val="ListBullet"/>
        <w:spacing w:after="20" w:before="0"/>
      </w:pPr>
      <w:r>
        <w:t>Wirkungsrat_Konzept.pdf – Governance, Pluralität und Transparenzregeln.</w:t>
      </w:r>
    </w:p>
    <w:sectPr w:rsidR="00FC693F" w:rsidRPr="0006063C" w:rsidSect="00034616">
      <w:footerReference w:type="default" r:id="rId9"/>
      <w:pgSz w:w="11906" w:h="16838"/>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60"/>
        <w:sz w:val="15"/>
      </w:rPr>
      <w:t xml:space="preserve">Wirkungswahl-Kompass · Redaktionelles Inhaltspaket v1.0 · Stand 4. August 2026 · Seite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B33"/>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A5C50"/>
      <w:sz w:val="28"/>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2A5C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2A5C5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cdu.de/app/uploads/2025/01/km_btw_2025_wahlprogramm_langfassung_ansicht.pdf" TargetMode="External"/><Relationship Id="rId11" Type="http://schemas.openxmlformats.org/officeDocument/2006/relationships/hyperlink" Target="https://mehr.spd.de/custom-static-assets/documents/Regierungsprogramm.pdf" TargetMode="External"/><Relationship Id="rId12" Type="http://schemas.openxmlformats.org/officeDocument/2006/relationships/hyperlink" Target="https://cms.gruene.de/uploads/assets/Regierungsprogramm_DIGITAL_DINA5.pdf" TargetMode="External"/><Relationship Id="rId13" Type="http://schemas.openxmlformats.org/officeDocument/2006/relationships/hyperlink" Target="https://www.afd.de/wp-content/uploads/2025/02/AfD_Bundestagswahlprogramm2025_web.pdf" TargetMode="External"/><Relationship Id="rId14" Type="http://schemas.openxmlformats.org/officeDocument/2006/relationships/hyperlink" Target="https://www.die-linke.de/fileadmin/user_upload/Wahlprogramm_Langfassung_Linke-BTW25_01.pdf" TargetMode="External"/><Relationship Id="rId15" Type="http://schemas.openxmlformats.org/officeDocument/2006/relationships/hyperlink" Target="https://bsw-vg.de/wp-content/themes/bsw/assets/downloads/BSW%20Wahlprogramm%202025.pdf" TargetMode="External"/><Relationship Id="rId16" Type="http://schemas.openxmlformats.org/officeDocument/2006/relationships/hyperlink" Target="https://www.fdp.de/sites/default/files/2024-12/fdp-wahlprogramm_2025.pdf" TargetMode="External"/><Relationship Id="rId17" Type="http://schemas.openxmlformats.org/officeDocument/2006/relationships/hyperlink" Target="https://www.expertenrat-klima.de/" TargetMode="External"/><Relationship Id="rId18" Type="http://schemas.openxmlformats.org/officeDocument/2006/relationships/hyperlink" Target="https://www.iea.org/countries/germany" TargetMode="External"/><Relationship Id="rId19" Type="http://schemas.openxmlformats.org/officeDocument/2006/relationships/hyperlink" Target="https://www.umweltbundesamt.de/themen/klima-energie/klimaschutz-energiepolitik-in-deutschland/co2-bepreisung" TargetMode="External"/><Relationship Id="rId20" Type="http://schemas.openxmlformats.org/officeDocument/2006/relationships/hyperlink" Target="https://www.umweltbundesamt.de/themen/wirtschaft-konsum/wirtschaft-umwelt/umweltschaedliche-subventionen" TargetMode="External"/><Relationship Id="rId21" Type="http://schemas.openxmlformats.org/officeDocument/2006/relationships/hyperlink" Target="https://www.umweltbundesamt.de/themen/verkehr-laerm/klimafreundlicher-verkehr/tempolimit" TargetMode="External"/><Relationship Id="rId22" Type="http://schemas.openxmlformats.org/officeDocument/2006/relationships/hyperlink" Target="https://climate.ec.europa.eu/eu-action/transport/road-transport-reducing-co2-emissions-vehicles/co2-emission-performance-standards-cars-and-vans_en" TargetMode="External"/><Relationship Id="rId23" Type="http://schemas.openxmlformats.org/officeDocument/2006/relationships/hyperlink" Target="https://www.thuenen.de/" TargetMode="External"/><Relationship Id="rId24" Type="http://schemas.openxmlformats.org/officeDocument/2006/relationships/hyperlink" Target="https://www.sachverstaendigenrat-wirtschaft.de/" TargetMode="External"/><Relationship Id="rId25" Type="http://schemas.openxmlformats.org/officeDocument/2006/relationships/hyperlink" Target="https://www.oecd.org/en/topics/tax-policy.html" TargetMode="External"/><Relationship Id="rId26" Type="http://schemas.openxmlformats.org/officeDocument/2006/relationships/hyperlink" Target="https://www.oecd.org/en/publications/oecd-economic-surveys-germany-2025_39d62aed-en.html" TargetMode="External"/><Relationship Id="rId27" Type="http://schemas.openxmlformats.org/officeDocument/2006/relationships/hyperlink" Target="https://iab.de/" TargetMode="External"/><Relationship Id="rId28" Type="http://schemas.openxmlformats.org/officeDocument/2006/relationships/hyperlink" Target="https://www.bmas.de/DE/Arbeit/Arbeitsrecht/Mindestlohn/mindestlohn.html" TargetMode="External"/><Relationship Id="rId29" Type="http://schemas.openxmlformats.org/officeDocument/2006/relationships/hyperlink" Target="https://www.bmas.de/DE/Soziales/Rente-und-Altersvorsorge/rente-und-altersvorsorge.html" TargetMode="External"/><Relationship Id="rId30" Type="http://schemas.openxmlformats.org/officeDocument/2006/relationships/hyperlink" Target="https://www.oecd.org/en/topics/health.html" TargetMode="External"/><Relationship Id="rId31" Type="http://schemas.openxmlformats.org/officeDocument/2006/relationships/hyperlink" Target="https://www.bbsr.bund.de/" TargetMode="External"/><Relationship Id="rId32" Type="http://schemas.openxmlformats.org/officeDocument/2006/relationships/hyperlink" Target="https://www.umweltbundesamt.de/themen/boden-flaeche/flaechensparen-boeden-landschaften-erhalten" TargetMode="External"/><Relationship Id="rId33" Type="http://schemas.openxmlformats.org/officeDocument/2006/relationships/hyperlink" Target="https://www.coe.int/en/web/freedom-expression/public-service-media" TargetMode="External"/><Relationship Id="rId34" Type="http://schemas.openxmlformats.org/officeDocument/2006/relationships/hyperlink" Target="https://digital-strategy.ec.europa.eu/" TargetMode="External"/><Relationship Id="rId35" Type="http://schemas.openxmlformats.org/officeDocument/2006/relationships/hyperlink" Target="https://www.lobbyregister.bundestag.de/" TargetMode="External"/><Relationship Id="rId36" Type="http://schemas.openxmlformats.org/officeDocument/2006/relationships/hyperlink" Target="https://www.bpb.de/" TargetMode="External"/><Relationship Id="rId37" Type="http://schemas.openxmlformats.org/officeDocument/2006/relationships/hyperlink" Target="https://www.unhcr.org/" TargetMode="External"/><Relationship Id="rId38" Type="http://schemas.openxmlformats.org/officeDocument/2006/relationships/hyperlink" Target="https://www.oecd.org/en/topics/migration.html" TargetMode="External"/><Relationship Id="rId39" Type="http://schemas.openxmlformats.org/officeDocument/2006/relationships/hyperlink" Target="https://www.antidiskriminierungsstelle.de/" TargetMode="External"/><Relationship Id="rId40" Type="http://schemas.openxmlformats.org/officeDocument/2006/relationships/hyperlink" Target="https://european-union.europa.eu/" TargetMode="External"/><Relationship Id="rId41" Type="http://schemas.openxmlformats.org/officeDocument/2006/relationships/hyperlink" Target="https://www.un.org/" TargetMode="External"/><Relationship Id="rId42" Type="http://schemas.openxmlformats.org/officeDocument/2006/relationships/hyperlink" Target="https://www.nato.int/" TargetMode="External"/><Relationship Id="rId43" Type="http://schemas.openxmlformats.org/officeDocument/2006/relationships/hyperlink" Target="https://www.oecd.org/en/topics/education.html" TargetMode="External"/><Relationship Id="rId44" Type="http://schemas.openxmlformats.org/officeDocument/2006/relationships/hyperlink" Target="https://digital-strategy.ec.europa.eu/en/policies/regulatory-framework-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Wirkungswahl-Kompass – Redaktionelles Inhalts- und Parteiprofil-Paket v1.0</dc:title>
  <dc:subject>36 Fragen, Parteipositionen und wirkungsökonomische Einordnung</dc:subject>
  <dc:creator>Natalie Weber / Wirkungsökonomie-Projekt</dc:creator>
  <cp:keywords>Wirkungsökonomie, Wirkungswahl-Kompass, Parteien, Wirkungspotenzial, Demokratie</cp:keywords>
  <dc:description>generated by python-docx</dc:description>
  <cp:lastModifiedBy/>
  <cp:revision>1</cp:revision>
  <dcterms:created xsi:type="dcterms:W3CDTF">2013-12-23T23:15:00Z</dcterms:created>
  <dcterms:modified xsi:type="dcterms:W3CDTF">2013-12-23T23:15:00Z</dcterms:modified>
  <cp:category/>
</cp:coreProperties>
</file>