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V27 Modul/Abschnitt: G3.1 Titel: Kernfelder, Wirkungsgrenzen und rote Linien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Die neue Ordnung des Wohlstands (https://wirkungsoekonomie.de/buch.html) – Bewertungsrahmen, Mensch/Planet/Demokratie</w:t>
      </w:r>
    </w:p>
    <w:p>
      <w:pPr>
        <w:pStyle w:val="ListBullet"/>
      </w:pPr>
      <w:r>
        <w:t>Glossar der Wirkungsökonomie (https://wirkungsoekonomie.de/glossar.html)</w:t>
      </w:r>
    </w:p>
    <w:p>
      <w:pPr>
        <w:pStyle w:val="ListBullet"/>
      </w:pPr>
      <w:r>
        <w:t>Glossar: Wirkungsgrenze (https://wirkungsoekonomie.de/begriffe/wirkungsgrenze/), Wirkungsfeld (https://wirkungsoekonomie.de/begriffe/wirkungsfeld/),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Öffentliche Quelle: Glossarverweis (https://wirkungsoekonomie.de/begriffe/rote-linien/)</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Kernfelder, Wirkungsgrenzen und rote Linien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V27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Pruefungsimpuls. Bei Prüfungsnahe Fallfragen ohne geschützte Antwortlogik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V27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Natur ist kein Rohstofflager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Natur ist kein Rohstofflager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Natur ist kein Rohstofflager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Der Mensch ist kein Herrscher außerhalb der Natur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Der Mensch ist kein Herrscher außerhalb der Natur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Mensch ist kein Herrscher außerhalb der Natur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Koexistenz statt Extraktion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Koexistenz statt Extraktion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Koexistenz statt Extraktion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Naturkapital ohne Naturverkürzung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Naturkapital ohne Naturverkürzung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Naturkapital ohne Naturverkürzung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Transferhinweis. In V27 muss Regenerationsfähigkeit als Wohlstandsbedingung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Regenerationsfähigkeit als Wohlstandsbedingung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Regenerationsfähigkeit als Wohlstandsbedingung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Kernfelder, Wirkungsgrenzen und rote Linien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V27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