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V29 Modul/Abschnitt: G3.2 Titel: WÖk-IDs, Benchmarks und Archetypen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9. Quellen / Vertiefung</w:t>
      </w:r>
    </w:p>
    <w:p>
      <w:pPr>
        <w:pStyle w:val="ListBullet"/>
      </w:pPr>
      <w:r>
        <w:t>Die neue Ordnung des Wohlstands (https://wirkungsoekonomie.de/buch.html) – WÖk-IDs, Benchmarks, Scorecards</w:t>
      </w:r>
    </w:p>
    <w:p>
      <w:pPr>
        <w:pStyle w:val="ListBullet"/>
      </w:pPr>
      <w:r>
        <w:t>Glossar der Wirkungsökonomie (https://wirkungsoekonomie.de/glossar.html)</w:t>
      </w:r>
    </w:p>
    <w:p>
      <w:pPr>
        <w:pStyle w:val="ListBullet"/>
      </w:pPr>
      <w:r>
        <w:t>Glossar: WÖk id (https://wirkungsoekonomie.de/begriffe/woek-id/), Benchmark (https://wirkungsoekonomie.de/begriffe/benchmark/), Archetyp (https://wirkungsoekonomie.de/begriffe/archetyp/),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machen Wirkung adressierbar, Benchmarks machen sie vergleichbar, Archetypen machen Vergleich fair. Ohne diese drei Ebenen bleiben Wirkungsdaten entweder sprachlich, beliebig oder ungerecht.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WÖk-ID</w:t>
            </w:r>
          </w:p>
        </w:tc>
        <w:tc>
          <w:tcPr>
            <w:tcW w:type="dxa" w:w="2340"/>
            <w:vAlign w:val="center"/>
          </w:tcPr>
          <w:p>
            <w:r>
              <w:t>eindeutige Adresse eines Wirkungsindikators</w:t>
            </w:r>
          </w:p>
        </w:tc>
        <w:tc>
          <w:tcPr>
            <w:tcW w:type="dxa" w:w="2340"/>
            <w:vAlign w:val="center"/>
          </w:tcPr>
          <w:p>
            <w:r>
              <w:t>ID als Score oder Urteil lesen</w:t>
            </w:r>
          </w:p>
        </w:tc>
        <w:tc>
          <w:tcPr>
            <w:tcW w:type="dxa" w:w="2340"/>
            <w:vAlign w:val="center"/>
          </w:tcPr>
          <w:p>
            <w:r>
              <w:t>Indikator, Einheit, Quelle, Version und Prüfstatus trennen</w:t>
            </w:r>
          </w:p>
        </w:tc>
      </w:tr>
      <w:tr>
        <w:tc>
          <w:tcPr>
            <w:tcW w:type="dxa" w:w="2340"/>
            <w:vAlign w:val="center"/>
          </w:tcPr>
          <w:p>
            <w:r>
              <w:t>Benchmark</w:t>
            </w:r>
          </w:p>
        </w:tc>
        <w:tc>
          <w:tcPr>
            <w:tcW w:type="dxa" w:w="2340"/>
            <w:vAlign w:val="center"/>
          </w:tcPr>
          <w:p>
            <w:r>
              <w:t>Vergleichsmaßstab für eine Branche, Produktgruppe oder Maßnahme</w:t>
            </w:r>
          </w:p>
        </w:tc>
        <w:tc>
          <w:tcPr>
            <w:tcW w:type="dxa" w:w="2340"/>
            <w:vAlign w:val="center"/>
          </w:tcPr>
          <w:p>
            <w:r>
              <w:t>alle Akteure am selben Wert messen</w:t>
            </w:r>
          </w:p>
        </w:tc>
        <w:tc>
          <w:tcPr>
            <w:tcW w:type="dxa" w:w="2340"/>
            <w:vAlign w:val="center"/>
          </w:tcPr>
          <w:p>
            <w:r>
              <w:t>Vergleichsgruppe und Systemgrenze offenlegen</w:t>
            </w:r>
          </w:p>
        </w:tc>
      </w:tr>
      <w:tr>
        <w:tc>
          <w:tcPr>
            <w:tcW w:type="dxa" w:w="2340"/>
            <w:vAlign w:val="center"/>
          </w:tcPr>
          <w:p>
            <w:r>
              <w:t>Archetyp</w:t>
            </w:r>
          </w:p>
        </w:tc>
        <w:tc>
          <w:tcPr>
            <w:tcW w:type="dxa" w:w="2340"/>
            <w:vAlign w:val="center"/>
          </w:tcPr>
          <w:p>
            <w:r>
              <w:t>typischer Fall oder Strukturtyp für faire Bewertung</w:t>
            </w:r>
          </w:p>
        </w:tc>
        <w:tc>
          <w:tcPr>
            <w:tcW w:type="dxa" w:w="2340"/>
            <w:vAlign w:val="center"/>
          </w:tcPr>
          <w:p>
            <w:r>
              <w:t>Einzelfälle über einen Kamm scheren</w:t>
            </w:r>
          </w:p>
        </w:tc>
        <w:tc>
          <w:tcPr>
            <w:tcW w:type="dxa" w:w="2340"/>
            <w:vAlign w:val="center"/>
          </w:tcPr>
          <w:p>
            <w:r>
              <w:t>passende Vergleichsfamilie bilden</w:t>
            </w:r>
          </w:p>
        </w:tc>
      </w:tr>
      <w:tr>
        <w:tc>
          <w:tcPr>
            <w:tcW w:type="dxa" w:w="2340"/>
            <w:vAlign w:val="center"/>
          </w:tcPr>
          <w:p>
            <w:r>
              <w:t>Skala</w:t>
            </w:r>
          </w:p>
        </w:tc>
        <w:tc>
          <w:tcPr>
            <w:tcW w:type="dxa" w:w="2340"/>
            <w:vAlign w:val="center"/>
          </w:tcPr>
          <w:p>
            <w:r>
              <w:t>Übersetzung von Messwerten in Bewertungsstufen</w:t>
            </w:r>
          </w:p>
        </w:tc>
        <w:tc>
          <w:tcPr>
            <w:tcW w:type="dxa" w:w="2340"/>
            <w:vAlign w:val="center"/>
          </w:tcPr>
          <w:p>
            <w:r>
              <w:t>Skala als Naturgesetz behandeln</w:t>
            </w:r>
          </w:p>
        </w:tc>
        <w:tc>
          <w:tcPr>
            <w:tcW w:type="dxa" w:w="2340"/>
            <w:vAlign w:val="center"/>
          </w:tcPr>
          <w:p>
            <w:r>
              <w:t>Skala begründen, versionieren und korrigierbar halten</w:t>
            </w:r>
          </w:p>
        </w:tc>
      </w:tr>
    </w:tbl>
    <w:p/>
    <w:p>
      <w:pPr>
        <w:pStyle w:val="Heading3"/>
      </w:pPr>
      <w:r>
        <w:t>7.4 Modellformel</w:t>
      </w:r>
    </w:p>
    <w:p>
      <w:r>
        <w:t>Die folgende Formel ist ein didaktisches Denkmodell, kein amtlicher Bewertungsstandard:</w:t>
      </w:r>
    </w:p>
    <w:p>
      <w:r>
        <w:t>Bewertung_fair = Messwert(WÖktext-ID) \; im \; Kontext(Benchmark, Archetyp, Datenqualitaet)</w:t>
      </w:r>
    </w:p>
    <w:p>
      <w:r>
        <w:t>Der Messwert wird erst fair bewertbar, wenn klar ist, welcher Indikator gemeint ist, welche Vergleichsgruppe gilt und wie belastbar die Daten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Wasserverbrauch ist kein einziger Indikator. Relevant sind Standort, Wasserstress, Wiederverwendung, Lieferkettenbezug, Produktgruppe und Zeit. Eine WÖk-ID ordnet, welcher Wasseraspekt gemeint ist.</w:t>
      </w:r>
    </w:p>
    <w:p>
      <w:r>
        <w:t>Fall 2. Ein Krankenhaus, eine Schule und ein Chemiewerk können Energieverbrauch nicht mit derselben Erwartung bewerten. Archetypen schützen davor, notwendige Funktionen mit schlechter Wirkung zu verwechseln.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Benchmarks &amp; Archetypen · https://wirkungsoekonomie.de/werkzeuge/benchmarks-archetypen/ · Druckdatum: 24.05.2026</w:t>
      </w:r>
    </w:p>
    <w:p>
      <w:r>
        <w:t>Öffentliche Quelle: Wirkungsökonomie · Benchmarks &amp; Archetypen · https://wirkungsoekonomie.de/werkzeuge/benchmarks-archetypen/ · Druckdatum: 24.05.2026 (https://wirkungsoekonomie.de/werkzeuge/benchmarks-archetypen/)</w:t>
      </w:r>
    </w:p>
    <w:p>
      <w:r>
        <w:t>Methodenregister</w:t>
      </w:r>
    </w:p>
    <w:p>
      <w:r>
        <w:t>Vergleichslogik für Wirkungsbewertung.</w:t>
      </w:r>
    </w:p>
    <w:p>
      <w:r>
        <w:t>Benchmarks und Archetypen übersetzen Branchen-, Produkt- und Organisationstypen in nachvollziehbare Bewertungsräume.</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Benchmarks und Archetypen übersetzen Branchen-, Produkt- und Organisationstypen in nachvollziehbare Bewertungsräume.</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Vergleichslogik</w:t>
      </w:r>
    </w:p>
    <w:p>
      <w:r>
        <w:t>Benchmarks &amp; Archetypen</w:t>
      </w:r>
    </w:p>
    <w:p>
      <w:r>
        <w:t>Benchmarks und Archetypen ordnen Aktivitäten, Produkte und Organisationen in vergleichbare Wirkungskorridore ein.</w:t>
      </w:r>
    </w:p>
    <w:p>
      <w:r>
        <w:t>Warum hier relevant? Ohne Vergleichsrahmen bleiben Scores abstrakt und nicht entscheidungsfähig.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WÖk-ID-Seiten stärker mit Datenqualität, Versionierung und Prüfstatus verbinden.</w:t>
      </w:r>
    </w:p>
    <w:p>
      <w:pPr>
        <w:pStyle w:val="ListBullet"/>
      </w:pPr>
      <w:r>
        <w:t>Archetypen als Schutz gegen falsche Vergleiche in Produkt-, Unternehmens- und Kommunalbewertung ausbauen.</w:t>
      </w:r>
    </w:p>
    <w:p>
      <w:pPr>
        <w:pStyle w:val="ListBullet"/>
      </w:pPr>
      <w:r>
        <w:t>Prüfungsfälle mit absichtlich falscher Vergleichsgruppe anlegen.</w:t>
      </w:r>
    </w:p>
    <w:p>
      <w:pPr>
        <w:pStyle w:val="Heading3"/>
      </w:pPr>
      <w:r>
        <w:t>7.10 Kurzfazit</w:t>
      </w:r>
    </w:p>
    <w:p>
      <w:r>
        <w:t>WÖk-IDs, Benchmarks und Archetypen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V29 WÖk-IDs, Benchmarks und Archetypen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WÖk-IDs, Benchmarks und Archetypen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Bei Einleitung / Wirkungsfrage wird WÖk-IDs, Benchmarks und Archetypen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V29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WÖk-IDs, Benchmarks und Archetypen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V29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Bei Leitthese wird WÖk-IDs, Benchmarks und Archetypen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V29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Pruefungsimpuls. Bei Prüfungsnahe Fallfragen ohne geschützte Antwortlogik wird WÖk-IDs, Benchmarks und Archetypen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V29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Funktion der WÖk-ID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Funktion der WÖk-ID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Funktion der WÖk-ID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SDGs, SDG+ und der Zielbezug der WÖk-ID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SDGs, SDG+ und der Zielbezug der WÖk-ID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SDGs, SDG+ und der Zielbezug der WÖk-ID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Aufbau einer WÖk-ID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Aufbau einer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Aufbau einer WÖk-ID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SDG, SDG+, NACE, ESRS und GRI wird WÖk-IDs, Benchmarks und Archetypen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SDG, SDG+, NACE, ESRS und GRI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SDG, SDG+, NACE, ESRS und GRI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Transferhinweis. In V29 muss Wirkungsskala von negativ bis transformativ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Wirkungsskala von negativ bis transformativ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Wirkungsskala von negativ bis transformativ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Bei Einstieg / Wirkungsfrage wird WÖk-IDs, Benchmarks und Archetypen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V29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WÖk-IDs, Benchmarks und Archetypen als Arbeitsfrage im Feld Datenqualitaet, Bewertungsprofile, Scorecards und rueckgekoppelte Steuerung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V29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WÖk-IDs, Benchmarks und Archetypen nicht als fertige Gewissheit auftreten, sondern als pruefbarer Lernstand mit Korrekturpfad.</w:t>
      </w:r>
    </w:p>
    <w:p>
      <w:r>
        <w:t>Wirkpfadpruefung.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V29.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