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t>Track: Grundstudium Wirkungsökonomie Kurscode: woek-g Vorlesungscode: V21 Modul/Abschnitt: G2.3 Titel: Produkte, Technologien und Institutionen als Auslöser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V21 Empfohlene Dauer: ~45 Min · Videolänge: ~14 Min Voraussetzung: V20 „Gesellschaftliche Resonanzfaktoren" Führende Quellen (Repo): assets/pdf/die-neue-ordnung-des-wohlstands.pdf · source-assets/originals/WOeK_Begriffsleitfaden_fuehrend_v1.0.md · Glossar begriffe/</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V1-Finalisierung: Vertiefung, Anwendung und Evidenz</w:t>
      </w:r>
    </w:p>
    <w:p>
      <w:pPr>
        <w:pStyle w:val="Heading3"/>
      </w:pPr>
      <w:r>
        <w:t>Finaler Leseauftrag</w:t>
      </w:r>
    </w:p>
    <w:p>
      <w:r>
        <w:t>Dieses Skript zu V21 Produkte, Technologien und Institutionen als Auslöser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Produkte, Technologien und Institutionen als Auslöser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Produkte, Technologien und Institutionen als Auslöser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Produkte, Technologien und Institutionen als Auslöser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Produkte, Technologien und Institutionen als Auslöser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Produkte, Technologien und Institutionen als Auslöser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Produkte, Technologien und Institutionen als Auslöser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Produkte, Technologien und Institutionen als Auslöser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Produkte, Technologien und Institutionen als Auslöser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Produkte, Technologien und Institutionen als Auslöser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Produkte, Technologien und Institutionen als Auslöser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Produkte, Technologien und Institutionen als Auslöser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Produkte, Technologien und Institutionen als Auslöser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Produkte, Technologien und Institutionen als Auslöser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Produkte, Technologien und Institutionen als Auslöser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Produkte, Technologien und Institutionen als Auslöser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Produkte, Technologien und Institutionen als Auslöser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Produkte, Technologien und Institutionen als Auslöser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Produkte, Technologien und Institutionen als Auslöser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Produkte, Technologien und Institutionen als Auslöser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Produkte, Technologien und Institutionen als Auslöser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Produkte, Technologien und Institutionen als Auslöser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Produkte, Technologien und Institutionen als Auslöser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Produkte, Technologien und Institutionen als Auslöser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Produkte, Technologien und Institutionen als Auslöser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assets/pdf/die-neue-ordnung-des-wohlstands.pdf - Produkte, Märkte, öffentliche Räume</w:t>
      </w:r>
    </w:p>
    <w:p>
      <w:pPr>
        <w:pStyle w:val="ListBullet"/>
      </w:pPr>
      <w:r>
        <w:t>source-assets/originals/WOeK_Begriffsleitfaden_fuehrend_v1.0.md</w:t>
      </w:r>
    </w:p>
    <w:p>
      <w:pPr>
        <w:pStyle w:val="ListBullet"/>
      </w:pPr>
      <w:r>
        <w:t>Glossar: begriffe/wirkungstraeger, begriffe/wirkungsraum, 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woek-g-v21-wirkpfad type: wirkpfad reuse_first: true preferred_asset: content/studienskripte/assets/woek-g-v21/woek-g-v21-wirkpfad.svg message: Produkte, Technologien und Institutionen als Auslöser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7. Tiefenskript-Erweiterung Sprint 2</w:t>
      </w:r>
    </w:p>
    <w:p>
      <w:pPr>
        <w:pStyle w:val="Heading3"/>
      </w:pPr>
      <w:r>
        <w:t>7.1 Leitthese</w:t>
      </w:r>
    </w:p>
    <w:p>
      <w:r>
        <w:t>Produkte, Technologien und Institutionen sind in der WÖk keine neutralen Kulissen. Sie setzen Wirkpfade in Gang, verändern Möglichkeitsräume und stabilisieren oder blockieren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Produkt</w:t>
            </w:r>
          </w:p>
        </w:tc>
        <w:tc>
          <w:tcPr>
            <w:tcW w:type="dxa" w:w="2340"/>
            <w:vAlign w:val="center"/>
          </w:tcPr>
          <w:p>
            <w:r>
              <w:t>Lebenszyklus, Nutzung, Reparierbarkeit, Entsorgung, Lieferkette</w:t>
            </w:r>
          </w:p>
        </w:tc>
        <w:tc>
          <w:tcPr>
            <w:tcW w:type="dxa" w:w="2340"/>
            <w:vAlign w:val="center"/>
          </w:tcPr>
          <w:p>
            <w:r>
              <w:t>Produktimage oder Preis mit Wirkung verwechseln</w:t>
            </w:r>
          </w:p>
        </w:tc>
        <w:tc>
          <w:tcPr>
            <w:tcW w:type="dxa" w:w="2340"/>
            <w:vAlign w:val="center"/>
          </w:tcPr>
          <w:p>
            <w:r>
              <w:t>Produkt als Wirkungsträger mit Daten- und Rückkopplungspflicht lesen</w:t>
            </w:r>
          </w:p>
        </w:tc>
      </w:tr>
      <w:tr>
        <w:tc>
          <w:tcPr>
            <w:tcW w:type="dxa" w:w="2340"/>
            <w:vAlign w:val="center"/>
          </w:tcPr>
          <w:p>
            <w:r>
              <w:t>Technologie</w:t>
            </w:r>
          </w:p>
        </w:tc>
        <w:tc>
          <w:tcPr>
            <w:tcW w:type="dxa" w:w="2340"/>
            <w:vAlign w:val="center"/>
          </w:tcPr>
          <w:p>
            <w:r>
              <w:t>Möglichkeitsraum, Skalierung, Daten, Abhängigkeiten, neue Routinen</w:t>
            </w:r>
          </w:p>
        </w:tc>
        <w:tc>
          <w:tcPr>
            <w:tcW w:type="dxa" w:w="2340"/>
            <w:vAlign w:val="center"/>
          </w:tcPr>
          <w:p>
            <w:r>
              <w:t>Technikoptimismus oder Technikangst als Bewertung ausgeben</w:t>
            </w:r>
          </w:p>
        </w:tc>
        <w:tc>
          <w:tcPr>
            <w:tcW w:type="dxa" w:w="2340"/>
            <w:vAlign w:val="center"/>
          </w:tcPr>
          <w:p>
            <w:r>
              <w:t>Wirkmechanismus, Zugang, Macht, Risiken und Lernfähigkeit trennen</w:t>
            </w:r>
          </w:p>
        </w:tc>
      </w:tr>
      <w:tr>
        <w:tc>
          <w:tcPr>
            <w:tcW w:type="dxa" w:w="2340"/>
            <w:vAlign w:val="center"/>
          </w:tcPr>
          <w:p>
            <w:r>
              <w:t>Institution</w:t>
            </w:r>
          </w:p>
        </w:tc>
        <w:tc>
          <w:tcPr>
            <w:tcW w:type="dxa" w:w="2340"/>
            <w:vAlign w:val="center"/>
          </w:tcPr>
          <w:p>
            <w:r>
              <w:t>Regeln, Zuständigkeiten, Vertrauen, Verfahren, Rechte, Standards</w:t>
            </w:r>
          </w:p>
        </w:tc>
        <w:tc>
          <w:tcPr>
            <w:tcW w:type="dxa" w:w="2340"/>
            <w:vAlign w:val="center"/>
          </w:tcPr>
          <w:p>
            <w:r>
              <w:t>Institution als Gebäude oder Behörde verkürzen</w:t>
            </w:r>
          </w:p>
        </w:tc>
        <w:tc>
          <w:tcPr>
            <w:tcW w:type="dxa" w:w="2340"/>
            <w:vAlign w:val="center"/>
          </w:tcPr>
          <w:p>
            <w:r>
              <w:t>Institution als stabilisierten Wirkungsraum analysieren</w:t>
            </w:r>
          </w:p>
        </w:tc>
      </w:tr>
      <w:tr>
        <w:tc>
          <w:tcPr>
            <w:tcW w:type="dxa" w:w="2340"/>
            <w:vAlign w:val="center"/>
          </w:tcPr>
          <w:p>
            <w:r>
              <w:t>Infrastruktur</w:t>
            </w:r>
          </w:p>
        </w:tc>
        <w:tc>
          <w:tcPr>
            <w:tcW w:type="dxa" w:w="2340"/>
            <w:vAlign w:val="center"/>
          </w:tcPr>
          <w:p>
            <w:r>
              <w:t>Dauerhafte Bedingungen des Handelns</w:t>
            </w:r>
          </w:p>
        </w:tc>
        <w:tc>
          <w:tcPr>
            <w:tcW w:type="dxa" w:w="2340"/>
            <w:vAlign w:val="center"/>
          </w:tcPr>
          <w:p>
            <w:r>
              <w:t>Infrastruktur nur als Kostenblock sehen</w:t>
            </w:r>
          </w:p>
        </w:tc>
        <w:tc>
          <w:tcPr>
            <w:tcW w:type="dxa" w:w="2340"/>
            <w:vAlign w:val="center"/>
          </w:tcPr>
          <w:p>
            <w:r>
              <w:t>Infrastruktur als Träger von Prävention, Resilienz und Rückkopplung bewerten</w:t>
            </w:r>
          </w:p>
        </w:tc>
      </w:tr>
    </w:tbl>
    <w:p/>
    <w:p>
      <w:pPr>
        <w:pStyle w:val="Heading3"/>
      </w:pPr>
      <w:r>
        <w:t>7.4 Modellformel</w:t>
      </w:r>
    </w:p>
    <w:p>
      <w:r>
        <w:t>Die folgende Formel ist ein didaktisches Denkmodell, kein amtlicher Bewertungsstandard:</w:t>
      </w:r>
    </w:p>
    <w:p>
      <w:r>
        <w:t>A_wirk = f(P_daten, T_zugang, I_regeln, R_resonanz, K_korrektur)</w:t>
      </w:r>
    </w:p>
    <w:p>
      <w:r>
        <w:t>Das Wirkungspotenzial eines Auslösers steigt nur dann in Richtung tatsächlicher Wirkung, wenn Produktdaten, technologischer Zugang, institutionelle Regeln, gesellschaftliche Resonanz und Korrekturfähigkeit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digitales Lernsystem ist kein Wirkungsnachweis. Es kann Zugang verbessern, Lehrkräfte entlasten und Lernstände sichtbar machen. Es kann aber auch Datenrisiken, Abhängigkeit von Plattformen, soziale Spaltung oder didaktische Verarmung erzeugen. Die WÖk fragt deshalb nicht, ob das System modern ist, sondern welche Zustände es bei Lernenden, Lehrenden, Schulen und demokratischer Bildungsfähigkeit verändert.</w:t>
      </w:r>
    </w:p>
    <w:p>
      <w:r>
        <w:t>Fall 2. Ein reparierbares Haushaltsgerät kann teurer wirken als ein kurzlebiges Billigprodukt. Wirkungsökonomisch verschiebt sich der Vergleich, wenn Haltbarkeit, Ersatzteile, Energieverbrauch, Elektroschrott, Lieferkettenrisiken und soziale Zugänglichkeit einbezogen werden. Der Auslöser ist nicht der Kauf, sondern die Produktarchitektur über den Lebenszyklus.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80 - Digitalisierung als Infrastruktur der Wirkungsökonomie</w:t>
      </w:r>
    </w:p>
    <w:p>
      <w:r>
        <w:t>Interne Quelle: referenz/kapitel-080-digitalisierung-als-infrastruktur-der-wirkungsoekonomie/index.html</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98 - Pilotprojekte</w:t>
      </w:r>
    </w:p>
    <w:p>
      <w:r>
        <w:t>Interne Quelle: referenz/kapitel-098-pilotprojekte/index.html</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7.9 Konsequenzen für die WÖk-Architektur</w:t>
      </w:r>
    </w:p>
    <w:p>
      <w:r>
        <w:t>Aus dieser Vorlesung fließen drei Punkte zurück in den WÖk-Korpus:</w:t>
      </w:r>
    </w:p>
    <w:p>
      <w:pPr>
        <w:pStyle w:val="ListBullet"/>
      </w:pPr>
      <w:r>
        <w:t>Produktwirkung stärker als Brücke zwischen DPP, WÖk-ID und öffentlicher Beschaffung erklären.</w:t>
      </w:r>
    </w:p>
    <w:p>
      <w:pPr>
        <w:pStyle w:val="ListBullet"/>
      </w:pPr>
      <w:r>
        <w:t>Technologie in Glossar und Akademie konsequent als Möglichkeitsraum statt als Selbstzweck führen.</w:t>
      </w:r>
    </w:p>
    <w:p>
      <w:pPr>
        <w:pStyle w:val="ListBullet"/>
      </w:pPr>
      <w:r>
        <w:t>Institutionen als Wirkungsräume in späteren Management- und Controlling-Skripten wieder aufnehmen.</w:t>
      </w:r>
    </w:p>
    <w:p>
      <w:pPr>
        <w:pStyle w:val="Heading3"/>
      </w:pPr>
      <w:r>
        <w:t>7.10 Kurzfazit</w:t>
      </w:r>
    </w:p>
    <w:p>
      <w:r>
        <w:t>Produkte, Technologien und Institutionen als Auslöser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woek-akademie-app/docs/lehrgaenge/woek-g-v21-produkte-technologien-institutionen-als-ausloeser.md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