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28: CSRD, ESRS, GRI, EU-Taxonomie, NACE und DPP</w:t>
      </w:r>
    </w:p>
    <w:p>
      <w:r>
        <w:t>Track: Grundstudium Wirkungsökonomie Kurscode: woek-g Vorlesungscode: V28 Modul/Abschnitt: G3.2 Titel: CSRD, ESRS, GRI, EU-Taxonomie, NACE und DPP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CSRD, ESRS, GRI, EU-Taxonomie, NACE und DPP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CSRD, ESRS, GRI, EU-Taxonomie, NACE und DPP wirkungsökonomisch zu lesen: nicht nach Absicht, Lautstärke oder Image, sondern nach tatsächlichen Zustandsveränderungen.</w:t>
      </w:r>
    </w:p>
    <w:p>
      <w:r>
        <w:t>Die Leitfrage lautet:</w:t>
      </w:r>
    </w:p>
    <w:p>
      <w:r>
        <w:t>&gt; Welche tatsächlichen Zustandsveränderungen werden durch CSRD, ESRS, GRI, EU-Taxonomie, NACE und DPP möglich, wahrscheinlich oder riskant - und welche Bedingungen entscheiden darüber, ob aus Wirkungspotenzial tatsächliche Wirkung wird?</w:t>
      </w:r>
    </w:p>
    <w:p>
      <w:pPr>
        <w:pStyle w:val="Heading2"/>
      </w:pPr>
      <w:r>
        <w:t>2. Kernaussage</w:t>
      </w:r>
    </w:p>
    <w:p>
      <w:r>
        <w:t>CSRD, ESRS, GRI, EU-Taxonomie, NACE und DPP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V28 Empfohlene Dauer: ~50 Min · Videolänge: ~16 Min Voraussetzung: V27 „Kernfelder, Wirkungsgrenzen und rote Linien" Führende Quellen (Repo): assets/pdf/die-neue-ordnung-des-wohlstands.pdf · source-assets/originals/WOeK_Begriffsleitfaden_fuehrend_v1.0.md · Glossar begriffe/</w:t>
      </w:r>
    </w:p>
    <w:p>
      <w:pPr>
        <w:pStyle w:val="Heading2"/>
      </w:pPr>
      <w:r>
        <w:t>1. Einstieg / Wirkungsfrage</w:t>
      </w:r>
    </w:p>
    <w:p>
      <w:r>
        <w:t>Viele Daten, die die WÖk braucht, entstehen nicht bei null. CSRD, ESRS, GRI, EU-Taxonomie, NACE und Digitale Produktpässe liefern Bausteine. Die Frage ist: Wie werden Berichtsdaten zu Wirkungsdaten?</w:t>
      </w:r>
    </w:p>
    <w:p>
      <w:pPr>
        <w:pStyle w:val="Heading2"/>
      </w:pPr>
      <w:r>
        <w:t>2. Video-/Audio-Vorlesung</w:t>
      </w:r>
    </w:p>
    <w:p>
      <w:pPr>
        <w:pStyle w:val="ListBullet"/>
      </w:pPr>
      <w:r>
        <w:t>Titel: Vom Reporting zur Wirkung - vorhandene Rahmen richtig nutzen</w:t>
      </w:r>
    </w:p>
    <w:p>
      <w:pPr>
        <w:pStyle w:val="ListBullet"/>
      </w:pPr>
      <w:r>
        <w:t>Länge: ~16 Min</w:t>
      </w:r>
    </w:p>
    <w:p>
      <w:pPr>
        <w:pStyle w:val="ListBullet"/>
      </w:pPr>
      <w:r>
        <w:t>Kernaussage in einem Satz: Bestehende Reporting- und Klassifikationsrahmen liefern Datenbausteine, aber die WÖk übersetzt sie erst durch Wirkungslogik in Bewertung und Steuerung.</w:t>
      </w:r>
    </w:p>
    <w:p>
      <w:pPr>
        <w:pStyle w:val="ListBullet"/>
      </w:pPr>
      <w:r>
        <w:t>Medienquelle: [Platzhalter]</w:t>
      </w:r>
    </w:p>
    <w:p>
      <w:pPr>
        <w:pStyle w:val="Heading2"/>
      </w:pPr>
      <w:r>
        <w:t>3. Transkript (Gerüst)</w:t>
      </w:r>
    </w:p>
    <w:p>
      <w:r>
        <w:t>Abschnitt A - Warum Rahmenwerke wichtig sind. Sie schaffen Vergleichbarkeit, Datenpflichten und Anschlussfähigkeit.</w:t>
      </w:r>
    </w:p>
    <w:p>
      <w:r>
        <w:t>Abschnitt B - CSRD/ESRS/GRI. Diese Rahmen strukturieren Nachhaltigkeitsberichterstattung und doppelte Wesentlichkeit.</w:t>
      </w:r>
    </w:p>
    <w:p>
      <w:r>
        <w:t>Abschnitt C - EU-Taxonomie und NACE. Taxonomie ordnet nachhaltige Wirtschaftstätigkeiten; NACE klassifiziert Branchen.</w:t>
      </w:r>
    </w:p>
    <w:p>
      <w:r>
        <w:t>Abschnitt D - Digitaler Produktpass. DPP kann produktbezogene Daten über Lebenszyklus und Lieferkette bündeln.</w:t>
      </w:r>
    </w:p>
    <w:p>
      <w:r>
        <w:t>Abschnitt E - WÖk-Übersetzung. Reportingdaten werden erst durch Wirkpfad, Scorecard, Datenqualität und Nichtkompensation steuerungsfähig.</w:t>
      </w:r>
    </w:p>
    <w:p>
      <w:pPr>
        <w:pStyle w:val="Heading2"/>
      </w:pPr>
      <w:r>
        <w:t>4. Skript / Folien (Lernseite)</w:t>
      </w:r>
    </w:p>
    <w:p>
      <w:r>
        <w:t>Die WÖk muss Daten nicht neu erfinden. Viele relevante Daten entstehen bereits in Berichtssystemen und Regulierungsrahmen. CSRD verpflichtet Unternehmen zur Nachhaltigkeitsberichterstattung. ESRS konkretisieren europäische Berichtstandards. GRI ist ein international verbreiteter Standard. Die EU-Taxonomie klassifiziert bestimmte nachhaltige Wirtschaftstätigkeiten. NACE ordnet Branchen. Der Digitale Produktpass kann künftig Produktdaten zu Material, Reparierbarkeit, Herkunft, CO2, Chemikalien oder Kreislauf enthalten.</w:t>
      </w:r>
    </w:p>
    <w:p>
      <w:r>
        <w:t>Diese Rahmen sind wertvoll, aber sie sind nicht dasselbe wie Wirkungsbewertung. Reporting beantwortet oft: Was muss berichtet werden? Die WÖk fragt: Welche tatsächliche Zustandsveränderung entsteht, bei wem, in welchem Wirkungsfeld, mit welcher Datenqualität und welcher Steuerungsfolge?</w:t>
      </w:r>
    </w:p>
    <w:p>
      <w:r>
        <w:t>Ein Beispiel: CSRD-Daten können Emissionen, Arbeitsschutz oder Lieferkettenrisiken sichtbar machen. Für die WÖk sind das Rohdaten. Erst wenn sie einem Wirkungsfeld, Benchmark, Archetyp und Wirkpfad zugeordnet werden, entsteht eine Scorecard. Erst wenn die Scorecard nach Reverse Merit Order und Nichtkompensation gelesen wird, entsteht eine begründete Wirkungsklasse.</w:t>
      </w:r>
    </w:p>
    <w:p>
      <w:r>
        <w:t>NACE hilft, weil Branchen unterschiedliche Benchmarks brauchen. Ein Krankenhaus, ein Chemiewerk und eine Schule lassen sich nicht mit denselben Grenzwerten bewerten. Die EU-Taxonomie hilft, weil sie Tätigkeiten einordnet. Aber auch Taxonomie-Konformität ist nicht automatisch positive Netto-Wirkung; sie muss im Wirkungsprofil geprüft werden.</w:t>
      </w:r>
    </w:p>
    <w:p>
      <w:r>
        <w:t>Der Digitale Produktpass kann ein wichtiger Datencontainer werden. Aber auch hier gilt: Datencontainer sind nicht Bewertung. Die WÖk braucht Daten plus Wirkungslogik.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begriffe/digitaler-produktpass</w:t>
            </w:r>
          </w:p>
        </w:tc>
      </w:tr>
    </w:tbl>
    <w:p/>
    <w:p>
      <w:pPr>
        <w:pStyle w:val="Heading2"/>
      </w:pPr>
      <w:r>
        <w:t>6.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7. Transferaufgabe</w:t>
      </w:r>
    </w:p>
    <w:p>
      <w:r>
        <w:t>Wähle eine Branche. Notiere, welche Daten aus CSRD/ESRS/GRI oder DPP für eine WÖk-Scorecard hilfreich wären. Markiere, welche Bewertungsschritte darüber hinaus nötig bleiben.</w:t>
      </w:r>
    </w:p>
    <w:p>
      <w:pPr>
        <w:pStyle w:val="Heading2"/>
      </w:pPr>
      <w:r>
        <w:t>8. Praxisbeispiel</w:t>
      </w:r>
    </w:p>
    <w:p>
      <w:r>
        <w:t>Textilprodukt. DPP-Daten können Material, Herkunft, Chemikalien, Reparierbarkeit und CO2 anzeigen. Eine WÖk-Bewertung fragt zusätzlich nach Arbeitsbedingungen, Wasserstress, Gesundheit, Nutzung, Entsorgung und Nichtkompensation bei schweren Schäden.</w:t>
      </w:r>
    </w:p>
    <w:p>
      <w:pPr>
        <w:pStyle w:val="Heading2"/>
      </w:pPr>
      <w:r>
        <w:t>V1-Finalisierung: Vertiefung, Anwendung und Evidenz</w:t>
      </w:r>
    </w:p>
    <w:p>
      <w:pPr>
        <w:pStyle w:val="Heading3"/>
      </w:pPr>
      <w:r>
        <w:t>Finaler Leseauftrag</w:t>
      </w:r>
    </w:p>
    <w:p>
      <w:r>
        <w:t>Dieses Skript zu V28 CSRD, ESRS, GRI, EU-Taxonomie, NACE und DPP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CSRD, ESRS, GRI, EU-Taxonomie, NACE und DPP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CSRD, ESRS, GRI, EU-Taxonomie, NACE und DPP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CSRD, ESRS, GRI, EU-Taxonomie, NACE und DPP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CSRD, ESRS, GRI, EU-Taxonomie, NACE und DPP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CSRD, ESRS, GRI, EU-Taxonomie, NACE und DPP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CSRD, ESRS, GRI, EU-Taxonomie, NACE und DPP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CSRD, ESRS, GRI, EU-Taxonomie, NACE und DPP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CSRD, ESRS, GRI, EU-Taxonomie, NACE und DPP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CSRD, ESRS, GRI, EU-Taxonomie, NACE und DPP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CSRD, ESRS, GRI, EU-Taxonomie, NACE und DPP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CSRD, ESRS, GRI, EU-Taxonomie, NACE und DPP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CSRD, ESRS, GRI, EU-Taxonomie, NACE und DPP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CSRD, ESRS, GRI, EU-Taxonomie, NACE und DPP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CSRD, ESRS, GRI, EU-Taxonomie, NACE und DPP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CSRD, ESRS, GRI, EU-Taxonomie, NACE und DPP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CSRD, ESRS, GRI, EU-Taxonomie, NACE und DPP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CSRD, ESRS, GRI, EU-Taxonomie, NACE und DPP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CSRD, ESRS, GRI, EU-Taxonomie, NACE und DPP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CSRD, ESRS, GRI, EU-Taxonomie, NACE und DPP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CSRD, ESRS, GRI, EU-Taxonomie, NACE und DPP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CSRD, ESRS, GRI, EU-Taxonomie, NACE und DPP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CSRD, ESRS, GRI, EU-Taxonomie, NACE und DPP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CSRD, ESRS, GRI, EU-Taxonomie, NACE und DPP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CSRD, ESRS, GRI, EU-Taxonomie, NACE und DPP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CSRD, ESRS, GRI, EU-Taxonomie, NACE und DPP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CSRD, ESRS, GRI, EU-Taxonomie, NACE und DPP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CSRD, ESRS, GRI, EU-Taxonomie, NACE und DPP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CSRD, ESRS, GRI, EU-Taxonomie, NACE und DPP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CSRD, ESRS, GRI, EU-Taxonomie, NACE und DPP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CSRD, ESRS, GRI, EU-Taxonomie, NACE und DPP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pPr>
        <w:pStyle w:val="Heading2"/>
      </w:pPr>
      <w:r>
        <w:t>9. Quellen / Vertiefung</w:t>
      </w:r>
    </w:p>
    <w:p>
      <w:pPr>
        <w:pStyle w:val="ListBullet"/>
      </w:pPr>
      <w:r>
        <w:t>assets/pdf/die-neue-ordnung-des-wohlstands.pdf - Daten, Produktpässe, Wirkungsmessung</w:t>
      </w:r>
    </w:p>
    <w:p>
      <w:pPr>
        <w:pStyle w:val="ListBullet"/>
      </w:pPr>
      <w:r>
        <w:t>source-assets/originals/WOeK_Begriffsleitfaden_fuehrend_v1.0.md</w:t>
      </w:r>
    </w:p>
    <w:p>
      <w:pPr>
        <w:pStyle w:val="ListBullet"/>
      </w:pPr>
      <w:r>
        <w:t>Glossar: begriffe/csrd, begriffe/esrs, begriffe/eu-taxonomie, 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CSRD, ESRS, GRI, EU-Taxonomie, NACE und DPP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woek-g-v28-wirkpfad type: wirkpfad reuse_first: true preferred_asset: content/studienskripte/assets/woek-g-v28/woek-g-v28-wirkpfad.svg message: CSRD, ESRS, GRI, EU-Taxonomie, NACE und DPP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begriffe/digitaler-produktpass</w:t>
            </w:r>
          </w:p>
        </w:tc>
      </w:tr>
    </w:tbl>
    <w:p/>
    <w:p>
      <w:pPr>
        <w:pStyle w:val="Heading2"/>
      </w:pPr>
      <w:r>
        <w:t>7. Tiefenskript-Erweiterung Sprint 3</w:t>
      </w:r>
    </w:p>
    <w:p>
      <w:pPr>
        <w:pStyle w:val="Heading3"/>
      </w:pPr>
      <w:r>
        <w:t>7.1 Leitthese</w:t>
      </w:r>
    </w:p>
    <w:p>
      <w:r>
        <w:t>CSRD, ESRS, GRI, EU-Taxonomie, NACE und DPP liefern keine fertige WÖk-Bewertung. Sie liefern Daten-, Berichts-, Klassifikations- und Produktinfrastruktur, die erst durch Wirkpfad, Datenqualität, Scorecard und Rückkopplung steuerungsfähig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CSRD/ESRS</w:t>
            </w:r>
          </w:p>
        </w:tc>
        <w:tc>
          <w:tcPr>
            <w:tcW w:type="dxa" w:w="2340"/>
            <w:vAlign w:val="center"/>
          </w:tcPr>
          <w:p>
            <w:r>
              <w:t>europäische Nachhaltigkeitsberichterstattung</w:t>
            </w:r>
          </w:p>
        </w:tc>
        <w:tc>
          <w:tcPr>
            <w:tcW w:type="dxa" w:w="2340"/>
            <w:vAlign w:val="center"/>
          </w:tcPr>
          <w:p>
            <w:r>
              <w:t>Berichtspflicht als Wirkung behandeln</w:t>
            </w:r>
          </w:p>
        </w:tc>
        <w:tc>
          <w:tcPr>
            <w:tcW w:type="dxa" w:w="2340"/>
            <w:vAlign w:val="center"/>
          </w:tcPr>
          <w:p>
            <w:r>
              <w:t>Datenquelle für Wesentlichkeit, Indikatoren und Audit nutzen</w:t>
            </w:r>
          </w:p>
        </w:tc>
      </w:tr>
      <w:tr>
        <w:tc>
          <w:tcPr>
            <w:tcW w:type="dxa" w:w="2340"/>
            <w:vAlign w:val="center"/>
          </w:tcPr>
          <w:p>
            <w:r>
              <w:t>GRI</w:t>
            </w:r>
          </w:p>
        </w:tc>
        <w:tc>
          <w:tcPr>
            <w:tcW w:type="dxa" w:w="2340"/>
            <w:vAlign w:val="center"/>
          </w:tcPr>
          <w:p>
            <w:r>
              <w:t>international verbreitete Impact-Reporting-Standards</w:t>
            </w:r>
          </w:p>
        </w:tc>
        <w:tc>
          <w:tcPr>
            <w:tcW w:type="dxa" w:w="2340"/>
            <w:vAlign w:val="center"/>
          </w:tcPr>
          <w:p>
            <w:r>
              <w:t>GRI-Offenlegung als WÖk-Score ausgeben</w:t>
            </w:r>
          </w:p>
        </w:tc>
        <w:tc>
          <w:tcPr>
            <w:tcW w:type="dxa" w:w="2340"/>
            <w:vAlign w:val="center"/>
          </w:tcPr>
          <w:p>
            <w:r>
              <w:t>Offenlegungen als Evidenzbaustein einordnen</w:t>
            </w:r>
          </w:p>
        </w:tc>
      </w:tr>
      <w:tr>
        <w:tc>
          <w:tcPr>
            <w:tcW w:type="dxa" w:w="2340"/>
            <w:vAlign w:val="center"/>
          </w:tcPr>
          <w:p>
            <w:r>
              <w:t>EU-Taxonomie</w:t>
            </w:r>
          </w:p>
        </w:tc>
        <w:tc>
          <w:tcPr>
            <w:tcW w:type="dxa" w:w="2340"/>
            <w:vAlign w:val="center"/>
          </w:tcPr>
          <w:p>
            <w:r>
              <w:t>Klassifikation ökologisch nachhaltiger Wirtschaftstätigkeiten</w:t>
            </w:r>
          </w:p>
        </w:tc>
        <w:tc>
          <w:tcPr>
            <w:tcW w:type="dxa" w:w="2340"/>
            <w:vAlign w:val="center"/>
          </w:tcPr>
          <w:p>
            <w:r>
              <w:t>Taxonomie-Konformität als positive Netto-Wirkung setzen</w:t>
            </w:r>
          </w:p>
        </w:tc>
        <w:tc>
          <w:tcPr>
            <w:tcW w:type="dxa" w:w="2340"/>
            <w:vAlign w:val="center"/>
          </w:tcPr>
          <w:p>
            <w:r>
              <w:t>ökologischen Hinweis mit Mensch/Demokratie und Risiken verbinden</w:t>
            </w:r>
          </w:p>
        </w:tc>
      </w:tr>
      <w:tr>
        <w:tc>
          <w:tcPr>
            <w:tcW w:type="dxa" w:w="2340"/>
            <w:vAlign w:val="center"/>
          </w:tcPr>
          <w:p>
            <w:r>
              <w:t>NACE</w:t>
            </w:r>
          </w:p>
        </w:tc>
        <w:tc>
          <w:tcPr>
            <w:tcW w:type="dxa" w:w="2340"/>
            <w:vAlign w:val="center"/>
          </w:tcPr>
          <w:p>
            <w:r>
              <w:t>statistische Klassifikation wirtschaftlicher Tätigkeiten</w:t>
            </w:r>
          </w:p>
        </w:tc>
        <w:tc>
          <w:tcPr>
            <w:tcW w:type="dxa" w:w="2340"/>
            <w:vAlign w:val="center"/>
          </w:tcPr>
          <w:p>
            <w:r>
              <w:t>Branche mit Wirkung gleichsetzen</w:t>
            </w:r>
          </w:p>
        </w:tc>
        <w:tc>
          <w:tcPr>
            <w:tcW w:type="dxa" w:w="2340"/>
            <w:vAlign w:val="center"/>
          </w:tcPr>
          <w:p>
            <w:r>
              <w:t>Benchmark- und Archetypenlogik branchenspezifisch aufbauen</w:t>
            </w:r>
          </w:p>
        </w:tc>
      </w:tr>
      <w:tr>
        <w:tc>
          <w:tcPr>
            <w:tcW w:type="dxa" w:w="2340"/>
            <w:vAlign w:val="center"/>
          </w:tcPr>
          <w:p>
            <w:r>
              <w:t>DPP</w:t>
            </w:r>
          </w:p>
        </w:tc>
        <w:tc>
          <w:tcPr>
            <w:tcW w:type="dxa" w:w="2340"/>
            <w:vAlign w:val="center"/>
          </w:tcPr>
          <w:p>
            <w:r>
              <w:t>Produktdatencontainer über Lebenszyklus</w:t>
            </w:r>
          </w:p>
        </w:tc>
        <w:tc>
          <w:tcPr>
            <w:tcW w:type="dxa" w:w="2340"/>
            <w:vAlign w:val="center"/>
          </w:tcPr>
          <w:p>
            <w:r>
              <w:t>Datenpass als Bewertung verwechseln</w:t>
            </w:r>
          </w:p>
        </w:tc>
        <w:tc>
          <w:tcPr>
            <w:tcW w:type="dxa" w:w="2340"/>
            <w:vAlign w:val="center"/>
          </w:tcPr>
          <w:p>
            <w:r>
              <w:t>Daten mit WÖk-ID, Scorecard, Prüfung und Rückkopplung verbinden</w:t>
            </w:r>
          </w:p>
        </w:tc>
      </w:tr>
    </w:tbl>
    <w:p/>
    <w:p>
      <w:pPr>
        <w:pStyle w:val="Heading3"/>
      </w:pPr>
      <w:r>
        <w:t>7.4 Modellformel</w:t>
      </w:r>
    </w:p>
    <w:p>
      <w:r>
        <w:t>Die folgende Formel ist ein didaktisches Denkmodell, kein amtlicher Bewertungsstandard:</w:t>
      </w:r>
    </w:p>
    <w:p>
      <w:r>
        <w:t>WÖktext-Bewertung = Reportingdaten + Klassifikation + Produktdaten + Wirkpfad + Datenqualitaet + Rueckkopplung</w:t>
      </w:r>
    </w:p>
    <w:p>
      <w:r>
        <w:t>Die Formel macht die WÖk-Übersetzung sichtbar: vorhandene Rahmenwerke sind Eingänge, nicht der Ausgang des Bewertungsprozesses.</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Chemieunternehmen berichtet nach ESRS Emissionen, Wasser, Arbeitsbedingungen und Lieferkettenrisiken. Die WÖk nutzt diese Daten nicht als fertiges Urteil, sondern ordnet sie WÖk-IDs, Benchmarks, Datenqualität und Wirkungsgrenzen zu.</w:t>
      </w:r>
    </w:p>
    <w:p>
      <w:r>
        <w:t>Fall 2. Ein Textil-DPP kann Material, Herkunft und Kreislauffähigkeit enthalten. Für positive Netto-Wirkung fehlen dennoch Arbeitsbedingungen, Wasserstress, Nutzungsdauer, Reparierbarkeit, Entsorgung und Nichtkompensation bei schweren Schäden.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Interne Quelle: referenz/kapitel-031-woek-ids-und-indikatorenarchitektur/index.html</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Interne Quelle: referenz/kapitel-085-dpp-infrastruktur-und-technische-umsetzung/index.html</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7.8 Extern geprüfte Primärquellen und aktueller Stand</w:t>
      </w:r>
    </w:p>
    <w:p>
      <w:pPr>
        <w:pStyle w:val="ListBullet"/>
      </w:pPr>
      <w:r>
        <w:t>European Commission CSRD: Unternehmen im CSRD-Anwendungsbereich berichten nach European Sustainability Reporting Standards; EFRAG entwickelt Entwürfe für die Standards. Quelle: https://finance.ec.europa.eu/financial-markets/company-reporting-and-auditing/company-reporting/corporate-sustainability-reporting_en</w:t>
      </w:r>
    </w:p>
    <w:p>
      <w:pPr>
        <w:pStyle w:val="ListBullet"/>
      </w:pPr>
      <w:r>
        <w:t>EFRAG ESRS: Set 1 wurde als Delegated Act im Amtsblatt vom 22. Dezember 2023 übernommen; vereinfachte ESRS-Entwürfe werden als separater Reformstand geführt. Quelle: https://www.efrag.org/en/draft-simplified-esrs</w:t>
      </w:r>
    </w:p>
    <w:p>
      <w:pPr>
        <w:pStyle w:val="ListBullet"/>
      </w:pPr>
      <w:r>
        <w:t>European Commission EU Taxonomy: Die Taxonomie schafft eine gemeinsame Definition wirtschaftlicher Tätigkeiten, die als ökologisch nachhaltig gelten können. Quelle: https://finance.ec.europa.eu/sustainable-finance/tools-and-standards/eu-taxonomy-sustainable-activities_en</w:t>
      </w:r>
    </w:p>
    <w:p>
      <w:pPr>
        <w:pStyle w:val="ListBullet"/>
      </w:pPr>
      <w:r>
        <w:t>Eurostat NACE Rev. 2.1: Die 2025er Ausgabe beschreibt die statistische Klassifikation wirtschaftlicher Tätigkeiten in der EU. Quelle: https://ec.europa.eu/eurostat/web/nace</w:t>
      </w:r>
    </w:p>
    <w:p>
      <w:pPr>
        <w:pStyle w:val="ListBullet"/>
      </w:pPr>
      <w:r>
        <w:t>European data portal / ESPR-DPP: Der Digitale Produktpass ist Teil der Ecodesign-for-Sustainable-Products-Regulation-Logik und soll Produktinformationen entlang der Wertschöpfung zugänglich machen. Quelle: https://data.europa.eu/en/news-events/news/eus-digital-product-passport-advancing-transparency-and-sustainability</w:t>
      </w:r>
    </w:p>
    <w:p>
      <w:pPr>
        <w:pStyle w:val="ListBullet"/>
      </w:pPr>
      <w:r>
        <w:t>GRI: Die GRI Standards unterstützen Organisationen dabei, Auswirkungen auf Umwelt, Menschen und Wirtschaft zu verstehen und zu berichten. Quelle: https://www.globalreporting.org/</w:t>
      </w:r>
    </w:p>
    <w:p>
      <w:pPr>
        <w:pStyle w:val="Heading3"/>
      </w:pPr>
      <w:r>
        <w:t>7.9 Konsequenzen für die WÖk-Architektur</w:t>
      </w:r>
    </w:p>
    <w:p>
      <w:r>
        <w:t>Aus dieser Vorlesung fließen drei Punkte zurück in den WÖk-Korpus:</w:t>
      </w:r>
    </w:p>
    <w:p>
      <w:pPr>
        <w:pStyle w:val="ListBullet"/>
      </w:pPr>
      <w:r>
        <w:t>V28 muss laufend mit EU-/EFRAG-Stand abgeglichen werden; Omnibus-/ESRS-Simplifizierung nicht statisch behandeln.</w:t>
      </w:r>
    </w:p>
    <w:p>
      <w:pPr>
        <w:pStyle w:val="ListBullet"/>
      </w:pPr>
      <w:r>
        <w:t>DPP-Seiten stärker mit WÖk-ID, Produktwirkung, Scorecards und Beschaffung verknüpfen.</w:t>
      </w:r>
    </w:p>
    <w:p>
      <w:pPr>
        <w:pStyle w:val="ListBullet"/>
      </w:pPr>
      <w:r>
        <w:t>NACE/Branchenlogik als Grundlage für Archetypen und Benchmarks in G3.2/G3.3 konsistent halten.</w:t>
      </w:r>
    </w:p>
    <w:p>
      <w:pPr>
        <w:pStyle w:val="Heading3"/>
      </w:pPr>
      <w:r>
        <w:t>7.10 Kurzfazit</w:t>
      </w:r>
    </w:p>
    <w:p>
      <w:r>
        <w:t>CSRD, ESRS, GRI, EU-Taxonomie, NACE und DPP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woek-akademie-app/docs/lehrgaenge/woek-g-v28-csrd-esrs-gri-eu-taxonomie-nace-dpp.md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