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29: WÖk-IDs, Benchmarks und Archetypen</w:t>
      </w:r>
    </w:p>
    <w:p>
      <w:r>
        <w:rPr>
          <w:i/>
        </w:rPr>
        <w:t>Rohfassung fuer Claude / CI-CD-Finalisierung</w:t>
      </w:r>
    </w:p>
    <w:p>
      <w:r>
        <w:t>Quelle: /Users/hagen/Documents/New project/content/studienskripte/woek-g-v29.md</w:t>
      </w:r>
    </w:p>
    <w:p>
      <w:r>
        <w:t>Track: Grundstudium Wirkungsökonomie Kurscode: woek-g Vorlesungscode: V29 Modul/Abschnitt: G3.2 Titel: WÖk-IDs, Benchmarks und Archetypen Status: Tiefenskript-Sprint 4 · substanzielle Arbeitsfassung, Claude-CI/CD-Finalisierung offen Quelle: woek-akademie-app/docs/lehrgaenge/woek-g-v29-woek-ids-benchmarks-archetypen.md Ablage: Markdown-Master in content/studienskripte/woek-g-v29.md, Word-Rohfassung in docs/studienskripte/word-rohfassungen/woek-g-v29.docx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WÖk-IDs, Benchmarks und Archetypen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WÖk-IDs, Benchmarks und Archetypen wirkungsökonomisch zu lesen: nicht nach Absicht, Lautstärke oder Image, sondern nach tatsächlichen Zustandsveränderungen.</w:t>
      </w:r>
    </w:p>
    <w:p>
      <w:r>
        <w:t>Die Leitfrage lautet:</w:t>
      </w:r>
    </w:p>
    <w:p>
      <w:r>
        <w:t>&gt; Welche tatsächlichen Zustandsveränderungen werden durch WÖk-IDs, Benchmarks und Archetypen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WÖk-IDs, Benchmarks und Archetypen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V29 Empfohlene Dauer: ~45 Min · Videolänge: ~15 Min Voraussetzung: V28 „CSRD, ESRS, GRI, EU-Taxonomie, NACE und DPP"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Wie wird aus vielen einzelnen Datenpunkten eine vergleichbare Wirkungsbewertung? WÖk-IDs, Benchmarks und Archetypen helfen, Wirkung eindeutig zuzuordnen, fair zu vergleichen und branchenspezifisch zu bewerten.</w:t>
      </w:r>
    </w:p>
    <w:p>
      <w:pPr>
        <w:pStyle w:val="Heading2"/>
      </w:pPr>
      <w:r>
        <w:t>2. Video-/Audio-Vorlesung</w:t>
      </w:r>
    </w:p>
    <w:p>
      <w:pPr>
        <w:pStyle w:val="ListBullet"/>
      </w:pPr>
      <w:r>
        <w:t>Titel: Ordnung in der Wirkungsmessung – IDs, Benchmarks, Archetypen</w:t>
      </w:r>
    </w:p>
    <w:p>
      <w:pPr>
        <w:pStyle w:val="ListBullet"/>
      </w:pPr>
      <w:r>
        <w:t>Länge: ~15 Min</w:t>
      </w:r>
    </w:p>
    <w:p>
      <w:pPr>
        <w:pStyle w:val="ListBullet"/>
      </w:pPr>
      <w:r>
        <w:t>Kernaussage in einem Satz: WÖk-IDs ordnen Wirkungsdaten, Benchmarks schaffen Vergleichsmaßstäbe und Archetypen machen unterschiedliche Kontexte fair bewertbar.</w:t>
      </w:r>
    </w:p>
    <w:p>
      <w:pPr>
        <w:pStyle w:val="ListBullet"/>
      </w:pPr>
      <w:r>
        <w:t>Medienquelle: [Platzhalter]</w:t>
      </w:r>
    </w:p>
    <w:p>
      <w:pPr>
        <w:pStyle w:val="Heading2"/>
      </w:pPr>
      <w:r>
        <w:t>3. Transkript (Gerüst)</w:t>
      </w:r>
    </w:p>
    <w:p>
      <w:r>
        <w:t>Abschnitt A – Warum Ordnung nötig ist. Ohne eindeutige IDs werden Daten unauffindbar, doppelt oder unvergleichbar.</w:t>
      </w:r>
    </w:p>
    <w:p>
      <w:r>
        <w:t>Abschnitt B – WÖk-IDs. Sie ordnen Wirkungsfelder, Indikatoren, Produkte, Dokumente oder Scorecard-Elemente eindeutig zu.</w:t>
      </w:r>
    </w:p>
    <w:p>
      <w:r>
        <w:t>Abschnitt C – Benchmarks. Ein Wert braucht Vergleich: Was ist gut, neutral, kritisch oder schädlich?</w:t>
      </w:r>
    </w:p>
    <w:p>
      <w:r>
        <w:t>Abschnitt D – Archetypen. Unterschiedliche Branchen und Fälle brauchen passende Vergleichsgruppen.</w:t>
      </w:r>
    </w:p>
    <w:p>
      <w:r>
        <w:t>Abschnitt E – Fairness und Schutz. Vergleichbarkeit darf nicht blind machen; Datenqualität und rote Linien bleiben nötig.</w:t>
      </w:r>
    </w:p>
    <w:p>
      <w:pPr>
        <w:pStyle w:val="Heading2"/>
      </w:pPr>
      <w:r>
        <w:t>4. Skript / Folien (Lernseite)</w:t>
      </w:r>
    </w:p>
    <w:p>
      <w:r>
        <w:t>Wirkungsbewertung braucht Ordnung. Wenn Daten aus Berichten, Produktpässen, Studien, Lieferketten und öffentlichen Quellen zusammenkommen, entstehen schnell Dubletten und Unklarheiten. WÖk-IDs sind eindeutige Kennungen, mit denen Wirkungsfelder, Indikatoren, Dokumente, Produkte oder Scorecard-Elemente referenziert werden können. Sie verhindern, dass dieselbe Sache unter mehreren Namen geführt wird.</w:t>
      </w:r>
    </w:p>
    <w:p>
      <w:r>
        <w:t>Benchmarks beantworten die Frage: Im Vergleich wozu ist ein Wert gut oder schlecht? 100 Gramm CO2 können je nach Produkt viel oder wenig sein. Wasserverbrauch ist in einer wasserreichen Region anders zu bewerten als in einer Region mit Wasserstress. Ein Lohnniveau muss im Verhältnis zu Lebenshaltungskosten und Arbeitsrecht gelesen werden. Benchmarks machen Rohdaten bewertbar.</w:t>
      </w:r>
    </w:p>
    <w:p>
      <w:r>
        <w:t>Archetypen sind typische Vergleichsgruppen. Ein Gebäude, ein Textilprodukt, ein Krankenhaus, ein Softwaredienst, ein landwirtschaftlicher Betrieb und ein Finanzprodukt haben unterschiedliche Wirkungslogiken. Archetypen helfen, faire Bewertungslogiken zu entwickeln, statt alles mit demselben Maßstab zu messen.</w:t>
      </w:r>
    </w:p>
    <w:p>
      <w:r>
        <w:t>Wichtig: Benchmarks sind keine Ausrede. Ein Branchenvergleich darf schwere Schäden nicht relativieren. Wenn ein Feld eine rote Linie verletzt, darf die Aussage nicht lauten: „In dieser Branche ist das normal." Normalität ist nicht automatisch positive Wirkung.</w:t>
      </w:r>
    </w:p>
    <w:p>
      <w:r>
        <w:t>WÖk-IDs, Benchmarks und Archetypen sind also Infrastruktur. Sie machen Wirkung auffindbar, vergleichbar und überprüfbar. Die Bewertung bleibt aber an Datenqualität, Wirkungsgrenzen, Nichtkompensation und Begründung gebunden.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WÖk-ID</w:t>
            </w:r>
          </w:p>
        </w:tc>
        <w:tc>
          <w:tcPr>
            <w:tcW w:type="dxa" w:w="3120"/>
            <w:vAlign w:val="center"/>
          </w:tcPr>
          <w:p>
            <w:r>
              <w:t>eindeutige Kennung für Wirkungsdaten oder Bewertungsobjekte</w:t>
            </w:r>
          </w:p>
        </w:tc>
        <w:tc>
          <w:tcPr>
            <w:tcW w:type="dxa" w:w="3120"/>
            <w:vAlign w:val="center"/>
          </w:tcPr>
          <w:p>
            <w:r>
              <w:t>begriffe/woek-id</w:t>
            </w:r>
          </w:p>
        </w:tc>
      </w:tr>
      <w:tr>
        <w:tc>
          <w:tcPr>
            <w:tcW w:type="dxa" w:w="3120"/>
            <w:vAlign w:val="center"/>
          </w:tcPr>
          <w:p>
            <w:r>
              <w:t>Benchmark</w:t>
            </w:r>
          </w:p>
        </w:tc>
        <w:tc>
          <w:tcPr>
            <w:tcW w:type="dxa" w:w="3120"/>
            <w:vAlign w:val="center"/>
          </w:tcPr>
          <w:p>
            <w:r>
              <w:t>Vergleichsmaßstab für die Bewertung eines Werts</w:t>
            </w:r>
          </w:p>
        </w:tc>
        <w:tc>
          <w:tcPr>
            <w:tcW w:type="dxa" w:w="3120"/>
            <w:vAlign w:val="center"/>
          </w:tcPr>
          <w:p>
            <w:r>
              <w:t>begriffe/benchmark</w:t>
            </w:r>
          </w:p>
        </w:tc>
      </w:tr>
      <w:tr>
        <w:tc>
          <w:tcPr>
            <w:tcW w:type="dxa" w:w="3120"/>
            <w:vAlign w:val="center"/>
          </w:tcPr>
          <w:p>
            <w:r>
              <w:t>Archetyp</w:t>
            </w:r>
          </w:p>
        </w:tc>
        <w:tc>
          <w:tcPr>
            <w:tcW w:type="dxa" w:w="3120"/>
            <w:vAlign w:val="center"/>
          </w:tcPr>
          <w:p>
            <w:r>
              <w:t>typische Vergleichsgruppe mit eigener Wirkungslogik</w:t>
            </w:r>
          </w:p>
        </w:tc>
        <w:tc>
          <w:tcPr>
            <w:tcW w:type="dxa" w:w="3120"/>
            <w:vAlign w:val="center"/>
          </w:tcPr>
          <w:p>
            <w:r>
              <w:t>begriffe/archetyp</w:t>
            </w:r>
          </w:p>
        </w:tc>
      </w:tr>
      <w:tr>
        <w:tc>
          <w:tcPr>
            <w:tcW w:type="dxa" w:w="3120"/>
            <w:vAlign w:val="center"/>
          </w:tcPr>
          <w:p>
            <w:r>
              <w:t>Scorecard</w:t>
            </w:r>
          </w:p>
        </w:tc>
        <w:tc>
          <w:tcPr>
            <w:tcW w:type="dxa" w:w="3120"/>
            <w:vAlign w:val="center"/>
          </w:tcPr>
          <w:p>
            <w:r>
              <w:t>strukturierte Bewertungsmatrix für Wirkungsfelder</w:t>
            </w:r>
          </w:p>
        </w:tc>
        <w:tc>
          <w:tcPr>
            <w:tcW w:type="dxa" w:w="3120"/>
            <w:vAlign w:val="center"/>
          </w:tcPr>
          <w:p>
            <w:r>
              <w:t>begriffe/scorecard</w:t>
            </w:r>
          </w:p>
        </w:tc>
      </w:tr>
    </w:tbl>
    <w:p/>
    <w:p>
      <w:pPr>
        <w:pStyle w:val="Heading2"/>
      </w:pPr>
      <w:r>
        <w:t>6. Verständnisfragen (Mini-Quiz)</w:t>
      </w:r>
    </w:p>
    <w:p>
      <w:r>
        <w:t>1. Warum sind WÖk-IDs hilfreich?</w:t>
      </w:r>
    </w:p>
    <w:p>
      <w:pPr>
        <w:pStyle w:val="ListBullet"/>
      </w:pPr>
      <w:r>
        <w:t>A) Sie ersetzen Bewertung B) Sie ordnen Daten eindeutig zu C) Sie bewerten Menschen D) Sie erzeugen Audio</w:t>
      </w:r>
    </w:p>
    <w:p>
      <w:pPr>
        <w:pStyle w:val="ListBullet"/>
      </w:pPr>
      <w:r>
        <w:t>✅ Richtig: B — Eindeutige Kennungen verhindern Dubletten und Verwechslungen.</w:t>
      </w:r>
    </w:p>
    <w:p>
      <w:r>
        <w:t>2. Was leistet ein Benchmark?</w:t>
      </w:r>
    </w:p>
    <w:p>
      <w:pPr>
        <w:pStyle w:val="ListBullet"/>
      </w:pPr>
      <w:r>
        <w:t>A) Er macht einen Rohwert vergleichbar B) Er ersetzt Quellen C) Er garantiert Wirkung D) Er löscht Unsicherheit</w:t>
      </w:r>
    </w:p>
    <w:p>
      <w:pPr>
        <w:pStyle w:val="ListBullet"/>
      </w:pPr>
      <w:r>
        <w:t>✅ Richtig: A — Ein Wert braucht einen Maßstab.</w:t>
      </w:r>
    </w:p>
    <w:p>
      <w:r>
        <w:t>3. Warum braucht man Archetypen?</w:t>
      </w:r>
    </w:p>
    <w:p>
      <w:pPr>
        <w:pStyle w:val="ListBullet"/>
      </w:pPr>
      <w:r>
        <w:t>A) Alle Fälle sind gleich B) Unterschiedliche Kontexte brauchen passende Vergleichsgruppen C) Um Daten zu verstecken D) Um rote Linien aufzuheben</w:t>
      </w:r>
    </w:p>
    <w:p>
      <w:pPr>
        <w:pStyle w:val="ListBullet"/>
      </w:pPr>
      <w:r>
        <w:t>✅ Richtig: B — Branchen und Produkte haben unterschiedliche Wirkungslogiken.</w:t>
      </w:r>
    </w:p>
    <w:p>
      <w:r>
        <w:t>4. Was darf ein Branchenbenchmark nicht tun?</w:t>
      </w:r>
    </w:p>
    <w:p>
      <w:pPr>
        <w:pStyle w:val="ListBullet"/>
      </w:pPr>
      <w:r>
        <w:t>A) Vergleich ermöglichen B) schwere Schäden relativieren C) Daten strukturieren D) Unterschiede sichtbar machen</w:t>
      </w:r>
    </w:p>
    <w:p>
      <w:pPr>
        <w:pStyle w:val="ListBullet"/>
      </w:pPr>
      <w:r>
        <w:t>✅ Richtig: B — „Branchenüblich" ist kein Freibrief.</w:t>
      </w:r>
    </w:p>
    <w:p>
      <w:r>
        <w:t>5. Wie hängen Scorecards und WÖk-IDs zusammen?</w:t>
      </w:r>
    </w:p>
    <w:p>
      <w:pPr>
        <w:pStyle w:val="ListBullet"/>
      </w:pPr>
      <w:r>
        <w:t>A) IDs können Scorecard-Elemente eindeutig referenzieren B) Sie haben nichts miteinander zu tun C) Scorecards ersetzen IDs D) IDs sind nur Design</w:t>
      </w:r>
    </w:p>
    <w:p>
      <w:pPr>
        <w:pStyle w:val="ListBullet"/>
      </w:pPr>
      <w:r>
        <w:t>✅ Richtig: A — IDs machen Scorecard-Daten auffindbar und konsistent.</w:t>
      </w:r>
    </w:p>
    <w:p>
      <w:r>
        <w:t>6. Was bleibt trotz Benchmark nötig?</w:t>
      </w:r>
    </w:p>
    <w:p>
      <w:pPr>
        <w:pStyle w:val="ListBullet"/>
      </w:pPr>
      <w:r>
        <w:t>A) Datenqualität und Begründung B) reine Meinung C) Personenranking D) keine Prüfung</w:t>
      </w:r>
    </w:p>
    <w:p>
      <w:pPr>
        <w:pStyle w:val="ListBullet"/>
      </w:pPr>
      <w:r>
        <w:t>✅ Richtig: A — Vergleich braucht immer Datenqualität und transparente Begründung.</w:t>
      </w:r>
    </w:p>
    <w:p>
      <w:pPr>
        <w:pStyle w:val="Heading2"/>
      </w:pPr>
      <w:r>
        <w:t>7. Transferaufgabe</w:t>
      </w:r>
    </w:p>
    <w:p>
      <w:r>
        <w:t>Entwirf für ein Produkt drei mögliche WÖk-IDs: Produkt, Wirkungsfeld, Indikator. Ergänze je einen Benchmark und einen passenden Archetyp.</w:t>
      </w:r>
    </w:p>
    <w:p>
      <w:pPr>
        <w:pStyle w:val="Heading2"/>
      </w:pPr>
      <w:r>
        <w:t>8. Praxisbeispiel</w:t>
      </w:r>
    </w:p>
    <w:p>
      <w:r>
        <w:t>Schulgebäude. Archetyp: öffentliche Bildungsinfrastruktur. Benchmarks: Energieverbrauch, Raumluft, Barrierefreiheit, Hitzeschutz, Aufenthaltsqualität, demokratische Nutzung. WÖk-IDs ordnen die Indikatoren stabil zu, damit Sanierung und Wirkung vergleichbar werden.</w:t>
      </w:r>
    </w:p>
    <w:p>
      <w:pPr>
        <w:pStyle w:val="Heading2"/>
      </w:pPr>
      <w:r>
        <w:t>9. Quellen / Vertiefung</w:t>
      </w:r>
    </w:p>
    <w:p>
      <w:pPr>
        <w:pStyle w:val="ListBullet"/>
      </w:pPr>
      <w:r>
        <w:t>assets/pdf/die-neue-ordnung-des-wohlstands.pdf – WÖk-IDs, Benchmarks, Scorecards</w:t>
      </w:r>
    </w:p>
    <w:p>
      <w:pPr>
        <w:pStyle w:val="ListBullet"/>
      </w:pPr>
      <w:r>
        <w:t>source-assets/originals/WOeK_Begriffsleitfaden_fuehrend_v1.0.md</w:t>
      </w:r>
    </w:p>
    <w:p>
      <w:pPr>
        <w:pStyle w:val="ListBullet"/>
      </w:pPr>
      <w:r>
        <w:t>Glossar: begriffe/woek-id, begriffe/benchmark, begriffe/archetyp, begriffe/scorecard</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WÖk-IDs, Benchmarks und Archetypen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woek-g-v29-wirkpfad type: wirkpfad reuse_first: true preferred_asset: content/studienskripte/assets/woek-g-v29/woek-g-v29-wirkpfad.svg message: WÖk-IDs, Benchmarks und Archetypen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sind WÖk-IDs hilfreich?</w:t>
      </w:r>
    </w:p>
    <w:p>
      <w:pPr>
        <w:pStyle w:val="ListBullet"/>
      </w:pPr>
      <w:r>
        <w:t>A) Sie ersetzen Bewertung B) Sie ordnen Daten eindeutig zu C) Sie bewerten Menschen D) Sie erzeugen Audio</w:t>
      </w:r>
    </w:p>
    <w:p>
      <w:pPr>
        <w:pStyle w:val="ListBullet"/>
      </w:pPr>
      <w:r>
        <w:t>✅ Richtig: B — Eindeutige Kennungen verhindern Dubletten und Verwechslungen.</w:t>
      </w:r>
    </w:p>
    <w:p>
      <w:r>
        <w:t>2. Was leistet ein Benchmark?</w:t>
      </w:r>
    </w:p>
    <w:p>
      <w:pPr>
        <w:pStyle w:val="ListBullet"/>
      </w:pPr>
      <w:r>
        <w:t>A) Er macht einen Rohwert vergleichbar B) Er ersetzt Quellen C) Er garantiert Wirkung D) Er löscht Unsicherheit</w:t>
      </w:r>
    </w:p>
    <w:p>
      <w:pPr>
        <w:pStyle w:val="ListBullet"/>
      </w:pPr>
      <w:r>
        <w:t>✅ Richtig: A — Ein Wert braucht einen Maßstab.</w:t>
      </w:r>
    </w:p>
    <w:p>
      <w:r>
        <w:t>3. Warum braucht man Archetypen?</w:t>
      </w:r>
    </w:p>
    <w:p>
      <w:pPr>
        <w:pStyle w:val="ListBullet"/>
      </w:pPr>
      <w:r>
        <w:t>A) Alle Fälle sind gleich B) Unterschiedliche Kontexte brauchen passende Vergleichsgruppen C) Um Daten zu verstecken D) Um rote Linien aufzuheben</w:t>
      </w:r>
    </w:p>
    <w:p>
      <w:pPr>
        <w:pStyle w:val="ListBullet"/>
      </w:pPr>
      <w:r>
        <w:t>✅ Richtig: B — Branchen und Produkte haben unterschiedliche Wirkungslogiken.</w:t>
      </w:r>
    </w:p>
    <w:p>
      <w:r>
        <w:t>4. Was darf ein Branchenbenchmark nicht tun?</w:t>
      </w:r>
    </w:p>
    <w:p>
      <w:pPr>
        <w:pStyle w:val="ListBullet"/>
      </w:pPr>
      <w:r>
        <w:t>A) Vergleich ermöglichen B) schwere Schäden relativieren C) Daten strukturieren D) Unterschiede sichtbar machen</w:t>
      </w:r>
    </w:p>
    <w:p>
      <w:pPr>
        <w:pStyle w:val="ListBullet"/>
      </w:pPr>
      <w:r>
        <w:t>✅ Richtig: B — „Branchenüblich" ist kein Freibrief.</w:t>
      </w:r>
    </w:p>
    <w:p>
      <w:r>
        <w:t>5. Wie hängen Scorecards und WÖk-IDs zusammen?</w:t>
      </w:r>
    </w:p>
    <w:p>
      <w:pPr>
        <w:pStyle w:val="ListBullet"/>
      </w:pPr>
      <w:r>
        <w:t>A) IDs können Scorecard-Elemente eindeutig referenzieren B) Sie haben nichts miteinander zu tun C) Scorecards ersetzen IDs D) IDs sind nur Design</w:t>
      </w:r>
    </w:p>
    <w:p>
      <w:pPr>
        <w:pStyle w:val="ListBullet"/>
      </w:pPr>
      <w:r>
        <w:t>✅ Richtig: A — IDs machen Scorecard-Daten auffindbar und konsistent.</w:t>
      </w:r>
    </w:p>
    <w:p>
      <w:r>
        <w:t>6. Was bleibt trotz Benchmark nötig?</w:t>
      </w:r>
    </w:p>
    <w:p>
      <w:pPr>
        <w:pStyle w:val="ListBullet"/>
      </w:pPr>
      <w:r>
        <w:t>A) Datenqualität und Begründung B) reine Meinung C) Personenranking D) keine Prüfung</w:t>
      </w:r>
    </w:p>
    <w:p>
      <w:pPr>
        <w:pStyle w:val="ListBullet"/>
      </w:pPr>
      <w:r>
        <w:t>✅ Richtig: A — Vergleich braucht immer Datenqualität und transparente Begründung.</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WÖk-ID</w:t>
            </w:r>
          </w:p>
        </w:tc>
        <w:tc>
          <w:tcPr>
            <w:tcW w:type="dxa" w:w="3120"/>
            <w:vAlign w:val="center"/>
          </w:tcPr>
          <w:p>
            <w:r>
              <w:t>eindeutige Kennung für Wirkungsdaten oder Bewertungsobjekte</w:t>
            </w:r>
          </w:p>
        </w:tc>
        <w:tc>
          <w:tcPr>
            <w:tcW w:type="dxa" w:w="3120"/>
            <w:vAlign w:val="center"/>
          </w:tcPr>
          <w:p>
            <w:r>
              <w:t>begriffe/woek-id</w:t>
            </w:r>
          </w:p>
        </w:tc>
      </w:tr>
      <w:tr>
        <w:tc>
          <w:tcPr>
            <w:tcW w:type="dxa" w:w="3120"/>
            <w:vAlign w:val="center"/>
          </w:tcPr>
          <w:p>
            <w:r>
              <w:t>Benchmark</w:t>
            </w:r>
          </w:p>
        </w:tc>
        <w:tc>
          <w:tcPr>
            <w:tcW w:type="dxa" w:w="3120"/>
            <w:vAlign w:val="center"/>
          </w:tcPr>
          <w:p>
            <w:r>
              <w:t>Vergleichsmaßstab für die Bewertung eines Werts</w:t>
            </w:r>
          </w:p>
        </w:tc>
        <w:tc>
          <w:tcPr>
            <w:tcW w:type="dxa" w:w="3120"/>
            <w:vAlign w:val="center"/>
          </w:tcPr>
          <w:p>
            <w:r>
              <w:t>begriffe/benchmark</w:t>
            </w:r>
          </w:p>
        </w:tc>
      </w:tr>
      <w:tr>
        <w:tc>
          <w:tcPr>
            <w:tcW w:type="dxa" w:w="3120"/>
            <w:vAlign w:val="center"/>
          </w:tcPr>
          <w:p>
            <w:r>
              <w:t>Archetyp</w:t>
            </w:r>
          </w:p>
        </w:tc>
        <w:tc>
          <w:tcPr>
            <w:tcW w:type="dxa" w:w="3120"/>
            <w:vAlign w:val="center"/>
          </w:tcPr>
          <w:p>
            <w:r>
              <w:t>typische Vergleichsgruppe mit eigener Wirkungslogik</w:t>
            </w:r>
          </w:p>
        </w:tc>
        <w:tc>
          <w:tcPr>
            <w:tcW w:type="dxa" w:w="3120"/>
            <w:vAlign w:val="center"/>
          </w:tcPr>
          <w:p>
            <w:r>
              <w:t>begriffe/archetyp</w:t>
            </w:r>
          </w:p>
        </w:tc>
      </w:tr>
      <w:tr>
        <w:tc>
          <w:tcPr>
            <w:tcW w:type="dxa" w:w="3120"/>
            <w:vAlign w:val="center"/>
          </w:tcPr>
          <w:p>
            <w:r>
              <w:t>Scorecard</w:t>
            </w:r>
          </w:p>
        </w:tc>
        <w:tc>
          <w:tcPr>
            <w:tcW w:type="dxa" w:w="3120"/>
            <w:vAlign w:val="center"/>
          </w:tcPr>
          <w:p>
            <w:r>
              <w:t>strukturierte Bewertungsmatrix für Wirkungsfelder</w:t>
            </w:r>
          </w:p>
        </w:tc>
        <w:tc>
          <w:tcPr>
            <w:tcW w:type="dxa" w:w="3120"/>
            <w:vAlign w:val="center"/>
          </w:tcPr>
          <w:p>
            <w:r>
              <w:t>begriffe/scorecard</w:t>
            </w:r>
          </w:p>
        </w:tc>
      </w:tr>
    </w:tbl>
    <w:p/>
    <w:p>
      <w:pPr>
        <w:pStyle w:val="Heading2"/>
      </w:pPr>
      <w:r>
        <w:t>7. Tiefenskript-Erweiterung Sprint 4</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WÖk-IDs machen Wirkung adressierbar, Benchmarks machen sie vergleichbar, Archetypen machen Vergleich fair. Ohne diese drei Ebenen bleiben Wirkungsdaten entweder sprachlich, beliebig oder ungerecht.</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V29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WÖk-ID</w:t>
            </w:r>
          </w:p>
        </w:tc>
        <w:tc>
          <w:tcPr>
            <w:tcW w:type="dxa" w:w="2340"/>
            <w:vAlign w:val="center"/>
          </w:tcPr>
          <w:p>
            <w:r>
              <w:t>eindeutige Adresse eines Wirkungsindikators</w:t>
            </w:r>
          </w:p>
        </w:tc>
        <w:tc>
          <w:tcPr>
            <w:tcW w:type="dxa" w:w="2340"/>
            <w:vAlign w:val="center"/>
          </w:tcPr>
          <w:p>
            <w:r>
              <w:t>ID als Score oder Urteil lesen</w:t>
            </w:r>
          </w:p>
        </w:tc>
        <w:tc>
          <w:tcPr>
            <w:tcW w:type="dxa" w:w="2340"/>
            <w:vAlign w:val="center"/>
          </w:tcPr>
          <w:p>
            <w:r>
              <w:t>Indikator, Einheit, Quelle, Version und Prüfstatus trennen</w:t>
            </w:r>
          </w:p>
        </w:tc>
      </w:tr>
      <w:tr>
        <w:tc>
          <w:tcPr>
            <w:tcW w:type="dxa" w:w="2340"/>
            <w:vAlign w:val="center"/>
          </w:tcPr>
          <w:p>
            <w:r>
              <w:t>Benchmark</w:t>
            </w:r>
          </w:p>
        </w:tc>
        <w:tc>
          <w:tcPr>
            <w:tcW w:type="dxa" w:w="2340"/>
            <w:vAlign w:val="center"/>
          </w:tcPr>
          <w:p>
            <w:r>
              <w:t>Vergleichsmaßstab für eine Branche, Produktgruppe oder Maßnahme</w:t>
            </w:r>
          </w:p>
        </w:tc>
        <w:tc>
          <w:tcPr>
            <w:tcW w:type="dxa" w:w="2340"/>
            <w:vAlign w:val="center"/>
          </w:tcPr>
          <w:p>
            <w:r>
              <w:t>alle Akteure am selben Wert messen</w:t>
            </w:r>
          </w:p>
        </w:tc>
        <w:tc>
          <w:tcPr>
            <w:tcW w:type="dxa" w:w="2340"/>
            <w:vAlign w:val="center"/>
          </w:tcPr>
          <w:p>
            <w:r>
              <w:t>Vergleichsgruppe und Systemgrenze offenlegen</w:t>
            </w:r>
          </w:p>
        </w:tc>
      </w:tr>
      <w:tr>
        <w:tc>
          <w:tcPr>
            <w:tcW w:type="dxa" w:w="2340"/>
            <w:vAlign w:val="center"/>
          </w:tcPr>
          <w:p>
            <w:r>
              <w:t>Archetyp</w:t>
            </w:r>
          </w:p>
        </w:tc>
        <w:tc>
          <w:tcPr>
            <w:tcW w:type="dxa" w:w="2340"/>
            <w:vAlign w:val="center"/>
          </w:tcPr>
          <w:p>
            <w:r>
              <w:t>typischer Fall oder Strukturtyp für faire Bewertung</w:t>
            </w:r>
          </w:p>
        </w:tc>
        <w:tc>
          <w:tcPr>
            <w:tcW w:type="dxa" w:w="2340"/>
            <w:vAlign w:val="center"/>
          </w:tcPr>
          <w:p>
            <w:r>
              <w:t>Einzelfälle über einen Kamm scheren</w:t>
            </w:r>
          </w:p>
        </w:tc>
        <w:tc>
          <w:tcPr>
            <w:tcW w:type="dxa" w:w="2340"/>
            <w:vAlign w:val="center"/>
          </w:tcPr>
          <w:p>
            <w:r>
              <w:t>passende Vergleichsfamilie bilden</w:t>
            </w:r>
          </w:p>
        </w:tc>
      </w:tr>
      <w:tr>
        <w:tc>
          <w:tcPr>
            <w:tcW w:type="dxa" w:w="2340"/>
            <w:vAlign w:val="center"/>
          </w:tcPr>
          <w:p>
            <w:r>
              <w:t>Skala</w:t>
            </w:r>
          </w:p>
        </w:tc>
        <w:tc>
          <w:tcPr>
            <w:tcW w:type="dxa" w:w="2340"/>
            <w:vAlign w:val="center"/>
          </w:tcPr>
          <w:p>
            <w:r>
              <w:t>Übersetzung von Messwerten in Bewertungsstufen</w:t>
            </w:r>
          </w:p>
        </w:tc>
        <w:tc>
          <w:tcPr>
            <w:tcW w:type="dxa" w:w="2340"/>
            <w:vAlign w:val="center"/>
          </w:tcPr>
          <w:p>
            <w:r>
              <w:t>Skala als Naturgesetz behandeln</w:t>
            </w:r>
          </w:p>
        </w:tc>
        <w:tc>
          <w:tcPr>
            <w:tcW w:type="dxa" w:w="2340"/>
            <w:vAlign w:val="center"/>
          </w:tcPr>
          <w:p>
            <w:r>
              <w:t>Skala begründen, versionieren und korrigierbar halten</w:t>
            </w:r>
          </w:p>
        </w:tc>
      </w:tr>
    </w:tbl>
    <w:p/>
    <w:p>
      <w:pPr>
        <w:pStyle w:val="Heading3"/>
      </w:pPr>
      <w:r>
        <w:t>7.4 Modellformel</w:t>
      </w:r>
    </w:p>
    <w:p>
      <w:r>
        <w:t>Die folgende Formel ist ein didaktisches Denkmodell, kein amtlicher Bewertungsstandard:</w:t>
      </w:r>
    </w:p>
    <w:p>
      <w:r>
        <w:t>Bewertung_fair = Messwert(WÖktext-ID) \; im \; Kontext(Benchmark, Archetyp, Datenqualitaet)</w:t>
      </w:r>
    </w:p>
    <w:p>
      <w:r>
        <w:t>Der Messwert wird erst fair bewertbar, wenn klar ist, welcher Indikator gemeint ist, welche Vergleichsgruppe gilt und wie belastbar die Daten sind.</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Wasserverbrauch ist kein einziger Indikator. Relevant sind Standort, Wasserstress, Wiederverwendung, Lieferkettenbezug, Produktgruppe und Zeit. Eine WÖk-ID ordnet, welcher Wasseraspekt gemeint ist.</w:t>
      </w:r>
    </w:p>
    <w:p>
      <w:r>
        <w:t>Fall 2. Ein Krankenhaus, eine Schule und ein Chemiewerk können Energieverbrauch nicht mit derselben Erwartung bewerten. Archetypen schützen davor, notwendige Funktionen mit schlechter Wirkung zu verwechseln.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31 - WÖk-IDs und Indikatorenarchitektur</w:t>
      </w:r>
    </w:p>
    <w:p>
      <w:r>
        <w:t>Interne Quelle: referenz/kapitel-031-woek-ids-und-indikatorenarchitektur/index.html</w:t>
      </w:r>
    </w:p>
    <w:p>
      <w:r>
        <w:t>Kapitel 30 hat geklärt, warum Wirkung messbar werden muss, ohne auf Zahlen reduziert zu werden. Messung braucht empirische Daten, systemische Einordnung und normative Bewertung. Dieses Kapitel führt die Ordnungseinheit ein, mit der Wirkungsdaten adressierbar werden: die WÖk-ID.</w:t>
      </w:r>
    </w:p>
    <w:p>
      <w:r>
        <w:t>Eine WÖk-ID ist eine standardisierte Kennziffer für einen Wirkungsindikator innerhalb der Wirkungsökonomie. Sie ist nicht der Score selbst, nicht die vollständige Bewertung und nicht die Scorecard. Sie ist der eindeutig adressierbare Indikator, aus dem spätere Bewertungen aufgebaut werden. Ohne eindeutige Zuordnungen bleibt Wirkung sprachlich. Mit WÖk-IDs wird Wirkung technisch anschlussfähig, prüfbar, vergleichbar und versionierbar.</w:t>
      </w:r>
    </w:p>
    <w:p>
      <w:r>
        <w:t>Der Leitgedanke dieses Kapitels lautet: Die WÖk-ID macht Wirkung adressierbar. Sie übersetzt den normativen Maßstab Mensch, Planet und Demokratie in eine strukturierte Daten- und Indikatorenlogik. Dieses Kapitel bewertet noch nicht. Es erklärt, wie Wirkungsindikatoren geordnet werden. Die Frage, wie Messwerte über Archetypen, Benchmarks, Skalen und Scorecards bewertet werden, folgt im nächsten methodischen Schritt.</w:t>
      </w:r>
    </w:p>
    <w:p>
      <w:pPr>
        <w:pStyle w:val="Heading3"/>
      </w:pPr>
      <w:r>
        <w:t>31.1 Funktion der WÖk-ID</w:t>
      </w:r>
    </w:p>
    <w:p>
      <w:r>
        <w:t>Die WÖk-ID löst ein Grundproblem jeder Wirkungsmessung: Unterschiedliche Akteure sprechen über ähnliche Wirkungen, aber nicht in derselben Sprache. Ein Unternehmen berichtet Wasserverbrauch. Eine Behörde prüft Wasserentnahme. Ein Investor fragt nach Standortrisiko. Eine Kommune betrachtet lokale Resilienz. Eine Lieferkette dokumentiert Herkunft, Stressregion und Verbrauch. Ohne gemeinsame Ordnung können diese Informationen nebeneinanderstehen, ohne gemeinsam auswertbar zu werden.</w:t>
      </w:r>
    </w:p>
    <w:p>
      <w:r>
        <w:t>Die WÖk-ID schafft eine eindeutige Adresse für einen Wirkungsindikator. Sie sagt nicht nur, dass „Wasser“ relevant ist. Sie klärt, welcher konkrete Aspekt gemeint ist: Wasserentnahme, Wasserverbrauch, Wasserstress, Wiederverwendung, Abwasserqualität, Standortbezug, Lieferkettenbezug oder Gesundheitswirkung. Sie klärt auch, auf welche Wirkungsdimension sich der Indikator bezieht, welche Datenquelle genutzt wird, welche Einheit gilt, welche Systemgrenze gesetzt wird, welcher Prüfstatus vorliegt und welche Version verwendet wird.</w:t>
      </w:r>
    </w:p>
    <w:p>
      <w:r>
        <w:t>Damit wird Wirkung nicht nur beschrieben, sondern geordnet. Eine WÖk-ID kann etwa Produkt-CO2-Fußabdruck, Living-Wage-Abdeckung, Arbeitsschutz, Kinder- und Zwangsarbeitsausschluss, Gender Pay Gap, Produktsicherheit, Datenschutz, Gebäudeenergiebedarf, Stadtgrün, Steuertransparenz, algorithmische Prüfpflicht oder Lieferkettentransparenz adressieren. Die Beispiele zeigen: Die WÖk-ID ist nicht auf ökologische Indikatoren begrenzt. Sie ordnet Wirkung entlang der gesamten Trias Mensch, Planet und Demokratie.</w:t>
      </w:r>
    </w:p>
    <w:p>
      <w:r>
        <w:t>Ihre Funktion liegt in fünf Bereichen. Erstens standardisiert sie Sprache. Unterschiedliche Akteure können dieselbe Wirkungseinheit meinen. Zweitens ermöglicht sie Vergleichbarkeit. Produkte, Dienstleistungen, Unternehmen, Kapitalflüsse, Immobilien, öffentliche Maßnahmen und Tätigkeiten können nicht identisch bewertet werden, aber entlang einer gemeinsamen Logik. Drittens erhöht sie Prüfbarkeit. Prüfende können nachvollziehen, welche Daten, Grenzen und Quellen verwendet wurden. Viertens ermöglicht sie digitale Verarbeitung. Register, Datenräume, Beschaffungssysteme, Berichte und spätere Entscheidungslogiken können Wirkungsinformationen maschinenlesbar verarbeiten. Fünftens schafft sie Lernfähigkeit, weil jede ID versioniert, angepasst, erweitert oder ersetzt werden kann.</w:t>
      </w:r>
    </w:p>
    <w:p>
      <w:r>
        <w:t>Für technische Systeme wird der Prefix WOK verwendet, weil Umlaute in Datenbanken, Schnittstellen, Registern und internationalen Datenräumen problematisch sein können. Im Fließtext bleibt WÖk-ID die fachliche Schreibweise. Diese Unterscheidung trennt Sprache und technische Interoperabilität.</w:t>
      </w:r>
    </w:p>
    <w:p>
      <w:r>
        <w:t>Wichtig ist die Grenze dieses Kapitels: Die WÖk-ID bewertet noch nicht. Sie macht Bewertung möglich. Sie beantwortet die Frage: Welcher Indikator ist gemeint? Der konkrete Messwert, die Benchmark, die spätere Einordnung, die Zusammenführung in Scorecards und die daraus folgende Entscheidungswirkung gehören zu den nächsten Schritten.</w:t>
      </w:r>
    </w:p>
    <w:p>
      <w:pPr>
        <w:pStyle w:val="Heading3"/>
      </w:pPr>
      <w:r>
        <w:t>31.2 SDGs, SDG+ und der Zielbezug der WÖk-ID</w:t>
      </w:r>
    </w:p>
    <w:p>
      <w:r>
        <w:t>Eine WÖk-ID ist keine beliebige technische Kennziffer. Sie verbindet einen messbaren Wirkungsindikator mit einem normativen Zielbezug. Genau dadurch unterscheidet sie sich von einer reinen Daten-ID, einer Reporting-Kennzahl oder einem technischen Registereintrag.</w:t>
      </w:r>
    </w:p>
    <w:p>
      <w:r>
        <w:t>Die grundlegende Begründung, warum die Wirkungsökonomie die Sustainable Development Goals als globalen Referenzrahmen nutzt und zugleich zu SDG+ erweitert, wurde im Exkurs am Ende von Teil IV entfaltet. Dieses Kapitel knüpft daran methodisch an. Es fragt nicht mehr, warum ein globaler Zielrahmen nötig ist, sondern wie dieser Zielrahmen in eine adressierbare Indikatorenarchitektur übersetzt werden kann.</w:t>
      </w:r>
    </w:p>
    <w:p>
      <w:r>
        <w:t>Die SDGs bilden dafür den wichtigsten globalen Anschlussrahmen. Sie wurden als Teil der Agenda 2030 von den Mitgliedstaaten der Vereinten Nationen beschlossen und beschreiben zentrale Entwicklungs-, Sozial-, Umwelt- und Institutionenziele: Armut, Hunger, Gesundheit, Bildung, Wasser, Energie, Arbeit, Infrastruktur, Ungleichheit, nachhaltige Städte, verantwortliche Produktion, Klima, Meere, Biodiversität, Frieden, Institutionen und Partnerschaften.</w:t>
      </w:r>
    </w:p>
    <w:p>
      <w:r>
        <w:t>Die SDGs sind damit nicht wertneutral. Sie enthalten normative Zielsetzungen. Aber sie sind nicht parteiideologisch im engen Sinn. Sie sind kein Programm einer bestimmten Wirtschaftsform, keiner bestimmten Partei und keines einzelnen Staates. Sie bilden einen multilateralen Zielraum, an den sehr unterschiedliche politische, ökonomische und kulturelle Systeme anschließen können. Genau diese Breite macht sie für die Wirkungsökonomie relevant.</w:t>
      </w:r>
    </w:p>
    <w:p>
      <w:r>
        <w:t>Die Wirkungsökonomie übernimmt die SDGs jedoch nicht als vollständige Steuerungsarchitektur. Die SDGs beschreiben Zielräume. Sie sagen noch nicht ausreichend, wie Wirkung gemessen, gewichtet, nicht kompensiert, bepreist, besteuert, kapitalbezogen bewertet, in Beschaffung übersetzt oder in Rückkopplung überführt wird. Sie sind deshalb Ausgangspunkt, nicht Endpunkt der Wirkungsökonomie.</w:t>
      </w:r>
    </w:p>
    <w:p>
      <w:r>
        <w:t>Hinzu kommt: Die SDGs sind längst nicht nur ein politischer Zielrahmen. Sie sind Teil der globalen Nachhaltigkeits-, Reporting- und Finanzmarktsprache geworden. Viele große, international berichtende und kapitalmarktorientierte Unternehmen beziehen sich in Nachhaltigkeitsberichten, Strategiedokumenten, Wesentlichkeitsanalysen oder ESG-Kommunikation auf die SDGs. Das geschieht nicht überall gleich tief und nicht immer überzeugend. Aber die SDGs haben sich als gemeinsame Referenzsprache etabliert.</w:t>
      </w:r>
    </w:p>
    <w:p>
      <w:r>
        <w:t>Auch ESG-Ratings bewerten Unternehmen nicht schlicht „nach den SDGs“. Sie bewerten in der Regel Umwelt-, Sozial- und Governance-Risiken, Branchenexpositionen, Managementsysteme, Kontroversen und finanziell relevante Nachhaltigkeitsrisiken. Dennoch überschneiden sich viele dieser Bewertungsfelder mit SDG-nahen Wirkungsräumen: Klima, Wasser, Arbeit, Menschenrechte, Gesundheit, Biodiversität, Lieferketten, Governance, Korruption, soziale Stabilität und institutionelle Qualität. MSCI beschreibt seine ESG Ratings etwa als Messung der Resilienz von Unternehmen gegenüber finanziell relevanten, branchenspezifischen Nachhaltigkeitsrisiken und -chancen; Sustainalytics beschreibt seine ESG Risk Ratings als Bewertung der Exposition gegenüber materiellen ESG-Risiken und des Managements dieser Risiken.</w:t>
      </w:r>
    </w:p>
    <w:p>
      <w:r>
        <w:t>Damit werden SDG-nahe Themen im Finanzmarkt faktisch zu Risiko-, Resilienz- und Bewertungsfaktoren. Wasserstress ist nicht nur ein Nachhaltigkeitsthema, sondern ein Produktions- und Lieferkettenrisiko. Klimawandel ist nicht nur ein Umweltziel, sondern ein Standort-, Versicherungs-, Kapital- und Transitionsrisiko. Menschenrechte sind nicht nur ein ethisches Anliegen, sondern ein Haftungs-, Reputations- und Beschaffungsrisiko. Biodiversitätsverlust ist nicht nur Naturschutz, sondern ein Risiko für Ernährung, Rohstoffe, Gesundheit und Systemstabilität.</w:t>
      </w:r>
    </w:p>
    <w:p>
      <w:r>
        <w:t>Genau hier setzt die WÖk-ID an. Sie übersetzt den globalen Zielraum der SDGs und die Erweiterung durch SDG+ in eine adressierbare Indikatorenlogik. Eine WÖk-ID beantwortet daher nicht nur die Frage: Welcher Indikator wird gemessen? Sie beantwortet auch: Auf welchen Zielraum bezieht sich dieser Indikator?</w:t>
      </w:r>
    </w:p>
    <w:p>
      <w:r>
        <w:t>Ein CO2-Indikator kann etwa auf SDG 13, Klima, bezogen werden. Ein Wasserstress-Indikator kann SDG 6, sauberes Wasser, und SDG 12, nachhaltige Produktion, berühren. Ein Living-Wage-Indikator kann mit SDG 8, menschenwürdige Arbeit, und SDG 10, weniger Ungleichheit, verbunden sein. Ein Biodiversitätsindikator kann SDG 15 oder SDG 14 betreffen. Ein Korruptions- oder Transparenzindikator kann an SDG 16 anschließen. Diese Zuordnung macht den Zielbezug sichtbar, ersetzt aber noch keine Bewertung.</w:t>
      </w:r>
    </w:p>
    <w:p>
      <w:r>
        <w:t>SDG+ erweitert diese Logik um jene Wirkungsräume, die für die Wirkungsökonomie besonders wichtig sind, in der klassischen SDG-Systematik aber nicht tief genug operationalisiert werden: Demokratie, Rechtsstaatlichkeit, Medienqualität, Diskursfähigkeit, digitale Selbstbestimmung, algorithmische Fairness, Plattformmacht, institutionelles Vertrauen und Schutz vor Manipulation.</w:t>
      </w:r>
    </w:p>
    <w:p>
      <w:r>
        <w:t>Diese Erweiterung ist notwendig, weil Wirkung im 21. Jahrhundert nicht nur ökologische und soziale Zustände betrifft. Auch öffentliche Wahrheit, digitale Öffentlichkeit, Plattformlogiken, algorithmische Entscheidungen, Desinformation, Medienqualität und demokratische Resilienz verändern reale Zustände. Eine Wirkung kann nicht als vollständig positiv gelten, wenn sie ökologische oder soziale Vorteile erzeugt, aber demokratische Korrekturfähigkeit beschädigt.</w:t>
      </w:r>
    </w:p>
    <w:p>
      <w:r>
        <w:t>Der Zielbezug der WÖk-ID besteht deshalb aus zwei Ebenen. Die erste Ebene ist der Anschluss an die SDGs als global etablierter Referenzrahmen. Die zweite Ebene ist SDG+ als wirkungsökonomische Erweiterung um demokratie-, medien-, daten- und digitalitätsbezogene Wirkungsräume. Zusammen verbinden sie internationale Anschlussfähigkeit mit dem normativen Kern der Wirkungsökonomie: Mensch, Planet und Demokratie.</w:t>
      </w:r>
    </w:p>
    <w:p>
      <w:r>
        <w:t>Wichtig bleibt die Grenze: Eine WÖk-ID ist noch keine Entscheidung. Sie bewertet nicht selbst, ob eine Wirkung gut, schlecht, kritisch oder transformativ ist. Sie ordnet den Indikator, den Zielbezug, die Wirkungsdimension und die spätere Anschlussfähigkeit an Scorecards, Datenquellen, Benchmarks und Prüfverfahren. Die Bewertung folgt erst in den nächsten methodischen Schritten.</w:t>
      </w:r>
    </w:p>
    <w:p>
      <w:r>
        <w:t>So wird aus den SDGs kein bloßes Symbol und aus SDG+ keine zusätzliche Zieldekoration. Beide werden zu einer strukturierten Referenzlogik für Wirkungsdaten. Die WÖk-ID macht sichtbar, welcher Wirkungsaspekt gemeint ist, welchem Zielraum er zugeordnet wird und wie er später vergleichbar, prüfbar und rückkoppelbar werden kann.</w:t>
      </w:r>
    </w:p>
    <w:p>
      <w:pPr>
        <w:pStyle w:val="Heading3"/>
      </w:pPr>
      <w:r>
        <w:t>31.3 Aufbau einer WÖk-ID</w:t>
      </w:r>
    </w:p>
    <w:p>
      <w:r>
        <w:t>Eine WÖk-ID besteht aus mehreren Ebenen. Sie ist keine bloße laufende Nummer. Sie bildet ab, welcher Wirkungsraum, welche Indikatorfamilie, welche Einheit, welche Datenquelle, welche Systemgrenze, welcher Prüfstatus und welche Version gemeint sind.</w:t>
      </w:r>
    </w:p>
    <w:p>
      <w:r>
        <w:t>Die genaue technische Ausgestaltung kann sich weiterentwickeln. Für das Verständnis reicht hier die Grundlogik: Eine WÖk-ID verbindet eine Wirkungsdimension mit einem Zielbezug, einer Aktivitätsordnung, einer Indikatorfamilie und einer Datenlogik. Damit wird ein Indikator eindeutig adressierbar.</w:t>
      </w:r>
    </w:p>
    <w:p>
      <w:r>
        <w:t>Tabelle 31-1: Grundelemente einer WÖk-ID</w:t>
      </w:r>
    </w:p>
    <w:p>
      <w:r>
        <w:t>Diese Struktur verhindert, dass scheinbar gleiche Begriffe unterschiedliche Dinge meinen. „CO2“ kann Produkt-CO2, Standortemission, Scope-1-Emission, Scope-3-Lieferkettenemission, Nutzungsphase oder Entsorgung betreffen. „Wasser“ kann Entnahme, Verbrauch, Wasserstress, Abwasserqualität oder ökologische Gewässerwirkung meinen. „Arbeit“ kann Beschäftigung, Lohnniveau, Arbeitszeit, Sicherheit, Mitbestimmung, Kinderarbeit, Zwangsarbeit oder psychische Belastung meinen. Eine WÖk-ID erzwingt diese Präzisierung.</w:t>
      </w:r>
    </w:p>
    <w:p>
      <w:r>
        <w:t>Die WÖk-ID trennt außerdem Indikator und Bewertung. Ein Messwert wird nicht schon dadurch gut oder schlecht, dass er eine ID erhält. Die ID sagt: Dieser Wert gehört zu diesem Indikator, in diesem Wirkungsfeld, mit dieser Einheit und dieser Systemgrenze. Ob der Wert später positiv, neutral, kritisch oder schädlich bewertet wird, hängt von Archetyp, Benchmark, Schwellenwert, Kontext, Datenqualität und Scorecard ab.</w:t>
      </w:r>
    </w:p>
    <w:p>
      <w:r>
        <w:t>Diese Trennung ist methodisch wichtig. Ohne sie würde die Messarchitektur mit der Bewertungsarchitektur verschwimmen. Dann wäre nicht mehr klar, ob eine Änderung am Score aus realer Wirkungsverbesserung stammt oder aus einer Änderung der Zuordnung, der Einheit, des Benchmarks oder der Systemgrenze. Die WÖk-ID hält diese Ebenen auseinander.</w:t>
      </w:r>
    </w:p>
    <w:p>
      <w:pPr>
        <w:pStyle w:val="Heading3"/>
      </w:pPr>
      <w:r>
        <w:t>31.4 SDG, SDG+, NACE, ESRS und GRI</w:t>
      </w:r>
    </w:p>
    <w:p>
      <w:r>
        <w:t>Die Wirkungsökonomie beginnt nicht bei null. Sie nutzt bestehende internationale, europäische und branchenspezifische Ordnungen, erweitert sie aber um eine eigene Wirkungslogik. Die WÖk-ID ist deshalb keine geschlossene Sondernummer, sondern eine Anschlussstruktur. Sie verbindet die normative Trias Mensch, Planet und Demokratie mit vorhandenen Ziel-, Branchen- und Berichtssystemen.</w:t>
      </w:r>
    </w:p>
    <w:p>
      <w:r>
        <w:t>Die SDGs liefern den globalen Zielrahmen nachhaltiger Entwicklung. Sie machen sichtbar, dass Armut, Gesundheit, Bildung, Geschlechtergerechtigkeit, Wasser, Energie, Arbeit, Ungleichheit, Städte, Konsum, Klima, Biodiversität, Frieden und Institutionen zusammengehören. Für die Wirkungsökonomie sind die SDGs ein globaler Kompass, aber noch keine ausreichende Messarchitektur. Sie benennen Zielräume, ersetzen jedoch nicht die Frage, wie konkrete Wirkungen in Daten, Indikatoren, Rückkopplung und Entscheidung übersetzt werden.</w:t>
      </w:r>
    </w:p>
    <w:p>
      <w:r>
        <w:t>Die SDG-Indikatoren der Vereinten Nationen schaffen den technischen Anschluss an Ziel- und Unterzielbezüge. Sie zeigen, dass globale Ziele nicht nur politisch formuliert, sondern durch Indikatoren beobachtbar gemacht werden sollen. Auch hier gilt: Der globale SDG-Indikatorrahmen ist wichtig, aber nicht deckungsgleich mit der WÖk-ID. Viele WÖk-Indikatoren brauchen produkt-, unternehmens-, lieferketten-, kapital-, kommunal- oder medienbezogene Präzisierung. Die SDG-Indikatoren liefern Anschluss, nicht vollständige operative Steuerung.</w:t>
      </w:r>
    </w:p>
    <w:p>
      <w:pPr>
        <w:pStyle w:val="Heading3"/>
      </w:pPr>
      <w:r>
        <w:t>Quellenanker: Kapitel 32 - Benchmarks, Skalen und Scorecards</w:t>
      </w:r>
    </w:p>
    <w:p>
      <w:r>
        <w:t>Interne Quelle: referenz/kapitel-032-benchmarks-skalen-und-scorecards/index.html</w:t>
      </w:r>
    </w:p>
    <w:p>
      <w:r>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r>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w:t>
      </w:r>
    </w:p>
    <w:p>
      <w:r>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pPr>
        <w:pStyle w:val="Heading3"/>
      </w:pPr>
      <w:r>
        <w:t>32.1 Wirkungsskala von negativ bis transformativ</w:t>
      </w:r>
    </w:p>
    <w:p>
      <w:r>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r>
        <w:t>Die Wirkungsökonomie arbeitet mit einer Skala von -3 bis +3. Der genaue Zuschnitt kann je nach Wirkungsfeld, Indikatorfamilie und Kontext variieren. Der Zweck bleibt gleich: Daten sollen nicht nur gesammelt, sondern in eine verständliche Wirkungsordnung überführt werden.</w:t>
      </w:r>
    </w:p>
    <w:p>
      <w:r>
        <w:t>Tabelle 32-1: Wirkungsskala von -3 bis +3</w:t>
      </w:r>
    </w:p>
    <w:p>
      <w:r>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r>
        <w:t>Die Skala schützt vor zwei Fehlern. Der erste Fehler wäre Schwarz-Weiß-Bewertung. Dann wird alles entweder gut oder schlecht. Diese Logik verfehlt Übergänge, Lernprozesse und Transformation. Der zweite Fehler wäre Beliebigkeit. Dann wird jeder kleine Fortschritt schon als nachhaltig oder positiv bezeichnet. Diese Logik entwertet echte Transformation.</w:t>
      </w:r>
    </w:p>
    <w:p>
      <w:r>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w:t>
      </w:r>
    </w:p>
    <w:p>
      <w:r>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pPr>
        <w:pStyle w:val="Heading3"/>
      </w:pPr>
      <w:r>
        <w:t>32.2 Benchmarks nach Branche und Kontext</w:t>
      </w:r>
    </w:p>
    <w:p>
      <w:r>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r>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w:t>
      </w:r>
    </w:p>
    <w:p>
      <w:r>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r>
        <w:t>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Gesundheitsrisiken oder fehlende Mitbestimmung relativiert werden. Ein emissionsarmer Prozess kann gesellschaftlich schädlich sein, wenn er auf Zwangsarbeit, Biodiversitätsverlust oder demokratisch problematischer Abhängigkeit beruht.</w:t>
      </w:r>
    </w:p>
    <w:p>
      <w:r>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r>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pPr>
        <w:pStyle w:val="Heading3"/>
      </w:pPr>
      <w:r>
        <w:t>32.3 Scorecard-Aufbau</w:t>
      </w:r>
    </w:p>
    <w:p>
      <w:r>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r>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w:t>
      </w:r>
    </w:p>
    <w:p>
      <w:r>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r>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w:t>
      </w:r>
    </w:p>
    <w:p>
      <w:r>
        <w:t>Tabelle 32-2: Aufbau einer Scorecard</w:t>
      </w:r>
    </w:p>
    <w:p>
      <w:r>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r>
        <w:t>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Datenqualität ist riskant. Er kann Präzision vortäuschen, wo nur grobe Annäherung vorliegt.</w:t>
      </w:r>
    </w:p>
    <w:p>
      <w:r>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pPr>
        <w:pStyle w:val="Heading3"/>
      </w:pPr>
      <w:r>
        <w:t>32.4 Der Netto-Wirkungs-Index als operative Wirkungskennzahl</w:t>
      </w:r>
    </w:p>
    <w:p>
      <w:r>
        <w:t>Der Netto-Wirkungs-Index, kurz NWI, ist die operative Kennzahl der Wirkungsökonomie für die Bewertung von Netto-Wirkung.</w:t>
      </w:r>
    </w:p>
    <w:p>
      <w:r>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w:t>
      </w:r>
    </w:p>
    <w:p>
      <w:r>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w:t>
      </w:r>
    </w:p>
    <w:p>
      <w:r>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w:t>
      </w:r>
    </w:p>
    <w:p>
      <w:r>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w:t>
      </w:r>
    </w:p>
    <w:p>
      <w:r>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w:t>
      </w:r>
    </w:p>
    <w:p>
      <w:r>
        <w:t>Methodisch ist der NWI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w:t>
      </w:r>
    </w:p>
    <w:p>
      <w:r>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w:t>
      </w:r>
    </w:p>
    <w:p>
      <w:r>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w:t>
      </w:r>
    </w:p>
    <w:p>
      <w:pPr>
        <w:pStyle w:val="Heading3"/>
      </w:pPr>
      <w:r>
        <w:t>Quellenanker: Kapitel 50 - Produktscorecards</w:t>
      </w:r>
    </w:p>
    <w:p>
      <w:r>
        <w:t>Interne Quelle: referenz/kapitel-050-produktscorecards/index.html</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Wirkungsökonomie · WÖk-IDs · https://wirkungsoekonomie.de/werkzeuge/woek-ids/ · Druckdatum: 24.05.2026</w:t>
      </w:r>
    </w:p>
    <w:p>
      <w:r>
        <w:t>Interne Quelle: werkzeuge/woek-ids/index.html</w:t>
      </w:r>
    </w:p>
    <w:p>
      <w:r>
        <w:t>Methodenregister</w:t>
      </w:r>
    </w:p>
    <w:p>
      <w:r>
        <w:t>Indikatorenarchitektur der Wirkungsökonomie.</w:t>
      </w:r>
    </w:p>
    <w:p>
      <w:r>
        <w:t>WÖk-IDs verbinden Referenzrahmen, Datenquellen, Einheiten, Schwellen, Versionen und Prüfstatus.</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WÖk-IDs verbinden Referenzrahmen, Datenquellen, Einheiten, Schwellen, Versionen und Prüfstatus.</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21</w:t>
      </w:r>
    </w:p>
    <w:p>
      <w:r>
        <w:t>WÖk-IDs und Indikatorenarchitektur</w:t>
      </w:r>
    </w:p>
    <w:p>
      <w:r>
        <w:t>Wie Wirkungsdaten eindeutig, prüfbar, vergleichbar und rückkoppelbar werden</w:t>
      </w:r>
    </w:p>
    <w:p>
      <w:r>
        <w:t>Methoden &amp; Werkzeuge</w:t>
      </w:r>
    </w:p>
    <w:p>
      <w:r>
        <w:t>Werkzeuge in diesem Bereich #</w:t>
      </w:r>
    </w:p>
    <w:p>
      <w:r>
        <w:t>Impact Controlling ist der Methodenrahmen. Interaktive Rechner werden als Rechner bezeichnet; statische Zielseiten führen als Methodik oder Dossier weiter.</w:t>
      </w:r>
    </w:p>
    <w:p>
      <w:r>
        <w:t>Datenarchitektur</w:t>
      </w:r>
    </w:p>
    <w:p>
      <w:r>
        <w:t>WÖk-IDs</w:t>
      </w:r>
    </w:p>
    <w:p>
      <w:r>
        <w:t>WÖk-IDs verbinden SDGs, SDG+, NACE, ESRS, GRI, Quellen, Einheiten, Schwellen und Versionen.</w:t>
      </w:r>
    </w:p>
    <w:p>
      <w:r>
        <w:t>Warum hier relevant? Sie bilden die Brücke zwischen Referenzrahmen und prüfbarer Wirkungsbewertung.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Benchmarks &amp; Archetypen · https://wirkungsoekonomie.de/werkzeuge/benchmarks-archetypen/ · Druckdatum: 24.05.2026</w:t>
      </w:r>
    </w:p>
    <w:p>
      <w:r>
        <w:t>Interne Quelle: werkzeuge/benchmarks-archetypen/index.html</w:t>
      </w:r>
    </w:p>
    <w:p>
      <w:r>
        <w:t>Methodenregister</w:t>
      </w:r>
    </w:p>
    <w:p>
      <w:r>
        <w:t>Vergleichslogik für Wirkungsbewertung.</w:t>
      </w:r>
    </w:p>
    <w:p>
      <w:r>
        <w:t>Benchmarks und Archetypen übersetzen Branchen-, Produkt- und Organisationstypen in nachvollziehbare Bewertungsräume.</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Benchmarks und Archetypen übersetzen Branchen-, Produkt- und Organisationstypen in nachvollziehbare Bewertungsräume.</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 &amp; Werkzeuge</w:t>
      </w:r>
    </w:p>
    <w:p>
      <w:r>
        <w:t>Werkzeuge in diesem Bereich #</w:t>
      </w:r>
    </w:p>
    <w:p>
      <w:r>
        <w:t>Impact Controlling ist der Methodenrahmen. Interaktive Rechner werden als Rechner bezeichnet; statische Zielseiten führen als Methodik oder Dossier weiter.</w:t>
      </w:r>
    </w:p>
    <w:p>
      <w:r>
        <w:t>Vergleichslogik</w:t>
      </w:r>
    </w:p>
    <w:p>
      <w:r>
        <w:t>Benchmarks &amp; Archetypen</w:t>
      </w:r>
    </w:p>
    <w:p>
      <w:r>
        <w:t>Benchmarks und Archetypen ordnen Aktivitäten, Produkte und Organisationen in vergleichbare Wirkungskorridore ein.</w:t>
      </w:r>
    </w:p>
    <w:p>
      <w:r>
        <w:t>Warum hier relevant? Ohne Vergleichsrahmen bleiben Scores abstrakt und nicht entscheidungsfähig.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pPr>
        <w:pStyle w:val="Heading3"/>
      </w:pPr>
      <w:r>
        <w:t>Quellenanker: Inhalt</w:t>
      </w:r>
    </w:p>
    <w:p>
      <w:r>
        <w:t>Interne Quelle: dokumente/woek-master-items-final-v1-2/index.html</w:t>
      </w:r>
    </w:p>
    <w:p>
      <w:r>
        <w:t>Strukturierte Webfassung aus der gelieferten XLSX-Datei. Der PDF-Fallback bleibt als Original-/Archivquelle auffindbar, führend für das Register ist diese Tabelle.</w:t>
      </w:r>
    </w:p>
    <w:p>
      <w:r>
        <w:t>Herunterladen Herunterladen</w:t>
      </w:r>
    </w:p>
    <w:p>
      <w:r>
        <w:t>Metadaten</w:t>
      </w:r>
    </w:p>
    <w:p>
      <w:r>
        <w:t>Diese Registerseite ersetzt den früheren PDF-Fließtextimport durch die strukturierte XLSX-Quelle. Die Originaldatei bleibt zitierfähig; die Webfassung dient als maschinenlesbare Online-Referenz für Suche, Manifest und WÖk-ID-Verknüpfungen.</w:t>
      </w:r>
    </w:p>
    <w:p>
      <w:r>
        <w:t>WÖk-ID-Register</w:t>
      </w:r>
    </w:p>
    <w:p>
      <w:r>
        <w:t>Umsetzung</w:t>
      </w:r>
    </w:p>
    <w:p>
      <w:r>
        <w:t>Politische Anschlussfähigkeit und Umsetzungsoptionen #</w:t>
      </w:r>
    </w:p>
    <w:p>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pStyle w:val="Heading3"/>
      </w:pPr>
      <w:r>
        <w:t>7.9 Konsequenzen für die WÖk-Architektur</w:t>
      </w:r>
    </w:p>
    <w:p>
      <w:r>
        <w:t>Aus dieser Vorlesung fließen drei Punkte zurück in den WÖk-Korpus:</w:t>
      </w:r>
    </w:p>
    <w:p>
      <w:pPr>
        <w:pStyle w:val="ListBullet"/>
      </w:pPr>
      <w:r>
        <w:t>WÖk-ID-Seiten stärker mit Datenqualität, Versionierung und Prüfstatus verbinden.</w:t>
      </w:r>
    </w:p>
    <w:p>
      <w:pPr>
        <w:pStyle w:val="ListBullet"/>
      </w:pPr>
      <w:r>
        <w:t>Archetypen als Schutz gegen falsche Vergleiche in Produkt-, Unternehmens- und Kommunalbewertung ausbauen.</w:t>
      </w:r>
    </w:p>
    <w:p>
      <w:pPr>
        <w:pStyle w:val="ListBullet"/>
      </w:pPr>
      <w:r>
        <w:t>Prüfungsfälle mit absichtlich falscher Vergleichsgruppe anlegen.</w:t>
      </w:r>
    </w:p>
    <w:p>
      <w:pPr>
        <w:pStyle w:val="Heading3"/>
      </w:pPr>
      <w:r>
        <w:t>7.10 Kurzfazit</w:t>
      </w:r>
    </w:p>
    <w:p>
      <w:r>
        <w:t>WÖk-IDs, Benchmarks und Archetypen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woek-akademie-app/docs/lehrgaenge/woek-g-v29-woek-ids-benchmarks-archetypen.md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WÖk-IDs, Benchmarks und Archetypen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