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jc w:val="center"/>
      </w:pPr>
      <w:r>
        <w:drawing>
          <wp:inline xmlns:a="http://schemas.openxmlformats.org/drawingml/2006/main" xmlns:pic="http://schemas.openxmlformats.org/drawingml/2006/picture">
            <wp:extent cx="7560000" cy="5040000"/>
            <wp:docPr id="1" name="Picture 1" descr="Titelgrafik: Wirkungsbasiertes Value Pricing verbindet Tragfähigkeit, Kundenwert und Netto-Wirkung." title="Titelgrafik: Wirkungsbasiertes Value Pricing verbindet Tragfähigkeit, Kundenwert und Netto-Wirkung."/>
            <wp:cNvGraphicFramePr>
              <a:graphicFrameLocks noChangeAspect="1"/>
            </wp:cNvGraphicFramePr>
            <a:graphic>
              <a:graphicData uri="http://schemas.openxmlformats.org/drawingml/2006/picture">
                <pic:pic>
                  <pic:nvPicPr>
                    <pic:cNvPr id="0" name="cover_visual.png"/>
                    <pic:cNvPicPr/>
                  </pic:nvPicPr>
                  <pic:blipFill>
                    <a:blip r:embed="rId9"/>
                    <a:stretch>
                      <a:fillRect/>
                    </a:stretch>
                  </pic:blipFill>
                  <pic:spPr>
                    <a:xfrm>
                      <a:off x="0" y="0"/>
                      <a:ext cx="7560000" cy="5040000"/>
                    </a:xfrm>
                    <a:prstGeom prst="rect"/>
                  </pic:spPr>
                </pic:pic>
              </a:graphicData>
            </a:graphic>
          </wp:inline>
        </w:drawing>
      </w:r>
    </w:p>
    <w:tbl>
      <w:tblPr>
        <w:tblW w:type="auto" w:w="0"/>
        <w:jc w:val="center"/>
        <w:tblLayout w:type="fixed"/>
        <w:tblLook w:firstColumn="1" w:firstRow="1" w:lastColumn="0" w:lastRow="0" w:noHBand="0" w:noVBand="1" w:val="04A0"/>
      </w:tblPr>
      <w:tblGrid>
        <w:gridCol w:w="9360"/>
      </w:tblGrid>
      <w:tr>
        <w:tc>
          <w:tcPr>
            <w:tcW w:type="dxa" w:w="11520"/>
            <w:shd w:fill="FFFFFF"/>
            <w:tcMar>
              <w:top w:w="450" w:type="dxa"/>
              <w:start w:w="900" w:type="dxa"/>
              <w:bottom w:w="350" w:type="dxa"/>
              <w:end w:w="900" w:type="dxa"/>
            </w:tcMar>
          </w:tcPr>
          <w:p>
            <w:pPr>
              <w:widowControl/>
              <w:jc w:val="left"/>
            </w:pPr>
            <w:r>
              <w:rPr>
                <w:rFonts w:ascii="Inter" w:hAnsi="Inter" w:eastAsia="Inter"/>
                <w:b/>
                <w:color w:val="C99A43"/>
                <w:sz w:val="20"/>
              </w:rPr>
              <w:t>DOSSIER UND FACHLICHES DETAILKONZEPT DER WIRKUNGSÖKONOMIE</w:t>
            </w:r>
          </w:p>
          <w:p>
            <w:pPr>
              <w:widowControl/>
              <w:spacing w:before="200" w:after="80"/>
            </w:pPr>
            <w:r>
              <w:rPr>
                <w:rFonts w:ascii="Inter" w:hAnsi="Inter" w:eastAsia="Inter"/>
                <w:b/>
                <w:color w:val="163F3D"/>
                <w:sz w:val="34"/>
              </w:rPr>
              <w:t>Vom Stundenhonorar zur Vergütung nach erzeugtem Kundenwert und positiver Netto-Wirkung</w:t>
            </w:r>
          </w:p>
          <w:p>
            <w:pPr>
              <w:widowControl/>
              <w:spacing w:before="280"/>
            </w:pPr>
            <w:r>
              <w:rPr>
                <w:rFonts w:ascii="Inter" w:hAnsi="Inter" w:eastAsia="Inter"/>
                <w:color w:val="5B6670"/>
                <w:sz w:val="21"/>
              </w:rPr>
              <w:t>Natalie Weber  ·  Version 1.2  ·  August 2026</w:t>
            </w:r>
          </w:p>
        </w:tc>
      </w:tr>
    </w:tbl>
    <w:p>
      <w:pPr>
        <w:widowControl/>
        <w:sectPr>
          <w:headerReference w:type="default" r:id="rId10"/>
          <w:footerReference w:type="default" r:id="rId11"/>
          <w:pgSz w:w="12240" w:h="15840"/>
          <w:pgMar w:top="0" w:right="0" w:bottom="0" w:left="0" w:header="720" w:footer="720" w:gutter="0"/>
          <w:cols w:space="720"/>
          <w:titlePg/>
          <w:docGrid w:linePitch="360"/>
        </w:sectPr>
      </w:pPr>
    </w:p>
    <w:p>
      <w:pPr>
        <w:pStyle w:val="Heading1"/>
        <w:widowControl/>
        <w:pBdr>
          <w:bottom w:val="single" w:sz="10" w:space="6" w:color="C99A43"/>
        </w:pBdr>
      </w:pPr>
      <w:r>
        <w:t>Publikationshinweis</w:t>
      </w:r>
    </w:p>
    <w:p>
      <w:pPr>
        <w:pStyle w:val="BodyText"/>
        <w:widowControl/>
        <w:spacing w:after="110" w:line="278" w:lineRule="auto"/>
        <w:ind w:firstLine="255"/>
      </w:pPr>
      <w:r>
        <w:rPr>
          <w:rFonts w:ascii="Inter" w:hAnsi="Inter" w:eastAsia="Inter"/>
          <w:color w:val="182026"/>
          <w:sz w:val="19"/>
        </w:rPr>
        <w:t>© 2026 Natalie Weber. Dieses Dossier und das darin entwickelte Konzept des wirkungsbasierten Value Pricing sind Bestandteil der Wirkungsökonomie. Diskussion, kritische Prüfung, Pilotierung und gemeinsame methodische Weiterentwicklung sind ausdrücklich erwünscht. Eine Verwendung als Beratungs-, Vertrags-, Prüfungs- oder Investitionsstandard setzt eine einzelfallbezogene fachliche und rechtliche Prüfung voraus.</w:t>
      </w:r>
    </w:p>
    <w:p>
      <w:pPr>
        <w:pStyle w:val="BodyText"/>
        <w:widowControl/>
        <w:spacing w:after="110" w:line="278" w:lineRule="auto"/>
        <w:ind w:firstLine="255"/>
      </w:pPr>
      <w:r>
        <w:t>Zitationsvorschlag: Weber, Natalie (2026): Wirkungsbasiertes Value Pricing. Vom Stundenhonorar zur Vergütung nach erzeugtem Kundenwert und positiver Netto-Wirkung. Dossier und fachliches Detailkonzept der Wirkungsökonomie, Version 1.2.</w:t>
      </w:r>
    </w:p>
    <w:p>
      <w:pPr>
        <w:pStyle w:val="BodyText"/>
        <w:widowControl/>
        <w:spacing w:after="110" w:line="278" w:lineRule="auto"/>
        <w:ind w:firstLine="255"/>
      </w:pPr>
      <w:r>
        <w:rPr>
          <w:rFonts w:ascii="Inter" w:hAnsi="Inter" w:eastAsia="Inter"/>
          <w:b/>
          <w:color w:val="182026"/>
          <w:sz w:val="19"/>
        </w:rPr>
        <w:t>Methodischer Status:</w:t>
      </w:r>
      <w:r>
        <w:rPr>
          <w:rFonts w:ascii="Inter" w:hAnsi="Inter" w:eastAsia="Inter"/>
          <w:color w:val="182026"/>
          <w:sz w:val="19"/>
        </w:rPr>
        <w:t xml:space="preserve"> Das Dossier entwickelt einen neuen WÖk-Baustein. „Value-based Pricing“ ist ein etablierter betriebswirtschaftlicher Ansatz. „Wirkungsbasiertes Value Pricing“ in der hier beschriebenen Form ist ein Vorschlag der Wirkungsökonomie. Es ist noch kein allgemein anerkannter Norm-, Prüf- oder Vertragsstandard. Die Rechenmodelle und Beispiele sind deshalb als fachlich begründete, pilotierbare Architektur zu verstehen - nicht als amtliche Bewertung oder universelle Preisformel.</w:t>
      </w:r>
    </w:p>
    <w:p>
      <w:pPr>
        <w:pStyle w:val="BodyText"/>
      </w:pPr>
      <w:r>
        <w:rPr>
          <w:b w:val="0"/>
          <w:i w:val="0"/>
        </w:rPr>
        <w:t>Versionshinweis: Version 1.2 führt die vollständige fachliche Architektur der Version 1.0 mit den in Version 1.1 entwickelten Ergänzungen zu Erfahrung, Effizienz, Produktivitätsgewinn, Künstlicher Intelligenz und fairer Wertteilung zusammen. Die Überarbeitung ist additiv: Governance, Datenqualität, Vertragsmodelle, Fallstudien, Reifegradmodell und Arbeitsinstrumente bleiben vollständig erhalten.</w:t>
      </w:r>
    </w:p>
    <w:p>
      <w:pPr>
        <w:pStyle w:val="Heading1"/>
        <w:widowControl/>
        <w:pBdr>
          <w:bottom w:val="single" w:sz="10" w:space="6" w:color="C99A43"/>
        </w:pBdr>
      </w:pPr>
      <w:r>
        <w:t>Abstract</w:t>
      </w:r>
    </w:p>
    <w:p>
      <w:pPr>
        <w:pStyle w:val="BodyText"/>
      </w:pPr>
      <w:r>
        <w:rPr>
          <w:b w:val="0"/>
          <w:i w:val="0"/>
        </w:rPr>
        <w:t>Dienstleistungen werden noch häufig nach Zeit, Personentagen, Kosten oder einem vorab vereinbarten Festpreis vergütet. Diese Größen zeigen den Ressourceneinsatz des Anbieters, aber nicht den Wert der erzielten Veränderung. Besonders deutlich wird diese Blindstelle, wenn Erfahrung, erprobte Methoden, Automatisierung oder Künstliche Intelligenz eine Leistung schneller und zugleich besser ermöglichen: In der Stundenlogik sinkt dann ausgerechnet die Vergütung, weil die Produktivität gestiegen ist.</w:t>
      </w:r>
    </w:p>
    <w:p>
      <w:pPr>
        <w:pStyle w:val="BodyText"/>
      </w:pPr>
      <w:r>
        <w:rPr>
          <w:b w:val="0"/>
          <w:i w:val="0"/>
        </w:rPr>
        <w:t>Klassisches Value-based Pricing korrigiert diese Fehlsteuerung, indem es den Preis am wirtschaftlichen Nutzen für einen konkreten Kunden ausrichtet. Gerade bei Beratung, Forschung, Innovation, Digitalisierung, Prävention oder Organisationsentwicklung kann dieselbe Leistung für verschiedene Auftraggeber sehr unterschiedliche Werte erzeugen. Der geringere Aufwand eines erfahrenen Anbieters ist deshalb nicht mit geringerem Leistungs- oder Kundenwert gleichzusetzen; er eröffnet vielmehr einen Produktivitätsgewinn, der fair zwischen Kunde und Anbieter zu verteilen ist.</w:t>
      </w:r>
    </w:p>
    <w:p>
      <w:pPr>
        <w:pStyle w:val="BodyText"/>
      </w:pPr>
      <w:r>
        <w:rPr>
          <w:b w:val="0"/>
          <w:i w:val="0"/>
        </w:rPr>
        <w:t>Kundenwert ist jedoch nicht mit Wirkung gleichzusetzen. Eine Leistung kann für einen Kunden einen hohen finanziellen Nutzen schaffen und zugleich negative Folgen für Beschäftigte, Umwelt, Öffentlichkeit oder Demokratie erzeugen. Umgekehrt kann eine Leistung erhebliche positive gesellschaftliche oder ökologische Wirkung entfalten, ohne dass ein einzelner Auftraggeber den gesamten Nutzen monetarisieren oder finanzieren kann. Das klassische Value-based Pricing braucht deshalb eine systemische Erweiterung.</w:t>
      </w:r>
    </w:p>
    <w:p>
      <w:pPr>
        <w:pStyle w:val="BodyText"/>
      </w:pPr>
      <w:r>
        <w:rPr>
          <w:b w:val="0"/>
          <w:i w:val="0"/>
        </w:rPr>
        <w:t>Dieses Dossier entwickelt das wirkungsbasierte Value Pricing (WVP) als Bewertungs-, Preis- und Governance-Architektur. Es trennt die wirtschaftliche Tragfähigkeit des Anbieters, den potenziellen Produktivitätsgewinn, den zurechenbaren Kundenwert und die Netto-Wirkung für Mensch, Planet und Demokratie. Diese Größen werden nicht zu einer scheinpräzisen Gesamtzahl vermischt. Das Konzept verbindet etablierte Elemente des Value-based Pricing mit Wirkungscontrolling, WÖk-IDs, Key Impact Indicators, Scorecards, Benchmarks, Reverse Merit Order, Netto-Wirkungs-Index, Impact-of-Investment und T-SROI und beschreibt Messlogik, Preisfindung, Vertragsmodelle, KI-Governance, Datenanforderungen, Rollen, Schutzregeln, Fallbeispiele und einen Pilotierungspfad für Dienstleistungsunternehmen.</w:t>
      </w:r>
    </w:p>
    <w:p>
      <w:pPr>
        <w:pStyle w:val="Heading1"/>
        <w:widowControl/>
        <w:pBdr>
          <w:bottom w:val="single" w:sz="10" w:space="6" w:color="C99A43"/>
        </w:pBdr>
      </w:pPr>
      <w:r>
        <w:t>Executive Summary</w:t>
      </w:r>
    </w:p>
    <w:p>
      <w:pPr>
        <w:pStyle w:val="Heading2"/>
        <w:widowControl/>
      </w:pPr>
      <w:r>
        <w:t>Die Ausgangsfrage</w:t>
      </w:r>
    </w:p>
    <w:p>
      <w:pPr>
        <w:pStyle w:val="BodyText"/>
        <w:widowControl/>
        <w:spacing w:after="110" w:line="278" w:lineRule="auto"/>
        <w:ind w:firstLine="255"/>
      </w:pPr>
      <w:r>
        <w:rPr>
          <w:rFonts w:ascii="Inter" w:hAnsi="Inter" w:eastAsia="Inter"/>
          <w:color w:val="182026"/>
          <w:sz w:val="19"/>
        </w:rPr>
        <w:t>Wenn zwei Unternehmen dieselbe Methode, denselben Workshop oder dieselbe Analyse erhalten, ist die Leistung nicht automatisch gleich viel wert. Für den einen Auftraggeber kann sie eine Entscheidung um wenige Wochen beschleunigen. Für den anderen kann sie einen Millionenverlust verhindern, eine Zulassung ermöglichen oder eine ganze Produktlinie neu ausrichten. Zeit und Aufwand können identisch sein; die erzeugte Veränderung ist es nicht.</w:t>
      </w:r>
    </w:p>
    <w:p>
      <w:pPr>
        <w:pStyle w:val="BodyText"/>
        <w:widowControl/>
        <w:spacing w:after="110" w:line="278" w:lineRule="auto"/>
        <w:ind w:firstLine="255"/>
      </w:pPr>
      <w:r>
        <w:rPr>
          <w:rFonts w:ascii="Inter" w:hAnsi="Inter" w:eastAsia="Inter"/>
          <w:color w:val="182026"/>
          <w:sz w:val="19"/>
        </w:rPr>
        <w:t>Das ist der berechtigte Ausgangspunkt des Value-based Pricing. Der Preis orientiert sich nicht primär an den internen Kosten des Anbieters, sondern an dem wirtschaftlichen Wert, den eine Leistung für einen konkreten Kunden im Vergleich zur nächsten realistischen Alternative erzeugt. Forschung und Praxis betonen dabei vor allem die Fähigkeit, Kundenwert zu identifizieren, zu quantifizieren, zu kommunizieren und nachträglich zu verifizieren (Hinterhuber 2004; Töytäri und Rajala 2015; Raja et al. 2020).</w:t>
      </w:r>
    </w:p>
    <w:p>
      <w:pPr>
        <w:pStyle w:val="BodyText"/>
        <w:widowControl/>
        <w:spacing w:after="110" w:line="278" w:lineRule="auto"/>
        <w:ind w:firstLine="255"/>
      </w:pPr>
      <w:r>
        <w:rPr>
          <w:rFonts w:ascii="Inter" w:hAnsi="Inter" w:eastAsia="Inter"/>
          <w:color w:val="182026"/>
          <w:sz w:val="19"/>
        </w:rPr>
        <w:t>Die Wirkungsökonomie ergänzt eine zweite Frage:</w:t>
      </w:r>
    </w:p>
    <w:p>
      <w:pPr>
        <w:spacing w:before="120" w:after="140"/>
        <w:ind w:left="340" w:right="227"/>
        <w:shd w:fill="DDEDEA"/>
        <w:widowControl/>
        <w:pBdr>
          <w:left w:val="single" w:sz="8" w:space="4" w:color="163F3D"/>
        </w:pBdr>
      </w:pPr>
      <w:r>
        <w:rPr>
          <w:rFonts w:ascii="Inter" w:hAnsi="Inter" w:eastAsia="Inter"/>
          <w:b/>
          <w:color w:val="163F3D"/>
          <w:sz w:val="20"/>
        </w:rPr>
        <w:t>Welche Wirkung hat dieser Kundenwert auf Mensch, Planet und Demokratie?</w:t>
      </w:r>
    </w:p>
    <w:p>
      <w:pPr>
        <w:pStyle w:val="BodyText"/>
        <w:widowControl/>
        <w:spacing w:after="110" w:line="278" w:lineRule="auto"/>
        <w:ind w:firstLine="255"/>
      </w:pPr>
      <w:r>
        <w:rPr>
          <w:rFonts w:ascii="Inter" w:hAnsi="Inter" w:eastAsia="Inter"/>
          <w:color w:val="182026"/>
          <w:sz w:val="19"/>
        </w:rPr>
        <w:t>Kundennutzen ist die Perspektive des Auftraggebers. Wirkung ist die Perspektive des Systems. Beide können zusammenfallen, müssen es aber nicht. Darum darf weder der Kundenwert als Impact ausgegeben noch positive Wirkung automatisch in einen Preisaufschlag übersetzt werden.</w:t>
      </w:r>
    </w:p>
    <w:p>
      <w:pPr>
        <w:pStyle w:val="Heading2"/>
        <w:widowControl/>
      </w:pPr>
      <w:r>
        <w:t>Die Kernarchitektur</w:t>
      </w:r>
    </w:p>
    <w:p>
      <w:pPr>
        <w:pStyle w:val="BodyText"/>
        <w:widowControl/>
        <w:spacing w:after="110" w:line="278" w:lineRule="auto"/>
        <w:ind w:firstLine="255"/>
      </w:pPr>
      <w:r>
        <w:rPr>
          <w:rFonts w:ascii="Inter" w:hAnsi="Inter" w:eastAsia="Inter"/>
          <w:color w:val="182026"/>
          <w:sz w:val="19"/>
        </w:rPr>
        <w:t>Wirkungsbasiertes Value Pricing führt drei getrennte Rechnungen: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b/>
          <w:color w:val="182026"/>
          <w:sz w:val="18"/>
        </w:rPr>
        <w:t>Tragfähigkeitsrechnung des Anbieters:</w:t>
      </w:r>
      <w:r>
        <w:rPr>
          <w:rFonts w:ascii="Inter" w:hAnsi="Inter" w:eastAsia="Inter"/>
          <w:color w:val="182026"/>
          <w:sz w:val="18"/>
        </w:rPr>
        <w:t xml:space="preserve"> Welche Vollkosten, Kapazitäten, Risiken und Mindestmargen sind notwendig, um die Leistung zuverlässig, qualitativ und langfristig erbringen zu können?</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b/>
          <w:color w:val="182026"/>
          <w:sz w:val="18"/>
        </w:rPr>
        <w:t>Kundenwertrechnung:</w:t>
      </w:r>
      <w:r>
        <w:rPr>
          <w:rFonts w:ascii="Inter" w:hAnsi="Inter" w:eastAsia="Inter"/>
          <w:color w:val="182026"/>
          <w:sz w:val="18"/>
        </w:rPr>
        <w:t xml:space="preserve"> Welche zurechenbare wirtschaftliche Veränderung entsteht gegenüber der nächsten realistischen Alternative - nach Abzug von Implementierungskosten, Risiken, Mitverursachern, Gegenentwicklungen und negativen Kundeneffekten?</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b/>
          <w:color w:val="182026"/>
          <w:sz w:val="18"/>
        </w:rPr>
        <w:t>Wirkungsrechnung:</w:t>
      </w:r>
      <w:r>
        <w:rPr>
          <w:rFonts w:ascii="Inter" w:hAnsi="Inter" w:eastAsia="Inter"/>
          <w:color w:val="182026"/>
          <w:sz w:val="18"/>
        </w:rPr>
        <w:t xml:space="preserve"> Welche tatsächlichen Zustandsveränderungen entstehen für Mensch, Planet und Demokratie? Gibt es rote Linien, negative Nebenwirkungen, Datenlücken oder Transformationsnutzen?</w:t>
      </w:r>
    </w:p>
    <w:p>
      <w:pPr>
        <w:widowControl/>
        <w:spacing w:before="100" w:after="40"/>
        <w:jc w:val="center"/>
      </w:pPr>
      <w:r>
        <w:drawing>
          <wp:inline xmlns:a="http://schemas.openxmlformats.org/drawingml/2006/main" xmlns:pic="http://schemas.openxmlformats.org/drawingml/2006/picture">
            <wp:extent cx="6080760" cy="3281047"/>
            <wp:docPr id="2" name="Picture 2" descr="Abbildung 1: Drei Rechnungen bilden gemeinsam eine verantwortete Preisentscheidung." title="Abbildung 1: Drei Rechnungen bilden gemeinsam eine verantwortete Preisentscheidung."/>
            <wp:cNvGraphicFramePr>
              <a:graphicFrameLocks noChangeAspect="1"/>
            </wp:cNvGraphicFramePr>
            <a:graphic>
              <a:graphicData uri="http://schemas.openxmlformats.org/drawingml/2006/picture">
                <pic:pic>
                  <pic:nvPicPr>
                    <pic:cNvPr id="0" name="fig_three_ledgers.png"/>
                    <pic:cNvPicPr/>
                  </pic:nvPicPr>
                  <pic:blipFill>
                    <a:blip r:embed="rId12"/>
                    <a:stretch>
                      <a:fillRect/>
                    </a:stretch>
                  </pic:blipFill>
                  <pic:spPr>
                    <a:xfrm>
                      <a:off x="0" y="0"/>
                      <a:ext cx="6080760" cy="3281047"/>
                    </a:xfrm>
                    <a:prstGeom prst="rect"/>
                  </pic:spPr>
                </pic:pic>
              </a:graphicData>
            </a:graphic>
          </wp:inline>
        </w:drawing>
      </w:r>
    </w:p>
    <w:p>
      <w:pPr>
        <w:widowControl/>
        <w:spacing w:after="160"/>
        <w:jc w:val="center"/>
      </w:pPr>
      <w:r>
        <w:rPr>
          <w:rFonts w:ascii="Inter" w:hAnsi="Inter" w:eastAsia="Inter"/>
          <w:i/>
          <w:color w:val="5B6670"/>
          <w:sz w:val="16"/>
        </w:rPr>
        <w:t>Abbildung 1: Drei Rechnungen bilden gemeinsam eine verantwortete Preisentscheidung.</w:t>
      </w:r>
    </w:p>
    <w:p>
      <w:pPr>
        <w:pStyle w:val="BodyText"/>
        <w:widowControl/>
        <w:spacing w:after="110" w:line="278" w:lineRule="auto"/>
        <w:ind w:firstLine="255"/>
      </w:pPr>
      <w:r>
        <w:rPr>
          <w:rFonts w:ascii="Inter" w:hAnsi="Inter" w:eastAsia="Inter"/>
          <w:color w:val="182026"/>
          <w:sz w:val="19"/>
        </w:rPr>
        <w:t>Die drei Rechnungen dürfen sich gegenseitig nicht ersetzen. Ein niedriger Aufwand bedeutet nicht automatisch einen niedrigen Wert. Ein hoher Kundenwert rechtfertigt keine negative Wirkung. Eine positive gesellschaftliche Wirkung macht einen wirtschaftlich nicht tragfähigen Anbieter nicht dauerhaft lieferfähig.</w:t>
      </w:r>
    </w:p>
    <w:p>
      <w:pPr>
        <w:pStyle w:val="Heading2"/>
        <w:widowControl/>
      </w:pPr>
      <w:r>
        <w:t>Das Effizienzparadox</w:t>
      </w:r>
    </w:p>
    <w:p>
      <w:pPr>
        <w:pStyle w:val="BodyText"/>
        <w:widowControl/>
        <w:spacing w:after="110" w:line="276" w:lineRule="auto"/>
        <w:ind w:firstLine="255"/>
      </w:pPr>
      <w:r>
        <w:rPr>
          <w:rFonts w:ascii="Inter" w:hAnsi="Inter" w:eastAsia="Inter"/>
          <w:color w:val="182026"/>
          <w:sz w:val="19"/>
        </w:rPr>
        <w:t>Die klassische Formel lautet:</w:t>
      </w:r>
    </w:p>
    <w:tbl>
      <w:tblPr>
        <w:tblW w:type="auto" w:w="0"/>
        <w:jc w:val="center"/>
        <w:tblLayout w:type="fixed"/>
        <w:tblLook w:firstColumn="1" w:firstRow="1" w:lastColumn="0" w:lastRow="0" w:noHBand="0" w:noVBand="1" w:val="04A0"/>
      </w:tblPr>
      <w:tblGrid>
        <w:gridCol w:w="9858"/>
      </w:tblGrid>
      <w:tr>
        <w:trPr>
          <w:cantSplit/>
        </w:trPr>
        <w:tc>
          <w:tcPr>
            <w:tcW w:type="dxa" w:w="8928"/>
            <w:shd w:fill="F4F6F5"/>
            <w:tcMar>
              <w:top w:w="110" w:type="dxa"/>
              <w:start w:w="140" w:type="dxa"/>
              <w:bottom w:w="110" w:type="dxa"/>
              <w:end w:w="140" w:type="dxa"/>
            </w:tcMar>
          </w:tcPr>
          <w:p>
            <w:pPr>
              <w:jc w:val="center"/>
            </w:pPr>
            <w:r>
              <w:rPr>
                <w:rFonts w:ascii="DejaVu Sans Mono" w:hAnsi="DejaVu Sans Mono" w:eastAsia="DejaVu Sans Mono"/>
                <w:b/>
                <w:color w:val="233348"/>
                <w:sz w:val="18"/>
              </w:rPr>
              <w:t>Preis = Arbeitszeit × Stunden- oder Tagessatz</w:t>
            </w:r>
          </w:p>
        </w:tc>
      </w:tr>
    </w:tbl>
    <w:p>
      <w:pPr>
        <w:widowControl/>
      </w:pPr>
    </w:p>
    <w:p>
      <w:pPr>
        <w:pStyle w:val="BodyText"/>
        <w:widowControl/>
        <w:spacing w:after="110" w:line="276" w:lineRule="auto"/>
        <w:ind w:firstLine="255"/>
      </w:pPr>
      <w:r>
        <w:rPr>
          <w:rFonts w:ascii="Inter" w:hAnsi="Inter" w:eastAsia="Inter"/>
          <w:color w:val="182026"/>
          <w:sz w:val="19"/>
        </w:rPr>
        <w:t>Sie erzeugt einen strukturellen Fehlanreiz: Der Anbieter verdient mehr, wenn er länger braucht. Erfahrung, Wiederverwendung, Automatisierung und KI verkürzen die Zeit und senken damit das Honorar - obwohl Ergebnis, Qualität oder Kundenwert gleich bleiben oder steigen können.</w:t>
      </w:r>
    </w:p>
    <w:p>
      <w:pPr>
        <w:pStyle w:val="BodyText"/>
        <w:widowControl/>
        <w:spacing w:after="110" w:line="276" w:lineRule="auto"/>
        <w:ind w:firstLine="255"/>
      </w:pPr>
      <w:r>
        <w:rPr>
          <w:rFonts w:ascii="Inter" w:hAnsi="Inter" w:eastAsia="Inter"/>
          <w:color w:val="182026"/>
          <w:sz w:val="19"/>
        </w:rPr>
        <w:t>WVP ersetzt diese Gleichsetzung nicht durch Beliebigkeit. Es unterscheidet:</w:t>
      </w:r>
    </w:p>
    <w:p>
      <w:pPr>
        <w:pStyle w:val="ListBullet"/>
        <w:widowControl/>
        <w:spacing w:after="50" w:line="259" w:lineRule="auto"/>
        <w:ind w:left="369" w:hanging="170"/>
      </w:pPr>
      <w:r>
        <w:rPr>
          <w:rFonts w:ascii="Inter" w:hAnsi="Inter" w:eastAsia="Inter"/>
          <w:color w:val="182026"/>
          <w:sz w:val="18"/>
        </w:rPr>
        <w:t>Zeit und Kosten als Untergrenze und Ressourceninformation,</w:t>
      </w:r>
    </w:p>
    <w:p>
      <w:pPr>
        <w:pStyle w:val="ListBullet"/>
        <w:widowControl/>
        <w:spacing w:after="50" w:line="259" w:lineRule="auto"/>
        <w:ind w:left="369" w:hanging="170"/>
      </w:pPr>
      <w:r>
        <w:rPr>
          <w:rFonts w:ascii="Inter" w:hAnsi="Inter" w:eastAsia="Inter"/>
          <w:color w:val="182026"/>
          <w:sz w:val="18"/>
        </w:rPr>
        <w:t>Kundenwert als Preisreferenz,</w:t>
      </w:r>
    </w:p>
    <w:p>
      <w:pPr>
        <w:pStyle w:val="ListBullet"/>
        <w:widowControl/>
        <w:spacing w:after="50" w:line="259" w:lineRule="auto"/>
        <w:ind w:left="369" w:hanging="170"/>
      </w:pPr>
      <w:r>
        <w:rPr>
          <w:rFonts w:ascii="Inter" w:hAnsi="Inter" w:eastAsia="Inter"/>
          <w:color w:val="182026"/>
          <w:sz w:val="18"/>
        </w:rPr>
        <w:t>Wettbewerb und Alternative als Marktkorrektiv,</w:t>
      </w:r>
    </w:p>
    <w:p>
      <w:pPr>
        <w:pStyle w:val="ListBullet"/>
        <w:widowControl/>
        <w:spacing w:after="50" w:line="259" w:lineRule="auto"/>
        <w:ind w:left="369" w:hanging="170"/>
      </w:pPr>
      <w:r>
        <w:rPr>
          <w:rFonts w:ascii="Inter" w:hAnsi="Inter" w:eastAsia="Inter"/>
          <w:color w:val="182026"/>
          <w:sz w:val="18"/>
        </w:rPr>
        <w:t>Fairness als Regel der Wertteilung,</w:t>
      </w:r>
    </w:p>
    <w:p>
      <w:pPr>
        <w:pStyle w:val="ListBullet"/>
        <w:widowControl/>
        <w:spacing w:after="50" w:line="259" w:lineRule="auto"/>
        <w:ind w:left="369" w:hanging="170"/>
      </w:pPr>
      <w:r>
        <w:rPr>
          <w:rFonts w:ascii="Inter" w:hAnsi="Inter" w:eastAsia="Inter"/>
          <w:color w:val="182026"/>
          <w:sz w:val="18"/>
        </w:rPr>
        <w:t>Wirkung als Schutz- und Gestaltungsebene.</w:t>
      </w:r>
    </w:p>
    <w:p>
      <w:pPr>
        <w:widowControl/>
        <w:spacing w:before="100" w:after="40"/>
        <w:jc w:val="center"/>
      </w:pPr>
      <w:r>
        <w:drawing>
          <wp:inline xmlns:a="http://schemas.openxmlformats.org/drawingml/2006/main" xmlns:pic="http://schemas.openxmlformats.org/drawingml/2006/picture">
            <wp:extent cx="6080760" cy="3499190"/>
            <wp:docPr id="3" name="Picture 3" descr="Abbildung 2: Die Stundenlogik bestraft Effizienz; die Wertlogik bewertet die erzeugte Veränderung." title="Abbildung 2: Die Stundenlogik bestraft Effizienz; die Wertlogik bewertet die erzeugte Veränderung."/>
            <wp:cNvGraphicFramePr>
              <a:graphicFrameLocks noChangeAspect="1"/>
            </wp:cNvGraphicFramePr>
            <a:graphic>
              <a:graphicData uri="http://schemas.openxmlformats.org/drawingml/2006/picture">
                <pic:pic>
                  <pic:nvPicPr>
                    <pic:cNvPr id="0" name="fig_efficiency_paradox.png"/>
                    <pic:cNvPicPr/>
                  </pic:nvPicPr>
                  <pic:blipFill>
                    <a:blip r:embed="rId31"/>
                    <a:stretch>
                      <a:fillRect/>
                    </a:stretch>
                  </pic:blipFill>
                  <pic:spPr>
                    <a:xfrm>
                      <a:off x="0" y="0"/>
                      <a:ext cx="6080760" cy="3499190"/>
                    </a:xfrm>
                    <a:prstGeom prst="rect"/>
                  </pic:spPr>
                </pic:pic>
              </a:graphicData>
            </a:graphic>
          </wp:inline>
        </w:drawing>
      </w:r>
    </w:p>
    <w:p>
      <w:pPr>
        <w:pStyle w:val="Heading2"/>
        <w:widowControl/>
      </w:pPr>
      <w:r>
        <w:t>Der Preis ist ein Korridor und eine faire Wertteilung</w:t>
      </w:r>
    </w:p>
    <w:p>
      <w:pPr>
        <w:pStyle w:val="BodyText"/>
        <w:widowControl/>
        <w:spacing w:after="110" w:line="278" w:lineRule="auto"/>
        <w:ind w:firstLine="255"/>
      </w:pPr>
      <w:r>
        <w:rPr>
          <w:rFonts w:ascii="Inter" w:hAnsi="Inter" w:eastAsia="Inter"/>
          <w:color w:val="182026"/>
          <w:sz w:val="19"/>
        </w:rPr>
        <w:t>WVP erzeugt keine automatische Preisformel. Es erzeugt einen begründeten Korridor:</w:t>
      </w:r>
    </w:p>
    <w:p>
      <w:pPr>
        <w:pStyle w:val="ListBullet"/>
        <w:widowControl/>
        <w:spacing w:after="50" w:line="259" w:lineRule="auto"/>
        <w:ind w:left="369" w:hanging="170"/>
      </w:pPr>
      <w:r>
        <w:rPr>
          <w:rFonts w:ascii="Inter" w:hAnsi="Inter" w:eastAsia="Inter"/>
          <w:color w:val="182026"/>
          <w:sz w:val="18"/>
        </w:rPr>
        <w:t xml:space="preserve">Die </w:t>
      </w:r>
      <w:r>
        <w:rPr>
          <w:rFonts w:ascii="Inter" w:hAnsi="Inter" w:eastAsia="Inter"/>
          <w:b/>
          <w:color w:val="182026"/>
          <w:sz w:val="18"/>
        </w:rPr>
        <w:t>Untergrenze</w:t>
      </w:r>
      <w:r>
        <w:rPr>
          <w:rFonts w:ascii="Inter" w:hAnsi="Inter" w:eastAsia="Inter"/>
          <w:color w:val="182026"/>
          <w:sz w:val="18"/>
        </w:rPr>
        <w:t xml:space="preserve"> ergibt sich aus Vollkosten, Risikovorsorge und einer tragfähigen Mindestmarge.</w:t>
      </w:r>
    </w:p>
    <w:p>
      <w:pPr>
        <w:pStyle w:val="ListBullet"/>
        <w:widowControl/>
        <w:spacing w:after="50" w:line="259" w:lineRule="auto"/>
        <w:ind w:left="369" w:hanging="170"/>
      </w:pPr>
      <w:r>
        <w:rPr>
          <w:rFonts w:ascii="Inter" w:hAnsi="Inter" w:eastAsia="Inter"/>
          <w:color w:val="182026"/>
          <w:sz w:val="18"/>
        </w:rPr>
        <w:t xml:space="preserve">Die </w:t>
      </w:r>
      <w:r>
        <w:rPr>
          <w:rFonts w:ascii="Inter" w:hAnsi="Inter" w:eastAsia="Inter"/>
          <w:b/>
          <w:color w:val="182026"/>
          <w:sz w:val="18"/>
        </w:rPr>
        <w:t>Wertgrenze</w:t>
      </w:r>
      <w:r>
        <w:rPr>
          <w:rFonts w:ascii="Inter" w:hAnsi="Inter" w:eastAsia="Inter"/>
          <w:color w:val="182026"/>
          <w:sz w:val="18"/>
        </w:rPr>
        <w:t xml:space="preserve"> ergibt sich aus dem zurechenbaren Kundenwert, der nächsten Alternative, einem erforderlichen Kundenvorteil und gegebenenfalls einer Budget- oder Erschwinglichkeitsgrenze.</w:t>
      </w:r>
    </w:p>
    <w:p>
      <w:pPr>
        <w:pStyle w:val="ListBullet"/>
        <w:widowControl/>
        <w:spacing w:after="50" w:line="259" w:lineRule="auto"/>
        <w:ind w:left="369" w:hanging="170"/>
      </w:pPr>
      <w:r>
        <w:rPr>
          <w:rFonts w:ascii="Inter" w:hAnsi="Inter" w:eastAsia="Inter"/>
          <w:color w:val="182026"/>
          <w:sz w:val="18"/>
        </w:rPr>
        <w:t xml:space="preserve">Der </w:t>
      </w:r>
      <w:r>
        <w:rPr>
          <w:rFonts w:ascii="Inter" w:hAnsi="Inter" w:eastAsia="Inter"/>
          <w:b/>
          <w:color w:val="182026"/>
          <w:sz w:val="18"/>
        </w:rPr>
        <w:t>Zielpreis</w:t>
      </w:r>
      <w:r>
        <w:rPr>
          <w:rFonts w:ascii="Inter" w:hAnsi="Inter" w:eastAsia="Inter"/>
          <w:color w:val="182026"/>
          <w:sz w:val="18"/>
        </w:rPr>
        <w:t xml:space="preserve"> wird innerhalb dieses Korridors als faire Teilung des geschaffenen Werts ausgehandelt. Dabei zählen Beitrag, Differenzierung, Datenqualität, übernommenes Risiko, Co-Creation und Machtasymmetrien.</w:t>
      </w:r>
    </w:p>
    <w:p>
      <w:pPr>
        <w:pStyle w:val="ListBullet"/>
        <w:widowControl/>
        <w:spacing w:after="50" w:line="259" w:lineRule="auto"/>
        <w:ind w:left="369" w:hanging="170"/>
      </w:pPr>
      <w:r>
        <w:rPr>
          <w:rFonts w:ascii="Inter" w:hAnsi="Inter" w:eastAsia="Inter"/>
          <w:color w:val="182026"/>
          <w:sz w:val="18"/>
        </w:rPr>
        <w:t xml:space="preserve">Eine </w:t>
      </w:r>
      <w:r>
        <w:rPr>
          <w:rFonts w:ascii="Inter" w:hAnsi="Inter" w:eastAsia="Inter"/>
          <w:b/>
          <w:color w:val="182026"/>
          <w:sz w:val="18"/>
        </w:rPr>
        <w:t>variable Vergütung</w:t>
      </w:r>
      <w:r>
        <w:rPr>
          <w:rFonts w:ascii="Inter" w:hAnsi="Inter" w:eastAsia="Inter"/>
          <w:color w:val="182026"/>
          <w:sz w:val="18"/>
        </w:rPr>
        <w:t xml:space="preserve"> ist nur so weit sinnvoll, wie Outcome, Zurechnung und Steuerbarkeit belastbar sind.</w:t>
      </w:r>
    </w:p>
    <w:p>
      <w:pPr>
        <w:pStyle w:val="ListBullet"/>
        <w:widowControl/>
        <w:spacing w:after="50" w:line="259" w:lineRule="auto"/>
        <w:ind w:left="369" w:hanging="170"/>
      </w:pPr>
      <w:r>
        <w:rPr>
          <w:rFonts w:ascii="Inter" w:hAnsi="Inter" w:eastAsia="Inter"/>
          <w:color w:val="182026"/>
          <w:sz w:val="18"/>
        </w:rPr>
        <w:t xml:space="preserve">Eine </w:t>
      </w:r>
      <w:r>
        <w:rPr>
          <w:rFonts w:ascii="Inter" w:hAnsi="Inter" w:eastAsia="Inter"/>
          <w:b/>
          <w:color w:val="182026"/>
          <w:sz w:val="18"/>
        </w:rPr>
        <w:t>Wirkungskomponente</w:t>
      </w:r>
      <w:r>
        <w:rPr>
          <w:rFonts w:ascii="Inter" w:hAnsi="Inter" w:eastAsia="Inter"/>
          <w:color w:val="182026"/>
          <w:sz w:val="18"/>
        </w:rPr>
        <w:t xml:space="preserve"> ist nur bei positiver Netto-Wirkung, ausreichender Datenqualität und bestandenem Schutz-Gate zulässig. Sie kann vom Kunden, von einem öffentlichen Auftraggeber, einem Fonds, einem Versicherer oder mehreren Nutzenempfängern finanziert werden.</w:t>
      </w:r>
    </w:p>
    <w:p>
      <w:pPr>
        <w:pStyle w:val="BodyText"/>
      </w:pPr>
      <w:r>
        <w:rPr>
          <w:b w:val="0"/>
          <w:i w:val="0"/>
        </w:rPr>
        <w:t>Weniger Zeit kann die Tragfähigkeitsuntergrenze senken. Die Wertgrenze sinkt dadurch nicht automatisch. Zwischen beiden Grenzen entsteht ein Produktivitätsgewinn, der weder vollständig beim Kunden noch vollständig beim Anbieter verbleiben muss, sondern nach Beitrag, Risiko, Markt, Qualität und Partnerschaft fair zu teilen ist.</w:t>
      </w:r>
    </w:p>
    <w:p>
      <w:pPr>
        <w:pStyle w:val="Heading2"/>
        <w:widowControl/>
      </w:pPr>
      <w:r>
        <w:t>Die wichtigste Schutzregel</w:t>
      </w:r>
    </w:p>
    <w:p>
      <w:pPr>
        <w:pStyle w:val="BodyText"/>
        <w:widowControl/>
        <w:spacing w:after="110" w:line="278" w:lineRule="auto"/>
        <w:ind w:firstLine="255"/>
      </w:pPr>
      <w:r>
        <w:rPr>
          <w:rFonts w:ascii="Inter" w:hAnsi="Inter" w:eastAsia="Inter"/>
          <w:color w:val="182026"/>
          <w:sz w:val="19"/>
        </w:rPr>
        <w:t>Positive Wirkung ist kein Zuschlagsrecht. Ein Unternehmen darf nicht sagen: „Unser Projekt ist nachhaltig, deshalb ist der Preis automatisch höher.“ Wirkung ist zunächst zu messen, am Referenzrahmen von SDGs, Agenda 2030 und SDG+ zu bewerten und unter Nichtkompensation zu prüfen. Rote Linien - etwa Menschenrechtsverletzungen, schwere Gesundheitsrisiken, irreversible Umweltschäden, Manipulation oder demokratische Destabilisierung - blockieren einen Wirkungsbonus.</w:t>
      </w:r>
    </w:p>
    <w:p>
      <w:pPr>
        <w:pStyle w:val="BodyText"/>
        <w:widowControl/>
        <w:spacing w:after="110" w:line="278" w:lineRule="auto"/>
        <w:ind w:firstLine="255"/>
      </w:pPr>
      <w:r>
        <w:rPr>
          <w:rFonts w:ascii="Inter" w:hAnsi="Inter" w:eastAsia="Inter"/>
          <w:color w:val="182026"/>
          <w:sz w:val="19"/>
        </w:rPr>
        <w:t>Der NWI ordnet operative Netto-Wirkung ein. IOI setzt direkt monetarisierten, kausal begrenzten Nettonutzen ins Verhältnis zum Ressourceneinsatz. T-SROI ergänzt diesen direkten Nutzen nur um einen separat belegten und monetarisierten Transformationsnutzen. Profilpunkte werden nicht in Geld umgerechnet, freie Multiplikatoren sind ausgeschlossen, Schäden und zusätzliche Kosten werden konservativ berücksichtigt.</w:t>
      </w:r>
    </w:p>
    <w:p>
      <w:pPr>
        <w:pStyle w:val="Heading2"/>
        <w:widowControl/>
      </w:pPr>
      <w:r>
        <w:t>Geeignete Vertragsmodelle</w:t>
      </w:r>
    </w:p>
    <w:p>
      <w:pPr>
        <w:pStyle w:val="BodyText"/>
        <w:widowControl/>
        <w:spacing w:after="110" w:line="278" w:lineRule="auto"/>
        <w:ind w:firstLine="255"/>
      </w:pPr>
      <w:r>
        <w:rPr>
          <w:rFonts w:ascii="Inter" w:hAnsi="Inter" w:eastAsia="Inter"/>
          <w:color w:val="182026"/>
          <w:sz w:val="19"/>
        </w:rPr>
        <w:t>WVP kann in unterschiedlichen Vergütungsformen umgesetzt werden:</w:t>
      </w:r>
    </w:p>
    <w:p>
      <w:pPr>
        <w:pStyle w:val="ListBullet"/>
        <w:widowControl/>
        <w:spacing w:after="50" w:line="259" w:lineRule="auto"/>
        <w:ind w:left="369" w:hanging="170"/>
      </w:pPr>
      <w:r>
        <w:rPr>
          <w:rFonts w:ascii="Inter" w:hAnsi="Inter" w:eastAsia="Inter"/>
          <w:color w:val="182026"/>
          <w:sz w:val="18"/>
        </w:rPr>
        <w:t>wertbegründeter Festpreis,</w:t>
      </w:r>
    </w:p>
    <w:p>
      <w:pPr>
        <w:pStyle w:val="ListBullet"/>
        <w:widowControl/>
        <w:spacing w:after="50" w:line="259" w:lineRule="auto"/>
        <w:ind w:left="369" w:hanging="170"/>
      </w:pPr>
      <w:r>
        <w:rPr>
          <w:rFonts w:ascii="Inter" w:hAnsi="Inter" w:eastAsia="Inter"/>
          <w:color w:val="182026"/>
          <w:sz w:val="18"/>
        </w:rPr>
        <w:t>Basisvergütung plus Meilenstein- oder Outcome-Komponente,</w:t>
      </w:r>
    </w:p>
    <w:p>
      <w:pPr>
        <w:pStyle w:val="ListBullet"/>
        <w:widowControl/>
        <w:spacing w:after="50" w:line="259" w:lineRule="auto"/>
        <w:ind w:left="369" w:hanging="170"/>
      </w:pPr>
      <w:r>
        <w:rPr>
          <w:rFonts w:ascii="Inter" w:hAnsi="Inter" w:eastAsia="Inter"/>
          <w:color w:val="182026"/>
          <w:sz w:val="18"/>
        </w:rPr>
        <w:t>Shared Savings oder Gainsharing,</w:t>
      </w:r>
    </w:p>
    <w:p>
      <w:pPr>
        <w:pStyle w:val="ListBullet"/>
        <w:widowControl/>
        <w:spacing w:after="50" w:line="259" w:lineRule="auto"/>
        <w:ind w:left="369" w:hanging="170"/>
      </w:pPr>
      <w:r>
        <w:rPr>
          <w:rFonts w:ascii="Inter" w:hAnsi="Inter" w:eastAsia="Inter"/>
          <w:color w:val="182026"/>
          <w:sz w:val="18"/>
        </w:rPr>
        <w:t>risikobezogene Vergütung,</w:t>
      </w:r>
    </w:p>
    <w:p>
      <w:pPr>
        <w:pStyle w:val="ListBullet"/>
        <w:widowControl/>
        <w:spacing w:after="50" w:line="259" w:lineRule="auto"/>
        <w:ind w:left="369" w:hanging="170"/>
      </w:pPr>
      <w:r>
        <w:rPr>
          <w:rFonts w:ascii="Inter" w:hAnsi="Inter" w:eastAsia="Inter"/>
          <w:color w:val="182026"/>
          <w:sz w:val="18"/>
        </w:rPr>
        <w:t>Retainer mit periodischer Wertüberprüfung,</w:t>
      </w:r>
    </w:p>
    <w:p>
      <w:pPr>
        <w:pStyle w:val="ListBullet"/>
        <w:widowControl/>
        <w:spacing w:after="50" w:line="259" w:lineRule="auto"/>
        <w:ind w:left="369" w:hanging="170"/>
      </w:pPr>
      <w:r>
        <w:rPr>
          <w:rFonts w:ascii="Inter" w:hAnsi="Inter" w:eastAsia="Inter"/>
          <w:color w:val="182026"/>
          <w:sz w:val="18"/>
        </w:rPr>
        <w:t>outcome-basierter Vertrag,</w:t>
      </w:r>
    </w:p>
    <w:p>
      <w:pPr>
        <w:pStyle w:val="ListBullet"/>
        <w:widowControl/>
        <w:spacing w:after="50" w:line="259" w:lineRule="auto"/>
        <w:ind w:left="369" w:hanging="170"/>
      </w:pPr>
      <w:r>
        <w:rPr>
          <w:rFonts w:ascii="Inter" w:hAnsi="Inter" w:eastAsia="Inter"/>
          <w:color w:val="182026"/>
          <w:sz w:val="18"/>
        </w:rPr>
        <w:t>Multi-Payer-Modell für verteilten oder öffentlichen Nutzen,</w:t>
      </w:r>
    </w:p>
    <w:p>
      <w:pPr>
        <w:pStyle w:val="ListBullet"/>
        <w:widowControl/>
        <w:spacing w:after="50" w:line="259" w:lineRule="auto"/>
        <w:ind w:left="369" w:hanging="170"/>
      </w:pPr>
      <w:r>
        <w:rPr>
          <w:rFonts w:ascii="Inter" w:hAnsi="Inter" w:eastAsia="Inter"/>
          <w:color w:val="182026"/>
          <w:sz w:val="18"/>
        </w:rPr>
        <w:t>Dreikomponentenmodell aus Basisvergütung, Kundenwertbonus und gesonderter Wirkungskomponente.</w:t>
      </w:r>
    </w:p>
    <w:p>
      <w:pPr>
        <w:pStyle w:val="BodyText"/>
        <w:widowControl/>
        <w:spacing w:after="110" w:line="278" w:lineRule="auto"/>
        <w:ind w:firstLine="255"/>
      </w:pPr>
      <w:r>
        <w:rPr>
          <w:rFonts w:ascii="Inter" w:hAnsi="Inter" w:eastAsia="Inter"/>
          <w:color w:val="182026"/>
          <w:sz w:val="19"/>
        </w:rPr>
        <w:t>Kein Modell ist generell überlegen. Je schwächer Messbarkeit, Zurechnung und Steuerbarkeit sind, desto höher muss der feste Anteil sein. Je stärker der Anbieter ein Ergebnis kontrolliert und je belastbarer die Evidenz, desto eher kann ein fair begrenzter variabler Anteil eingesetzt werden.</w:t>
      </w:r>
    </w:p>
    <w:p>
      <w:pPr>
        <w:pStyle w:val="Heading2"/>
        <w:widowControl/>
      </w:pPr>
      <w:r>
        <w:t>Ergebnis</w:t>
      </w:r>
    </w:p>
    <w:p>
      <w:pPr>
        <w:pStyle w:val="BodyText"/>
        <w:widowControl/>
        <w:spacing w:after="110" w:line="278" w:lineRule="auto"/>
        <w:ind w:firstLine="255"/>
      </w:pPr>
      <w:r>
        <w:t>Wirkungsbasiertes Value Pricing verschiebt die Preisfrage von „Wie lange hast Du dafür gebraucht?“ zu vier präziseren Fragen:</w:t>
      </w:r>
    </w:p>
    <w:p>
      <w:pPr>
        <w:spacing w:before="120" w:after="140"/>
        <w:ind w:left="340" w:right="227"/>
        <w:shd w:fill="DDEDEA"/>
        <w:widowControl/>
        <w:pBdr>
          <w:left w:val="single" w:sz="8" w:space="4" w:color="163F3D"/>
        </w:pBdr>
      </w:pPr>
      <w:r>
        <w:rPr>
          <w:rFonts w:ascii="Inter" w:hAnsi="Inter" w:eastAsia="Inter"/>
          <w:b/>
          <w:color w:val="163F3D"/>
          <w:sz w:val="20"/>
        </w:rPr>
        <w:t>Was braucht der Anbieter, um tragfähig zu leisten?</w:t>
      </w:r>
    </w:p>
    <w:p>
      <w:pPr>
        <w:spacing w:before="120" w:after="140"/>
        <w:ind w:left="340" w:right="227"/>
        <w:shd w:fill="DDEDEA"/>
        <w:widowControl/>
        <w:pBdr>
          <w:left w:val="single" w:sz="8" w:space="4" w:color="163F3D"/>
        </w:pBdr>
      </w:pPr>
      <w:r>
        <w:rPr>
          <w:rFonts w:ascii="Inter" w:hAnsi="Inter" w:eastAsia="Inter"/>
          <w:b/>
          <w:color w:val="163F3D"/>
          <w:sz w:val="20"/>
        </w:rPr>
        <w:t>Welchen zurechenbaren Wert erhält der Kunde?</w:t>
      </w:r>
    </w:p>
    <w:p>
      <w:pPr/>
      <w:r>
        <w:rPr>
          <w:b w:val="0"/>
          <w:i w:val="0"/>
        </w:rPr>
        <w:t>Wie werden Effizienz- und Produktivitätsgewinne fair geteilt?</w:t>
      </w:r>
    </w:p>
    <w:p>
      <w:pPr>
        <w:spacing w:before="120" w:after="140"/>
        <w:ind w:left="340" w:right="227"/>
        <w:shd w:fill="DDEDEA"/>
        <w:widowControl/>
        <w:pBdr>
          <w:left w:val="single" w:sz="8" w:space="4" w:color="163F3D"/>
        </w:pBdr>
      </w:pPr>
      <w:r>
        <w:t>Welche Netto-Wirkung entsteht für Mensch, Planet und Demokratie?</w:t>
      </w:r>
    </w:p>
    <w:p>
      <w:pPr>
        <w:pStyle w:val="BodyText"/>
        <w:widowControl/>
        <w:spacing w:after="110" w:line="278" w:lineRule="auto"/>
        <w:ind w:firstLine="255"/>
      </w:pPr>
      <w:r>
        <w:rPr>
          <w:rFonts w:ascii="Inter" w:hAnsi="Inter" w:eastAsia="Inter"/>
          <w:color w:val="182026"/>
          <w:sz w:val="19"/>
        </w:rPr>
        <w:t>Damit wird Preisbildung nicht moralisiert, sondern informationsreicher. Aufwand bleibt sichtbar, Kundenwert wird messbar, Wirkung wird geschützt, und Vergütung wird zur Rückkopplung zwischen Leistung, Nutzen, Verantwortung und Lernen.</w:t>
      </w:r>
    </w:p>
    <w:p>
      <w:pPr>
        <w:pStyle w:val="Heading1"/>
        <w:widowControl/>
        <w:pBdr>
          <w:bottom w:val="single" w:sz="10" w:space="6" w:color="C99A43"/>
        </w:pBdr>
      </w:pPr>
      <w:r>
        <w:t>Inhalt</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Zweck, Gegenstand und methodischer Status</w:t>
      </w:r>
    </w:p>
    <w:p>
      <w:pPr>
        <w:pStyle w:val="BodyText"/>
        <w:widowControl/>
        <w:spacing w:after="50" w:line="259" w:lineRule="auto"/>
        <w:ind w:left="408" w:hanging="272"/>
      </w:pPr>
      <w:r>
        <w:t>2.  Die Stunde ist kein Wertmaßstab</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Begriffe und theoretische Grundlagen</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Das WVP-Modell: Drei Rechnungen, eine Entscheidung</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Kundenwert messen und zurechnen</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color w:val="182026"/>
          <w:sz w:val="18"/>
        </w:rPr>
        <w:t>Wirkung messen, bewerten und schützen</w:t>
      </w:r>
    </w:p>
    <w:p>
      <w:pPr>
        <w:pStyle w:val="BodyText"/>
        <w:widowControl/>
        <w:spacing w:after="50" w:line="259" w:lineRule="auto"/>
        <w:ind w:left="408" w:hanging="272"/>
      </w:pPr>
      <w:r>
        <w:t>7.  Vom Wert zum Preis: Preiskorridor und faire Teilung</w:t>
      </w:r>
    </w:p>
    <w:p>
      <w:pPr>
        <w:pStyle w:val="BodyText"/>
        <w:widowControl/>
        <w:spacing w:after="50" w:line="259" w:lineRule="auto"/>
        <w:ind w:left="408" w:hanging="272"/>
      </w:pPr>
      <w:r>
        <w:rPr>
          <w:rFonts w:ascii="Inter" w:hAnsi="Inter" w:eastAsia="Inter"/>
          <w:b/>
          <w:color w:val="2D625F"/>
          <w:sz w:val="18"/>
        </w:rPr>
        <w:t xml:space="preserve">8.  </w:t>
      </w:r>
      <w:r>
        <w:rPr>
          <w:rFonts w:ascii="Inter" w:hAnsi="Inter" w:eastAsia="Inter"/>
          <w:color w:val="182026"/>
          <w:sz w:val="18"/>
        </w:rPr>
        <w:t>Vertrags- und Geschäftsmodelle</w:t>
      </w:r>
    </w:p>
    <w:p>
      <w:pPr>
        <w:pStyle w:val="BodyText"/>
        <w:widowControl/>
        <w:spacing w:after="50" w:line="259" w:lineRule="auto"/>
        <w:ind w:left="408" w:hanging="272"/>
      </w:pPr>
      <w:r>
        <w:rPr>
          <w:rFonts w:ascii="Inter" w:hAnsi="Inter" w:eastAsia="Inter"/>
          <w:b/>
          <w:color w:val="2D625F"/>
          <w:sz w:val="18"/>
        </w:rPr>
        <w:t xml:space="preserve">9.  </w:t>
      </w:r>
      <w:r>
        <w:rPr>
          <w:rFonts w:ascii="Inter" w:hAnsi="Inter" w:eastAsia="Inter"/>
          <w:color w:val="182026"/>
          <w:sz w:val="18"/>
        </w:rPr>
        <w:t>Der WVP-Prozess von der Akquise bis zur Wirkungskontrolle</w:t>
      </w:r>
    </w:p>
    <w:p>
      <w:pPr>
        <w:pStyle w:val="BodyText"/>
        <w:widowControl/>
        <w:spacing w:after="50" w:line="259" w:lineRule="auto"/>
        <w:ind w:left="408" w:hanging="272"/>
      </w:pPr>
      <w:r>
        <w:rPr>
          <w:rFonts w:ascii="Inter" w:hAnsi="Inter" w:eastAsia="Inter"/>
          <w:b/>
          <w:color w:val="2D625F"/>
          <w:sz w:val="18"/>
        </w:rPr>
        <w:t xml:space="preserve">10.  </w:t>
      </w:r>
      <w:r>
        <w:rPr>
          <w:rFonts w:ascii="Inter" w:hAnsi="Inter" w:eastAsia="Inter"/>
          <w:color w:val="182026"/>
          <w:sz w:val="18"/>
        </w:rPr>
        <w:t>Governance, Daten und Verantwortlichkeiten</w:t>
      </w:r>
    </w:p>
    <w:p>
      <w:pPr>
        <w:pStyle w:val="BodyText"/>
        <w:widowControl/>
        <w:spacing w:after="50" w:line="259" w:lineRule="auto"/>
        <w:ind w:left="408" w:hanging="272"/>
      </w:pPr>
      <w:r>
        <w:rPr>
          <w:rFonts w:ascii="Inter" w:hAnsi="Inter" w:eastAsia="Inter"/>
          <w:b/>
          <w:color w:val="2D625F"/>
          <w:sz w:val="18"/>
        </w:rPr>
        <w:t xml:space="preserve">11.  </w:t>
      </w:r>
      <w:r>
        <w:rPr>
          <w:rFonts w:ascii="Inter" w:hAnsi="Inter" w:eastAsia="Inter"/>
          <w:color w:val="182026"/>
          <w:sz w:val="18"/>
        </w:rPr>
        <w:t>Ausführliche Fallbeispiele</w:t>
      </w:r>
    </w:p>
    <w:p>
      <w:pPr>
        <w:pStyle w:val="BodyText"/>
        <w:widowControl/>
        <w:spacing w:after="50" w:line="259" w:lineRule="auto"/>
        <w:ind w:left="408" w:hanging="272"/>
      </w:pPr>
      <w:r>
        <w:rPr>
          <w:rFonts w:ascii="Inter" w:hAnsi="Inter" w:eastAsia="Inter"/>
          <w:b/>
          <w:color w:val="2D625F"/>
          <w:sz w:val="18"/>
        </w:rPr>
        <w:t xml:space="preserve">12.  </w:t>
      </w:r>
      <w:r>
        <w:rPr>
          <w:rFonts w:ascii="Inter" w:hAnsi="Inter" w:eastAsia="Inter"/>
          <w:color w:val="182026"/>
          <w:sz w:val="18"/>
        </w:rPr>
        <w:t>Strategischer Nutzen für Anbieter, Kunden und Gesellschaft</w:t>
      </w:r>
    </w:p>
    <w:p>
      <w:pPr>
        <w:pStyle w:val="BodyText"/>
        <w:widowControl/>
        <w:spacing w:after="50" w:line="259" w:lineRule="auto"/>
        <w:ind w:left="408" w:hanging="272"/>
      </w:pPr>
      <w:r>
        <w:rPr>
          <w:rFonts w:ascii="Inter" w:hAnsi="Inter" w:eastAsia="Inter"/>
          <w:b/>
          <w:color w:val="2D625F"/>
          <w:sz w:val="18"/>
        </w:rPr>
        <w:t xml:space="preserve">13.  </w:t>
      </w:r>
      <w:r>
        <w:rPr>
          <w:rFonts w:ascii="Inter" w:hAnsi="Inter" w:eastAsia="Inter"/>
          <w:color w:val="182026"/>
          <w:sz w:val="18"/>
        </w:rPr>
        <w:t>Risiken, Fehlanreize und Grenzen</w:t>
      </w:r>
    </w:p>
    <w:p>
      <w:pPr>
        <w:pStyle w:val="BodyText"/>
        <w:widowControl/>
        <w:spacing w:after="50" w:line="259" w:lineRule="auto"/>
        <w:ind w:left="408" w:hanging="272"/>
      </w:pPr>
      <w:r>
        <w:rPr>
          <w:rFonts w:ascii="Inter" w:hAnsi="Inter" w:eastAsia="Inter"/>
          <w:b/>
          <w:color w:val="2D625F"/>
          <w:sz w:val="18"/>
        </w:rPr>
        <w:t xml:space="preserve">14.  </w:t>
      </w:r>
      <w:r>
        <w:rPr>
          <w:rFonts w:ascii="Inter" w:hAnsi="Inter" w:eastAsia="Inter"/>
          <w:color w:val="182026"/>
          <w:sz w:val="18"/>
        </w:rPr>
        <w:t>Einführung und Reifegradmodell</w:t>
      </w:r>
    </w:p>
    <w:p>
      <w:pPr>
        <w:pStyle w:val="BodyText"/>
        <w:widowControl/>
        <w:spacing w:after="50" w:line="259" w:lineRule="auto"/>
        <w:ind w:left="408" w:hanging="272"/>
      </w:pPr>
      <w:r>
        <w:rPr>
          <w:rFonts w:ascii="Inter" w:hAnsi="Inter" w:eastAsia="Inter"/>
          <w:b/>
          <w:color w:val="2D625F"/>
          <w:sz w:val="18"/>
        </w:rPr>
        <w:t xml:space="preserve">15.  </w:t>
      </w:r>
      <w:r>
        <w:rPr>
          <w:rFonts w:ascii="Inter" w:hAnsi="Inter" w:eastAsia="Inter"/>
          <w:color w:val="182026"/>
          <w:sz w:val="18"/>
        </w:rPr>
        <w:t>Einordnung in die Wirkungsökonomie und Forschungsagenda</w:t>
      </w:r>
    </w:p>
    <w:p>
      <w:pPr>
        <w:pStyle w:val="BodyText"/>
        <w:widowControl/>
        <w:spacing w:after="110" w:line="278" w:lineRule="auto"/>
        <w:ind w:firstLine="255"/>
      </w:pPr>
      <w:r>
        <w:rPr>
          <w:rFonts w:ascii="Inter" w:hAnsi="Inter" w:eastAsia="Inter"/>
          <w:color w:val="182026"/>
          <w:sz w:val="19"/>
        </w:rPr>
        <w:t>Anhänge: Canvas, Rechenblätter, Scorecard, Evidenzplan, Vertragscheck, FAQ, Glossar, Quellen</w:t>
      </w:r>
    </w:p>
    <w:p>
      <w:pPr>
        <w:widowControl/>
      </w:pPr>
      <w:r>
        <w:br w:type="page"/>
      </w:r>
    </w:p>
    <w:p>
      <w:pPr>
        <w:pStyle w:val="Heading1"/>
        <w:widowControl/>
        <w:pBdr>
          <w:bottom w:val="single" w:sz="10" w:space="6" w:color="C99A43"/>
        </w:pBdr>
      </w:pPr>
      <w:r>
        <w:t>1 Zweck, Gegenstand und methodischer Status</w:t>
      </w:r>
    </w:p>
    <w:p>
      <w:pPr>
        <w:pStyle w:val="Heading2"/>
        <w:widowControl/>
      </w:pPr>
      <w:r>
        <w:t>1.1 Zweck des Dossiers</w:t>
      </w:r>
    </w:p>
    <w:p>
      <w:pPr>
        <w:pStyle w:val="BodyText"/>
        <w:widowControl/>
        <w:spacing w:after="110" w:line="278" w:lineRule="auto"/>
        <w:ind w:firstLine="255"/>
      </w:pPr>
      <w:r>
        <w:rPr>
          <w:rFonts w:ascii="Inter" w:hAnsi="Inter" w:eastAsia="Inter"/>
          <w:color w:val="182026"/>
          <w:sz w:val="19"/>
        </w:rPr>
        <w:t>Dieses Dossier entwickelt eine fachliche Architektur für die Preisfindung und Vergütung wissensintensiver Dienstleistungen. Im Mittelpunkt stehen Beratungs-, Forschungs-, Innovations-, Digitalisierungs-, Transformations-, Präventions- und Organisationsleistungen, bei denen der Ressourceneinsatz des Anbieters und der wirtschaftliche Wert beim Auftraggeber deutlich auseinanderfallen können.</w:t>
      </w:r>
    </w:p>
    <w:p>
      <w:pPr>
        <w:pStyle w:val="BodyText"/>
        <w:widowControl/>
        <w:spacing w:after="110" w:line="278" w:lineRule="auto"/>
        <w:ind w:firstLine="255"/>
      </w:pPr>
      <w:r>
        <w:t>Das Konzept soll sechs Aufgaben erfüllen:</w:t>
      </w:r>
    </w:p>
    <w:p>
      <w:pPr>
        <w:pStyle w:val="ListBullet"/>
        <w:widowControl/>
        <w:spacing w:after="50" w:line="259" w:lineRule="auto"/>
        <w:ind w:left="369" w:hanging="170"/>
      </w:pPr>
      <w:r>
        <w:rPr>
          <w:rFonts w:ascii="Inter" w:hAnsi="Inter" w:eastAsia="Inter"/>
          <w:color w:val="182026"/>
          <w:sz w:val="18"/>
        </w:rPr>
        <w:t>Es soll erklären, warum Zeit, Kosten und Auslastung notwendige, aber unzureichende Preisgrößen sind.</w:t>
      </w:r>
    </w:p>
    <w:p>
      <w:pPr>
        <w:pStyle w:val="ListBullet"/>
        <w:widowControl/>
        <w:spacing w:after="50" w:line="259" w:lineRule="auto"/>
        <w:ind w:left="369" w:hanging="170"/>
      </w:pPr>
      <w:r>
        <w:rPr>
          <w:rFonts w:ascii="Inter" w:hAnsi="Inter" w:eastAsia="Inter"/>
          <w:color w:val="182026"/>
          <w:sz w:val="18"/>
        </w:rPr>
        <w:t>Es soll den etablierten Ansatz des Value-based Pricing methodisch sauber aufnehmen.</w:t>
      </w:r>
    </w:p>
    <w:p>
      <w:pPr>
        <w:pStyle w:val="ListBullet"/>
      </w:pPr>
      <w:r>
        <w:rPr>
          <w:b w:val="0"/>
          <w:i w:val="0"/>
        </w:rPr>
        <w:t>Es soll das Effizienzparadox von Erfahrung, Standardisierung, Automatisierung und KI auflösen.</w:t>
      </w:r>
    </w:p>
    <w:p>
      <w:pPr>
        <w:pStyle w:val="ListBullet"/>
        <w:widowControl/>
        <w:spacing w:after="50" w:line="259" w:lineRule="auto"/>
        <w:ind w:left="369" w:hanging="170"/>
      </w:pPr>
      <w:r>
        <w:rPr>
          <w:rFonts w:ascii="Inter" w:hAnsi="Inter" w:eastAsia="Inter"/>
          <w:color w:val="182026"/>
          <w:sz w:val="18"/>
        </w:rPr>
        <w:t>Es soll Kundenwert von gesellschaftlicher, ökologischer und demokratischer Wirkung trennen.</w:t>
      </w:r>
    </w:p>
    <w:p>
      <w:pPr>
        <w:pStyle w:val="ListBullet"/>
        <w:widowControl/>
        <w:spacing w:after="50" w:line="259" w:lineRule="auto"/>
        <w:ind w:left="369" w:hanging="170"/>
      </w:pPr>
      <w:r>
        <w:rPr>
          <w:rFonts w:ascii="Inter" w:hAnsi="Inter" w:eastAsia="Inter"/>
          <w:color w:val="182026"/>
          <w:sz w:val="18"/>
        </w:rPr>
        <w:t>Es soll beide Ebenen mit dem Impact-Controlling der Wirkungsökonomie verbinden.</w:t>
      </w:r>
    </w:p>
    <w:p>
      <w:pPr>
        <w:pStyle w:val="ListBullet"/>
        <w:widowControl/>
        <w:spacing w:after="50" w:line="259" w:lineRule="auto"/>
        <w:ind w:left="369" w:hanging="170"/>
      </w:pPr>
      <w:r>
        <w:rPr>
          <w:rFonts w:ascii="Inter" w:hAnsi="Inter" w:eastAsia="Inter"/>
          <w:color w:val="182026"/>
          <w:sz w:val="18"/>
        </w:rPr>
        <w:t>Es soll eine praktisch pilotierbare Preis-, Vertrags-, Daten- und Governance-Architektur bereitstellen.</w:t>
      </w:r>
    </w:p>
    <w:p>
      <w:pPr>
        <w:pStyle w:val="BodyText"/>
        <w:widowControl/>
        <w:spacing w:after="110" w:line="278" w:lineRule="auto"/>
        <w:ind w:firstLine="255"/>
      </w:pPr>
      <w:r>
        <w:rPr>
          <w:rFonts w:ascii="Inter" w:hAnsi="Inter" w:eastAsia="Inter"/>
          <w:color w:val="182026"/>
          <w:sz w:val="19"/>
        </w:rPr>
        <w:t>WVP richtet sich sowohl an Anbieter als auch an Auftraggeber. Anbieter erhalten eine belastbare Logik, um Preise nicht defensiv aus Stunden und Tagessätzen abzuleiten. Auftraggeber erhalten Transparenz darüber, welche Wertannahmen, Messgrößen und Risiken dem Preis zugrunde liegen. Beide Seiten erhalten eine gemeinsame Sprache, um nach der Lieferung zu prüfen, was tatsächlich erreicht wurde.</w:t>
      </w:r>
    </w:p>
    <w:p>
      <w:pPr>
        <w:pStyle w:val="Heading2"/>
        <w:widowControl/>
      </w:pPr>
      <w:r>
        <w:t>1.2 Gegenstand der Bewertung</w:t>
      </w:r>
    </w:p>
    <w:p>
      <w:pPr>
        <w:pStyle w:val="BodyText"/>
        <w:widowControl/>
        <w:spacing w:after="110" w:line="278" w:lineRule="auto"/>
        <w:ind w:firstLine="255"/>
      </w:pPr>
      <w:r>
        <w:rPr>
          <w:rFonts w:ascii="Inter" w:hAnsi="Inter" w:eastAsia="Inter"/>
          <w:color w:val="182026"/>
          <w:sz w:val="19"/>
        </w:rPr>
        <w:t xml:space="preserve">Der Bewertungsgegenstand ist nicht „die Stunde“, nicht die Person und nicht die moralische Qualität eines Unternehmens. Bewertet wird eine klar abgegrenzte </w:t>
      </w:r>
      <w:r>
        <w:rPr>
          <w:rFonts w:ascii="Inter" w:hAnsi="Inter" w:eastAsia="Inter"/>
          <w:b/>
          <w:color w:val="182026"/>
          <w:sz w:val="19"/>
        </w:rPr>
        <w:t>Leistungs- und Veränderungseinheit</w:t>
      </w:r>
      <w:r>
        <w:rPr>
          <w:rFonts w:ascii="Inter" w:hAnsi="Inter" w:eastAsia="Inter"/>
          <w:color w:val="182026"/>
          <w:sz w:val="19"/>
        </w:rPr>
        <w:t>. Das kann sein:</w:t>
      </w:r>
    </w:p>
    <w:p>
      <w:pPr>
        <w:pStyle w:val="ListBullet"/>
        <w:widowControl/>
        <w:spacing w:after="50" w:line="259" w:lineRule="auto"/>
        <w:ind w:left="369" w:hanging="170"/>
      </w:pPr>
      <w:r>
        <w:rPr>
          <w:rFonts w:ascii="Inter" w:hAnsi="Inter" w:eastAsia="Inter"/>
          <w:color w:val="182026"/>
          <w:sz w:val="18"/>
        </w:rPr>
        <w:t>ein einzelnes Projekt,</w:t>
      </w:r>
    </w:p>
    <w:p>
      <w:pPr>
        <w:pStyle w:val="ListBullet"/>
        <w:widowControl/>
        <w:spacing w:after="50" w:line="259" w:lineRule="auto"/>
        <w:ind w:left="369" w:hanging="170"/>
      </w:pPr>
      <w:r>
        <w:rPr>
          <w:rFonts w:ascii="Inter" w:hAnsi="Inter" w:eastAsia="Inter"/>
          <w:color w:val="182026"/>
          <w:sz w:val="18"/>
        </w:rPr>
        <w:t>ein wiederkehrender Service,</w:t>
      </w:r>
    </w:p>
    <w:p>
      <w:pPr>
        <w:pStyle w:val="ListBullet"/>
        <w:widowControl/>
        <w:spacing w:after="50" w:line="259" w:lineRule="auto"/>
        <w:ind w:left="369" w:hanging="170"/>
      </w:pPr>
      <w:r>
        <w:rPr>
          <w:rFonts w:ascii="Inter" w:hAnsi="Inter" w:eastAsia="Inter"/>
          <w:color w:val="182026"/>
          <w:sz w:val="18"/>
        </w:rPr>
        <w:t>eine Analyse oder Entscheidungsvorlage,</w:t>
      </w:r>
    </w:p>
    <w:p>
      <w:pPr>
        <w:pStyle w:val="ListBullet"/>
        <w:widowControl/>
        <w:spacing w:after="50" w:line="259" w:lineRule="auto"/>
        <w:ind w:left="369" w:hanging="170"/>
      </w:pPr>
      <w:r>
        <w:rPr>
          <w:rFonts w:ascii="Inter" w:hAnsi="Inter" w:eastAsia="Inter"/>
          <w:color w:val="182026"/>
          <w:sz w:val="18"/>
        </w:rPr>
        <w:t>eine Forschungs- oder Innovationsleistung,</w:t>
      </w:r>
    </w:p>
    <w:p>
      <w:pPr>
        <w:pStyle w:val="ListBullet"/>
        <w:widowControl/>
        <w:spacing w:after="50" w:line="259" w:lineRule="auto"/>
        <w:ind w:left="369" w:hanging="170"/>
      </w:pPr>
      <w:r>
        <w:rPr>
          <w:rFonts w:ascii="Inter" w:hAnsi="Inter" w:eastAsia="Inter"/>
          <w:color w:val="182026"/>
          <w:sz w:val="18"/>
        </w:rPr>
        <w:t>eine digitale Lösung einschließlich Einführung,</w:t>
      </w:r>
    </w:p>
    <w:p>
      <w:pPr>
        <w:pStyle w:val="ListBullet"/>
        <w:widowControl/>
        <w:spacing w:after="50" w:line="259" w:lineRule="auto"/>
        <w:ind w:left="369" w:hanging="170"/>
      </w:pPr>
      <w:r>
        <w:rPr>
          <w:rFonts w:ascii="Inter" w:hAnsi="Inter" w:eastAsia="Inter"/>
          <w:color w:val="182026"/>
          <w:sz w:val="18"/>
        </w:rPr>
        <w:t>eine Transformationsintervention,</w:t>
      </w:r>
    </w:p>
    <w:p>
      <w:pPr>
        <w:pStyle w:val="ListBullet"/>
        <w:widowControl/>
        <w:spacing w:after="50" w:line="259" w:lineRule="auto"/>
        <w:ind w:left="369" w:hanging="170"/>
      </w:pPr>
      <w:r>
        <w:rPr>
          <w:rFonts w:ascii="Inter" w:hAnsi="Inter" w:eastAsia="Inter"/>
          <w:color w:val="182026"/>
          <w:sz w:val="18"/>
        </w:rPr>
        <w:t>ein betreutes Portfolio von Maßnahmen,</w:t>
      </w:r>
    </w:p>
    <w:p>
      <w:pPr>
        <w:pStyle w:val="ListBullet"/>
        <w:widowControl/>
        <w:spacing w:after="50" w:line="259" w:lineRule="auto"/>
        <w:ind w:left="369" w:hanging="170"/>
      </w:pPr>
      <w:r>
        <w:rPr>
          <w:rFonts w:ascii="Inter" w:hAnsi="Inter" w:eastAsia="Inter"/>
          <w:color w:val="182026"/>
          <w:sz w:val="18"/>
        </w:rPr>
        <w:t>eine längerfristige Partnerschaft mit mehreren Outcome-Zyklen.</w:t>
      </w:r>
    </w:p>
    <w:p>
      <w:pPr>
        <w:pStyle w:val="BodyText"/>
        <w:widowControl/>
        <w:spacing w:after="110" w:line="278" w:lineRule="auto"/>
        <w:ind w:firstLine="255"/>
      </w:pPr>
      <w:r>
        <w:rPr>
          <w:rFonts w:ascii="Inter" w:hAnsi="Inter" w:eastAsia="Inter"/>
          <w:color w:val="182026"/>
          <w:sz w:val="19"/>
        </w:rPr>
        <w:t>Die Einheit muss so beschrieben werden, dass Ausgangszustand, Intervention, erwartete Zustandsveränderung, Verantwortungsbereich, Zeitraum und Messbarkeit nachvollziehbar sind. Ohne klare Systemgrenze entsteht weder ein belastbarer Kundenwert noch eine verantwortbare Wirkungsbewertung.</w:t>
      </w:r>
    </w:p>
    <w:p>
      <w:pPr>
        <w:pStyle w:val="Heading2"/>
        <w:widowControl/>
      </w:pPr>
      <w:r>
        <w:t>1.3 Methodischer Status und Abgrenzung</w:t>
      </w:r>
    </w:p>
    <w:p>
      <w:pPr>
        <w:pStyle w:val="BodyText"/>
        <w:widowControl/>
        <w:spacing w:after="110" w:line="278" w:lineRule="auto"/>
        <w:ind w:firstLine="255"/>
      </w:pPr>
      <w:r>
        <w:rPr>
          <w:rFonts w:ascii="Inter" w:hAnsi="Inter" w:eastAsia="Inter"/>
          <w:color w:val="182026"/>
          <w:sz w:val="19"/>
        </w:rPr>
        <w:t>Value-based Pricing ist in der betriebswirtschaftlichen Forschung seit langem etabliert. Hinterhuber beschreibt es als Preisfindung, die am ökonomischen Wert für den Kunden ansetzt. Spätere Arbeiten untersuchen insbesondere organisatorische Fähigkeiten zur Wertidentifikation, Wertquantifizierung, Wertkommunikation und Wertverifikation sowie die Schwierigkeiten bei Dienstleistungen und komplexen Lösungen (Hinterhuber 2004; Hinterhuber 2008; Töytäri und Rajala 2015; Töytäri et al. 2015; Raja et al. 2020).</w:t>
      </w:r>
    </w:p>
    <w:p>
      <w:pPr>
        <w:pStyle w:val="BodyText"/>
        <w:widowControl/>
        <w:spacing w:after="110" w:line="278" w:lineRule="auto"/>
        <w:ind w:firstLine="255"/>
      </w:pPr>
      <w:r>
        <w:rPr>
          <w:rFonts w:ascii="Inter" w:hAnsi="Inter" w:eastAsia="Inter"/>
          <w:color w:val="182026"/>
          <w:sz w:val="19"/>
        </w:rPr>
        <w:t>Wirkungsbasiertes Value Pricing übernimmt diese Grundlage, erweitert sie aber um die Wirkungsökonomie. Das neue Element besteht nicht darin, „Impact“ als zusätzliches Verkaufsargument zu verwenden. Es besteht in einer eigenständigen, nicht frei kompensierbaren Wirkungsrechnung und in der institutionellen Trennung von Messung, Bewertung, Preisentscheidung und Verantwortung.</w:t>
      </w:r>
    </w:p>
    <w:p>
      <w:pPr>
        <w:pStyle w:val="BodyText"/>
        <w:widowControl/>
        <w:spacing w:after="110" w:line="278" w:lineRule="auto"/>
        <w:ind w:firstLine="255"/>
      </w:pPr>
      <w:r>
        <w:rPr>
          <w:rFonts w:ascii="Inter" w:hAnsi="Inter" w:eastAsia="Inter"/>
          <w:color w:val="182026"/>
          <w:sz w:val="19"/>
        </w:rPr>
        <w:t>WVP ist deshalb:</w:t>
      </w:r>
    </w:p>
    <w:p>
      <w:pPr>
        <w:pStyle w:val="ListBullet"/>
        <w:widowControl/>
        <w:spacing w:after="50" w:line="259" w:lineRule="auto"/>
        <w:ind w:left="369" w:hanging="170"/>
      </w:pPr>
      <w:r>
        <w:rPr>
          <w:rFonts w:ascii="Inter" w:hAnsi="Inter" w:eastAsia="Inter"/>
          <w:b/>
          <w:color w:val="182026"/>
          <w:sz w:val="18"/>
        </w:rPr>
        <w:t>kein</w:t>
      </w:r>
      <w:r>
        <w:rPr>
          <w:rFonts w:ascii="Inter" w:hAnsi="Inter" w:eastAsia="Inter"/>
          <w:color w:val="182026"/>
          <w:sz w:val="18"/>
        </w:rPr>
        <w:t xml:space="preserve"> bloßes Premium-Pricing,</w:t>
      </w:r>
    </w:p>
    <w:p>
      <w:pPr>
        <w:pStyle w:val="ListBullet"/>
        <w:widowControl/>
        <w:spacing w:after="50" w:line="259" w:lineRule="auto"/>
        <w:ind w:left="369" w:hanging="170"/>
      </w:pPr>
      <w:r>
        <w:rPr>
          <w:rFonts w:ascii="Inter" w:hAnsi="Inter" w:eastAsia="Inter"/>
          <w:b/>
          <w:color w:val="182026"/>
          <w:sz w:val="18"/>
        </w:rPr>
        <w:t>kein</w:t>
      </w:r>
      <w:r>
        <w:rPr>
          <w:rFonts w:ascii="Inter" w:hAnsi="Inter" w:eastAsia="Inter"/>
          <w:color w:val="182026"/>
          <w:sz w:val="18"/>
        </w:rPr>
        <w:t xml:space="preserve"> Synonym für Erfolgsvergütung,</w:t>
      </w:r>
    </w:p>
    <w:p>
      <w:pPr>
        <w:pStyle w:val="ListBullet"/>
        <w:widowControl/>
        <w:spacing w:after="50" w:line="259" w:lineRule="auto"/>
        <w:ind w:left="369" w:hanging="170"/>
      </w:pPr>
      <w:r>
        <w:rPr>
          <w:rFonts w:ascii="Inter" w:hAnsi="Inter" w:eastAsia="Inter"/>
          <w:b/>
          <w:color w:val="182026"/>
          <w:sz w:val="18"/>
        </w:rPr>
        <w:t>kein</w:t>
      </w:r>
      <w:r>
        <w:rPr>
          <w:rFonts w:ascii="Inter" w:hAnsi="Inter" w:eastAsia="Inter"/>
          <w:color w:val="182026"/>
          <w:sz w:val="18"/>
        </w:rPr>
        <w:t xml:space="preserve"> automatisch höherer Preis für nachhaltige Anbieter,</w:t>
      </w:r>
    </w:p>
    <w:p>
      <w:pPr>
        <w:pStyle w:val="ListBullet"/>
        <w:widowControl/>
        <w:spacing w:after="50" w:line="259" w:lineRule="auto"/>
        <w:ind w:left="369" w:hanging="170"/>
      </w:pPr>
      <w:r>
        <w:rPr>
          <w:rFonts w:ascii="Inter" w:hAnsi="Inter" w:eastAsia="Inter"/>
          <w:b/>
          <w:color w:val="182026"/>
          <w:sz w:val="18"/>
        </w:rPr>
        <w:t>keine</w:t>
      </w:r>
      <w:r>
        <w:rPr>
          <w:rFonts w:ascii="Inter" w:hAnsi="Inter" w:eastAsia="Inter"/>
          <w:color w:val="182026"/>
          <w:sz w:val="18"/>
        </w:rPr>
        <w:t xml:space="preserve"> Monetarisierung jedes gesellschaftlichen Werts,</w:t>
      </w:r>
    </w:p>
    <w:p>
      <w:pPr>
        <w:pStyle w:val="ListBullet"/>
        <w:widowControl/>
        <w:spacing w:after="50" w:line="259" w:lineRule="auto"/>
        <w:ind w:left="369" w:hanging="170"/>
      </w:pPr>
      <w:r>
        <w:rPr>
          <w:rFonts w:ascii="Inter" w:hAnsi="Inter" w:eastAsia="Inter"/>
          <w:b/>
          <w:color w:val="182026"/>
          <w:sz w:val="18"/>
        </w:rPr>
        <w:t>kein</w:t>
      </w:r>
      <w:r>
        <w:rPr>
          <w:rFonts w:ascii="Inter" w:hAnsi="Inter" w:eastAsia="Inter"/>
          <w:color w:val="182026"/>
          <w:sz w:val="18"/>
        </w:rPr>
        <w:t xml:space="preserve"> Score, der allein über einen Vertrag entscheidet,</w:t>
      </w:r>
    </w:p>
    <w:p>
      <w:pPr>
        <w:pStyle w:val="ListBullet"/>
        <w:widowControl/>
        <w:spacing w:after="50" w:line="259" w:lineRule="auto"/>
        <w:ind w:left="369" w:hanging="170"/>
      </w:pPr>
      <w:r>
        <w:rPr>
          <w:rFonts w:ascii="Inter" w:hAnsi="Inter" w:eastAsia="Inter"/>
          <w:b/>
          <w:color w:val="182026"/>
          <w:sz w:val="18"/>
        </w:rPr>
        <w:t>keine</w:t>
      </w:r>
      <w:r>
        <w:rPr>
          <w:rFonts w:ascii="Inter" w:hAnsi="Inter" w:eastAsia="Inter"/>
          <w:color w:val="182026"/>
          <w:sz w:val="18"/>
        </w:rPr>
        <w:t xml:space="preserve"> Personenbewertung,</w:t>
      </w:r>
    </w:p>
    <w:p>
      <w:pPr>
        <w:pStyle w:val="ListBullet"/>
        <w:widowControl/>
        <w:spacing w:after="50" w:line="259" w:lineRule="auto"/>
        <w:ind w:left="369" w:hanging="170"/>
      </w:pPr>
      <w:r>
        <w:rPr>
          <w:rFonts w:ascii="Inter" w:hAnsi="Inter" w:eastAsia="Inter"/>
          <w:b/>
          <w:color w:val="182026"/>
          <w:sz w:val="18"/>
        </w:rPr>
        <w:t>kein</w:t>
      </w:r>
      <w:r>
        <w:rPr>
          <w:rFonts w:ascii="Inter" w:hAnsi="Inter" w:eastAsia="Inter"/>
          <w:color w:val="182026"/>
          <w:sz w:val="18"/>
        </w:rPr>
        <w:t xml:space="preserve"> Ersatz für Kosten-, Liquiditäts-, Rechts- oder Risikoprüfung.</w:t>
      </w:r>
    </w:p>
    <w:p>
      <w:pPr>
        <w:pStyle w:val="BodyText"/>
        <w:widowControl/>
        <w:spacing w:after="110" w:line="278" w:lineRule="auto"/>
        <w:ind w:firstLine="255"/>
      </w:pPr>
      <w:r>
        <w:t>WVP ist eine Entscheidungsarchitektur, in der finanzielle Tragfähigkeit, Produktivitätsgewinn, zurechenbarer Kundenwert und Netto-Wirkung getrennt erfasst und gemeinsam verantwortet werden.</w:t>
      </w:r>
    </w:p>
    <w:p>
      <w:pPr>
        <w:pStyle w:val="Heading2"/>
        <w:widowControl/>
      </w:pPr>
      <w:r>
        <w:t>1.4 Leitfragen</w:t>
      </w:r>
    </w:p>
    <w:p>
      <w:pPr>
        <w:pStyle w:val="BodyText"/>
      </w:pPr>
      <w:r>
        <w:rPr>
          <w:b w:val="0"/>
          <w:i w:val="0"/>
        </w:rPr>
        <w:t>Das Dossier beantwortet insbesondere folgende Fragen:</w:t>
      </w:r>
    </w:p>
    <w:p>
      <w:pPr>
        <w:pStyle w:val="BodyText"/>
      </w:pPr>
      <w:r>
        <w:rPr>
          <w:b w:val="0"/>
          <w:i w:val="0"/>
        </w:rPr>
        <w:t>1.  Wann ist eine Leistung nach Wert statt nach Aufwand zu bepreisen?</w:t>
      </w:r>
    </w:p>
    <w:p>
      <w:pPr>
        <w:pStyle w:val="BodyText"/>
      </w:pPr>
      <w:r>
        <w:rPr>
          <w:b w:val="0"/>
          <w:i w:val="0"/>
        </w:rPr>
        <w:t>2.  Wie verändert Erfahrung den Zusammenhang zwischen Zeit, Preis und Wert?</w:t>
      </w:r>
    </w:p>
    <w:p>
      <w:pPr>
        <w:pStyle w:val="BodyText"/>
      </w:pPr>
      <w:r>
        <w:rPr>
          <w:b w:val="0"/>
          <w:i w:val="0"/>
        </w:rPr>
        <w:t>3.  Wie werden Produktivitätsgewinne aus Methode, Standardisierung, Automatisierung und KI fair zwischen Kunde und Anbieter verteilt?</w:t>
      </w:r>
    </w:p>
    <w:p>
      <w:pPr>
        <w:pStyle w:val="BodyText"/>
      </w:pPr>
      <w:r>
        <w:rPr>
          <w:b w:val="0"/>
          <w:i w:val="0"/>
        </w:rPr>
        <w:t>4.  Wie wird Kundenwert gegenüber einer realistischen Alternative abgegrenzt?</w:t>
      </w:r>
    </w:p>
    <w:p>
      <w:pPr>
        <w:pStyle w:val="BodyText"/>
      </w:pPr>
      <w:r>
        <w:rPr>
          <w:b w:val="0"/>
          <w:i w:val="0"/>
        </w:rPr>
        <w:t>5.  Wie werden Baseline, Counterfactual, Zurechnung und Unsicherheit behandelt?</w:t>
      </w:r>
    </w:p>
    <w:p>
      <w:pPr>
        <w:pStyle w:val="BodyText"/>
      </w:pPr>
      <w:r>
        <w:rPr>
          <w:b w:val="0"/>
          <w:i w:val="0"/>
        </w:rPr>
        <w:t>6.  Wie lassen sich finanzielle, nichtfinanzielle und systemische Nutzenströme trennen?</w:t>
      </w:r>
    </w:p>
    <w:p>
      <w:pPr>
        <w:pStyle w:val="BodyText"/>
      </w:pPr>
      <w:r>
        <w:rPr>
          <w:b w:val="0"/>
          <w:i w:val="0"/>
        </w:rPr>
        <w:t>7.  Wie verhindert man Doppelzählung, Erfolgsillusion, KI-Washing und Impact-Washing?</w:t>
      </w:r>
    </w:p>
    <w:p>
      <w:pPr>
        <w:pStyle w:val="BodyText"/>
      </w:pPr>
      <w:r>
        <w:rPr>
          <w:b w:val="0"/>
          <w:i w:val="0"/>
        </w:rPr>
        <w:t>8.  Wie wird eine faire Teilung des geschaffenen Werts gestaltet?</w:t>
      </w:r>
    </w:p>
    <w:p>
      <w:pPr>
        <w:pStyle w:val="BodyText"/>
      </w:pPr>
      <w:r>
        <w:rPr>
          <w:b w:val="0"/>
          <w:i w:val="0"/>
        </w:rPr>
        <w:t>9.  Wann sind Festpreis, Gainsharing, Outcome-Vertrag oder Multi-Payer-Modell geeignet?</w:t>
      </w:r>
    </w:p>
    <w:p>
      <w:pPr>
        <w:pStyle w:val="BodyText"/>
      </w:pPr>
      <w:r>
        <w:rPr>
          <w:b w:val="0"/>
          <w:i w:val="0"/>
        </w:rPr>
        <w:t>10.  Welche Daten, Rollen, Prüfungen und Schutzmechanismen werden benötigt?</w:t>
      </w:r>
    </w:p>
    <w:p>
      <w:pPr>
        <w:pStyle w:val="BodyText"/>
      </w:pPr>
      <w:r>
        <w:rPr>
          <w:b w:val="0"/>
          <w:i w:val="0"/>
        </w:rPr>
        <w:t>11.  Wie wird WVP in Wirkungscontrolling, Vertrieb, Beschaffung und Governance eingebaut?</w:t>
      </w:r>
    </w:p>
    <w:p>
      <w:pPr>
        <w:pStyle w:val="Heading2"/>
        <w:widowControl/>
      </w:pPr>
      <w:r>
        <w:t>1.5 Die zentrale These</w:t>
      </w:r>
    </w:p>
    <w:tbl>
      <w:tblPr>
        <w:tblW w:type="auto" w:w="0"/>
        <w:jc w:val="center"/>
        <w:tblLayout w:type="fixed"/>
        <w:tblLook w:firstColumn="1" w:firstRow="1" w:lastColumn="0" w:lastRow="0" w:noHBand="0" w:noVBand="1" w:val="04A0"/>
      </w:tblPr>
      <w:tblGrid>
        <w:gridCol w:w="9858"/>
      </w:tblGrid>
      <w:tr>
        <w:tc>
          <w:tcPr>
            <w:tcW w:type="dxa" w:w="9432"/>
            <w:shd w:fill="DDEDEA"/>
            <w:tcMar>
              <w:top w:w="160" w:type="dxa"/>
              <w:start w:w="180" w:type="dxa"/>
              <w:bottom w:w="150" w:type="dxa"/>
              <w:end w:w="180" w:type="dxa"/>
            </w:tcMar>
          </w:tcPr>
          <w:p>
            <w:r>
              <w:t>Kernsatz</w:t>
              <w:br/>
              <w:t>Zeit misst Aufwand. Kundenwert misst den ökonomischen Nutzen für den Auftraggeber. Wirkung misst die tatsächliche Zustandsveränderung im System. Erfahrung und KI können den Aufwand verkürzen, ohne den Wert zu verkleinern. Ein verantworteter Preis braucht alle Perspektiven, darf sie aber nicht miteinander verwechseln.</w:t>
            </w:r>
          </w:p>
        </w:tc>
      </w:tr>
    </w:tbl>
    <w:p>
      <w:pPr>
        <w:widowControl/>
        <w:spacing w:after="20"/>
      </w:pPr>
    </w:p>
    <w:p>
      <w:pPr>
        <w:pStyle w:val="Heading1"/>
        <w:widowControl/>
        <w:pBdr>
          <w:bottom w:val="single" w:sz="10" w:space="6" w:color="C99A43"/>
        </w:pBdr>
      </w:pPr>
      <w:r>
        <w:t>2 Die Stunde ist kein Wertmaßstab</w:t>
      </w:r>
    </w:p>
    <w:p>
      <w:pPr>
        <w:pStyle w:val="Heading2"/>
        <w:widowControl/>
      </w:pPr>
      <w:r>
        <w:t>2.1 Die Stunde ist eine Ressourceneinheit, kein Wertmaßstab</w:t>
      </w:r>
    </w:p>
    <w:p>
      <w:pPr>
        <w:pStyle w:val="BodyText"/>
        <w:widowControl/>
        <w:spacing w:after="110" w:line="278" w:lineRule="auto"/>
        <w:ind w:firstLine="255"/>
      </w:pPr>
      <w:r>
        <w:rPr>
          <w:rFonts w:ascii="Inter" w:hAnsi="Inter" w:eastAsia="Inter"/>
          <w:color w:val="182026"/>
          <w:sz w:val="19"/>
        </w:rPr>
        <w:t>Zeitbasierte Vergütung ist einfach. Sie macht Kapazität planbar, dokumentiert Aufwand und verteilt das Ausführungsrisiko weitgehend auf den Kunden. Gerade bei offenem Leistungsumfang, hoher Unsicherheit oder laufender Unterstützung kann sie sinnvoll sein. Problematisch wird sie, wenn sie zur Theorie des Werts erhoben wird.</w:t>
      </w:r>
    </w:p>
    <w:p>
      <w:pPr>
        <w:pStyle w:val="BodyText"/>
        <w:widowControl/>
        <w:spacing w:after="110" w:line="278" w:lineRule="auto"/>
        <w:ind w:firstLine="255"/>
      </w:pPr>
      <w:r>
        <w:rPr>
          <w:rFonts w:ascii="Inter" w:hAnsi="Inter" w:eastAsia="Inter"/>
          <w:color w:val="182026"/>
          <w:sz w:val="19"/>
        </w:rPr>
        <w:t>Eine Stunde sagt aus, wie lange jemand mit einer Aufgabe befasst war. Sie sagt nicht:</w:t>
      </w:r>
    </w:p>
    <w:p>
      <w:pPr>
        <w:pStyle w:val="ListBullet"/>
        <w:widowControl/>
        <w:spacing w:after="50" w:line="259" w:lineRule="auto"/>
        <w:ind w:left="369" w:hanging="170"/>
      </w:pPr>
      <w:r>
        <w:rPr>
          <w:rFonts w:ascii="Inter" w:hAnsi="Inter" w:eastAsia="Inter"/>
          <w:color w:val="182026"/>
          <w:sz w:val="18"/>
        </w:rPr>
        <w:t>ob die richtige Frage bearbeitet wurde,</w:t>
      </w:r>
    </w:p>
    <w:p>
      <w:pPr>
        <w:pStyle w:val="ListBullet"/>
        <w:widowControl/>
        <w:spacing w:after="50" w:line="259" w:lineRule="auto"/>
        <w:ind w:left="369" w:hanging="170"/>
      </w:pPr>
      <w:r>
        <w:rPr>
          <w:rFonts w:ascii="Inter" w:hAnsi="Inter" w:eastAsia="Inter"/>
          <w:color w:val="182026"/>
          <w:sz w:val="18"/>
        </w:rPr>
        <w:t>ob die Lösung wirksam war,</w:t>
      </w:r>
    </w:p>
    <w:p>
      <w:pPr>
        <w:pStyle w:val="ListBullet"/>
        <w:widowControl/>
        <w:spacing w:after="50" w:line="259" w:lineRule="auto"/>
        <w:ind w:left="369" w:hanging="170"/>
      </w:pPr>
      <w:r>
        <w:rPr>
          <w:rFonts w:ascii="Inter" w:hAnsi="Inter" w:eastAsia="Inter"/>
          <w:color w:val="182026"/>
          <w:sz w:val="18"/>
        </w:rPr>
        <w:t>ob eine Entscheidung verbessert wurde,</w:t>
      </w:r>
    </w:p>
    <w:p>
      <w:pPr>
        <w:pStyle w:val="ListBullet"/>
        <w:widowControl/>
        <w:spacing w:after="50" w:line="259" w:lineRule="auto"/>
        <w:ind w:left="369" w:hanging="170"/>
      </w:pPr>
      <w:r>
        <w:rPr>
          <w:rFonts w:ascii="Inter" w:hAnsi="Inter" w:eastAsia="Inter"/>
          <w:color w:val="182026"/>
          <w:sz w:val="18"/>
        </w:rPr>
        <w:t>ob ein Risiko vermieden wurde,</w:t>
      </w:r>
    </w:p>
    <w:p>
      <w:pPr>
        <w:pStyle w:val="ListBullet"/>
        <w:widowControl/>
        <w:spacing w:after="50" w:line="259" w:lineRule="auto"/>
        <w:ind w:left="369" w:hanging="170"/>
      </w:pPr>
      <w:r>
        <w:rPr>
          <w:rFonts w:ascii="Inter" w:hAnsi="Inter" w:eastAsia="Inter"/>
          <w:color w:val="182026"/>
          <w:sz w:val="18"/>
        </w:rPr>
        <w:t>ob eine Fähigkeit dauerhaft aufgebaut wurde,</w:t>
      </w:r>
    </w:p>
    <w:p>
      <w:pPr>
        <w:pStyle w:val="ListBullet"/>
        <w:widowControl/>
        <w:spacing w:after="50" w:line="259" w:lineRule="auto"/>
        <w:ind w:left="369" w:hanging="170"/>
      </w:pPr>
      <w:r>
        <w:rPr>
          <w:rFonts w:ascii="Inter" w:hAnsi="Inter" w:eastAsia="Inter"/>
          <w:color w:val="182026"/>
          <w:sz w:val="18"/>
        </w:rPr>
        <w:t>ob der Kunde die Leistung nutzen konnte,</w:t>
      </w:r>
    </w:p>
    <w:p>
      <w:pPr>
        <w:pStyle w:val="ListBullet"/>
        <w:widowControl/>
        <w:spacing w:after="50" w:line="259" w:lineRule="auto"/>
        <w:ind w:left="369" w:hanging="170"/>
      </w:pPr>
      <w:r>
        <w:rPr>
          <w:rFonts w:ascii="Inter" w:hAnsi="Inter" w:eastAsia="Inter"/>
          <w:color w:val="182026"/>
          <w:sz w:val="18"/>
        </w:rPr>
        <w:t>ob positive oder negative Nebenwirkungen entstanden.</w:t>
      </w:r>
    </w:p>
    <w:p>
      <w:pPr>
        <w:pStyle w:val="BodyText"/>
        <w:widowControl/>
        <w:spacing w:after="110" w:line="278" w:lineRule="auto"/>
        <w:ind w:firstLine="255"/>
      </w:pPr>
      <w:r>
        <w:rPr>
          <w:rFonts w:ascii="Inter" w:hAnsi="Inter" w:eastAsia="Inter"/>
          <w:color w:val="182026"/>
          <w:sz w:val="19"/>
        </w:rPr>
        <w:t>Die Gleichsetzung von Zeit und Wert erzeugt mehrere Fehlanreize. Effizienz kann den Umsatz des Anbieters senken. Schnelle Expertise wird geringer vergütet als langsames Lernen. Wiederverwendbares Wissen erscheint weniger wertvoll, obwohl es gerade Ausdruck hoher Kompetenz sein kann. Kunden vergleichen Tagessätze statt Problemlösung. Anbieter verteidigen Auslastung statt Wirkung. Der Preis bildet Bewegung ab, nicht Richtung.</w:t>
      </w:r>
    </w:p>
    <w:p>
      <w:pPr>
        <w:pStyle w:val="BodyText"/>
        <w:widowControl/>
        <w:spacing w:after="110" w:line="278" w:lineRule="auto"/>
        <w:ind w:firstLine="255"/>
      </w:pPr>
      <w:r>
        <w:rPr>
          <w:rFonts w:ascii="Inter" w:hAnsi="Inter" w:eastAsia="Inter"/>
          <w:color w:val="182026"/>
          <w:sz w:val="19"/>
        </w:rPr>
        <w:t>Das bedeutet nicht, dass Aufwand irrelevant ist. Aufwand bestimmt Ressourcenbedarf, Kapazität, Kosten und Lieferfähigkeit. Er gehört in die Tragfähigkeitsrechnung. Er begründet aber nicht allein den Kundenwert.</w:t>
      </w:r>
    </w:p>
    <w:p>
      <w:pPr>
        <w:pStyle w:val="Heading2"/>
        <w:widowControl/>
      </w:pPr>
      <w:r>
        <w:t>2.2 Das Effizienzparadox der Stundenvergütung</w:t>
      </w:r>
    </w:p>
    <w:p>
      <w:pPr>
        <w:pStyle w:val="BodyText"/>
        <w:widowControl/>
        <w:spacing w:after="110" w:line="276" w:lineRule="auto"/>
        <w:ind w:firstLine="255"/>
      </w:pPr>
      <w:r>
        <w:rPr>
          <w:rFonts w:ascii="Inter" w:hAnsi="Inter" w:eastAsia="Inter"/>
          <w:color w:val="182026"/>
          <w:sz w:val="19"/>
        </w:rPr>
        <w:t>Die Stundenlogik setzt Preis und Dauer gleich. Wird eine Aufgabe schneller gelöst, sinkt das Honorar. Genau darin liegt das Effizienzparadox:</w:t>
      </w:r>
    </w:p>
    <w:p>
      <w:pPr>
        <w:ind w:left="340" w:right="227"/>
        <w:widowControl/>
        <w:pBdr>
          <w:left w:val="single" w:sz="8" w:space="4" w:color="163F3D"/>
        </w:pBdr>
      </w:pPr>
      <w:r>
        <w:rPr>
          <w:rFonts w:ascii="Inter" w:hAnsi="Inter" w:eastAsia="Inter"/>
          <w:b/>
          <w:color w:val="163F3D"/>
          <w:sz w:val="20"/>
        </w:rPr>
        <w:t>Je besser ein Anbieter seine Arbeit beherrscht, desto weniger Zeit benötigt er - und desto weniger wird er in der Stundenlogik bezahlt.</w:t>
      </w:r>
    </w:p>
    <w:p>
      <w:pPr>
        <w:pStyle w:val="BodyText"/>
        <w:widowControl/>
        <w:spacing w:after="110" w:line="276" w:lineRule="auto"/>
        <w:ind w:firstLine="255"/>
      </w:pPr>
      <w:r>
        <w:rPr>
          <w:rFonts w:ascii="Inter" w:hAnsi="Inter" w:eastAsia="Inter"/>
          <w:color w:val="182026"/>
          <w:sz w:val="19"/>
        </w:rPr>
        <w:t>Das Modell belohnt nicht den Wert der Arbeit, sondern ihre Dauer. Eine Person mit Erfahrung, gutem Urteil und einer erprobten Methode kann in drei Stunden eine Entscheidung ermöglichen, für die eine andere Person dreißig Stunden benötigt. Die längere Bearbeitung ist nicht wertvoller. Sie verbraucht nur mehr Zeit.</w:t>
      </w:r>
    </w:p>
    <w:p>
      <w:pPr>
        <w:pStyle w:val="BodyText"/>
        <w:widowControl/>
        <w:spacing w:after="110" w:line="276" w:lineRule="auto"/>
        <w:ind w:firstLine="255"/>
      </w:pPr>
      <w:r>
        <w:rPr>
          <w:rFonts w:ascii="Inter" w:hAnsi="Inter" w:eastAsia="Inter"/>
          <w:color w:val="182026"/>
          <w:sz w:val="19"/>
        </w:rPr>
        <w:t>Ein einfaches Beispiel zeigt die Absurdität:</w:t>
      </w:r>
    </w:p>
    <w:tbl>
      <w:tblPr>
        <w:tblStyle w:val="TableGrid"/>
        <w:tblW w:type="auto" w:w="0"/>
        <w:jc w:val="center"/>
        <w:tblLayout w:type="fixed"/>
        <w:tblLook w:firstColumn="1" w:firstRow="1" w:lastColumn="0" w:lastRow="0" w:noHBand="0" w:noVBand="1" w:val="04A0"/>
      </w:tblPr>
      <w:tblGrid>
        <w:gridCol w:w="1643"/>
        <w:gridCol w:w="1643"/>
        <w:gridCol w:w="1643"/>
        <w:gridCol w:w="1643"/>
        <w:gridCol w:w="1643"/>
        <w:gridCol w:w="1643"/>
      </w:tblGrid>
      <w:tr>
        <w:trPr>
          <w:tblHeader w:val="true"/>
        </w:trPr>
        <w:tc>
          <w:tcPr>
            <w:tcW w:type="dxa" w:w="1440"/>
            <w:shd w:fill="163F3D"/>
            <w:tcMar>
              <w:top w:w="90" w:type="dxa"/>
              <w:start w:w="90" w:type="dxa"/>
              <w:bottom w:w="90" w:type="dxa"/>
              <w:end w:w="90" w:type="dxa"/>
            </w:tcMar>
          </w:tcPr>
          <w:p>
            <w:r>
              <w:rPr>
                <w:rFonts w:ascii="Inter" w:hAnsi="Inter" w:eastAsia="Inter"/>
                <w:b/>
                <w:color w:val="FFFFFF"/>
                <w:sz w:val="14"/>
              </w:rPr>
              <w:t>Anbieter</w:t>
            </w:r>
          </w:p>
        </w:tc>
        <w:tc>
          <w:tcPr>
            <w:tcW w:type="dxa" w:w="3096"/>
            <w:shd w:fill="163F3D"/>
            <w:tcMar>
              <w:top w:w="90" w:type="dxa"/>
              <w:start w:w="90" w:type="dxa"/>
              <w:bottom w:w="90" w:type="dxa"/>
              <w:end w:w="90" w:type="dxa"/>
            </w:tcMar>
          </w:tcPr>
          <w:p>
            <w:r>
              <w:rPr>
                <w:rFonts w:ascii="Inter" w:hAnsi="Inter" w:eastAsia="Inter"/>
                <w:b/>
                <w:color w:val="FFFFFF"/>
                <w:sz w:val="14"/>
              </w:rPr>
              <w:t>Erfahrung / Methode</w:t>
            </w:r>
          </w:p>
        </w:tc>
        <w:tc>
          <w:tcPr>
            <w:tcW w:type="dxa" w:w="792"/>
            <w:shd w:fill="163F3D"/>
            <w:tcMar>
              <w:top w:w="90" w:type="dxa"/>
              <w:start w:w="90" w:type="dxa"/>
              <w:bottom w:w="90" w:type="dxa"/>
              <w:end w:w="90" w:type="dxa"/>
            </w:tcMar>
          </w:tcPr>
          <w:p>
            <w:r>
              <w:rPr>
                <w:rFonts w:ascii="Inter" w:hAnsi="Inter" w:eastAsia="Inter"/>
                <w:b/>
                <w:color w:val="FFFFFF"/>
                <w:sz w:val="14"/>
              </w:rPr>
              <w:t>Zeit</w:t>
            </w:r>
          </w:p>
        </w:tc>
        <w:tc>
          <w:tcPr>
            <w:tcW w:type="dxa" w:w="1080"/>
            <w:shd w:fill="163F3D"/>
            <w:tcMar>
              <w:top w:w="90" w:type="dxa"/>
              <w:start w:w="90" w:type="dxa"/>
              <w:bottom w:w="90" w:type="dxa"/>
              <w:end w:w="90" w:type="dxa"/>
            </w:tcMar>
          </w:tcPr>
          <w:p>
            <w:r>
              <w:rPr>
                <w:rFonts w:ascii="Inter" w:hAnsi="Inter" w:eastAsia="Inter"/>
                <w:b/>
                <w:color w:val="FFFFFF"/>
                <w:sz w:val="14"/>
              </w:rPr>
              <w:t>Stundensatz</w:t>
            </w:r>
          </w:p>
        </w:tc>
        <w:tc>
          <w:tcPr>
            <w:tcW w:type="dxa" w:w="1224"/>
            <w:shd w:fill="163F3D"/>
            <w:tcMar>
              <w:top w:w="90" w:type="dxa"/>
              <w:start w:w="90" w:type="dxa"/>
              <w:bottom w:w="90" w:type="dxa"/>
              <w:end w:w="90" w:type="dxa"/>
            </w:tcMar>
          </w:tcPr>
          <w:p>
            <w:r>
              <w:rPr>
                <w:rFonts w:ascii="Inter" w:hAnsi="Inter" w:eastAsia="Inter"/>
                <w:b/>
                <w:color w:val="FFFFFF"/>
                <w:sz w:val="14"/>
              </w:rPr>
              <w:t>Stundenpreis</w:t>
            </w:r>
          </w:p>
        </w:tc>
        <w:tc>
          <w:tcPr>
            <w:tcW w:type="dxa" w:w="1655"/>
            <w:shd w:fill="163F3D"/>
            <w:tcMar>
              <w:top w:w="90" w:type="dxa"/>
              <w:start w:w="90" w:type="dxa"/>
              <w:bottom w:w="90" w:type="dxa"/>
              <w:end w:w="90" w:type="dxa"/>
            </w:tcMar>
          </w:tcPr>
          <w:p>
            <w:r>
              <w:rPr>
                <w:rFonts w:ascii="Inter" w:hAnsi="Inter" w:eastAsia="Inter"/>
                <w:b/>
                <w:color w:val="FFFFFF"/>
                <w:sz w:val="14"/>
              </w:rPr>
              <w:t>Ergebniswert</w:t>
            </w:r>
          </w:p>
        </w:tc>
      </w:tr>
      <w:tr>
        <w:trPr>
          <w:cantSplit/>
        </w:trPr>
        <w:tc>
          <w:tcPr>
            <w:tcW w:type="dxa" w:w="1440"/>
            <w:shd w:fill="FFFFFF"/>
            <w:tcMar>
              <w:top w:w="70" w:type="dxa"/>
              <w:start w:w="85" w:type="dxa"/>
              <w:bottom w:w="70" w:type="dxa"/>
              <w:end w:w="85" w:type="dxa"/>
            </w:tcMar>
            <w:vAlign w:val="top"/>
          </w:tcPr>
          <w:p>
            <w:pPr>
              <w:spacing w:after="0" w:line="240" w:lineRule="auto"/>
            </w:pPr>
            <w:r>
              <w:rPr>
                <w:rFonts w:ascii="Inter" w:hAnsi="Inter" w:eastAsia="Inter"/>
                <w:color w:val="182026"/>
                <w:sz w:val="14"/>
              </w:rPr>
              <w:t>A - erfahren, KI-gestützt</w:t>
            </w:r>
          </w:p>
        </w:tc>
        <w:tc>
          <w:tcPr>
            <w:tcW w:type="dxa" w:w="3096"/>
            <w:shd w:fill="FFFFFF"/>
            <w:tcMar>
              <w:top w:w="70" w:type="dxa"/>
              <w:start w:w="85" w:type="dxa"/>
              <w:bottom w:w="70" w:type="dxa"/>
              <w:end w:w="85" w:type="dxa"/>
            </w:tcMar>
            <w:vAlign w:val="top"/>
          </w:tcPr>
          <w:p>
            <w:pPr>
              <w:spacing w:after="0" w:line="240" w:lineRule="auto"/>
            </w:pPr>
            <w:r>
              <w:rPr>
                <w:rFonts w:ascii="Inter" w:hAnsi="Inter" w:eastAsia="Inter"/>
                <w:color w:val="182026"/>
                <w:sz w:val="14"/>
              </w:rPr>
              <w:t>hoch, erprobt, qualitätsgesichert</w:t>
            </w:r>
          </w:p>
        </w:tc>
        <w:tc>
          <w:tcPr>
            <w:tcW w:type="dxa" w:w="792"/>
            <w:shd w:fill="FFFFFF"/>
            <w:tcMar>
              <w:top w:w="70" w:type="dxa"/>
              <w:start w:w="85" w:type="dxa"/>
              <w:bottom w:w="70" w:type="dxa"/>
              <w:end w:w="85" w:type="dxa"/>
            </w:tcMar>
            <w:vAlign w:val="top"/>
          </w:tcPr>
          <w:p>
            <w:pPr>
              <w:spacing w:after="0" w:line="240" w:lineRule="auto"/>
            </w:pPr>
            <w:r>
              <w:rPr>
                <w:rFonts w:ascii="Inter" w:hAnsi="Inter" w:eastAsia="Inter"/>
                <w:color w:val="182026"/>
                <w:sz w:val="14"/>
              </w:rPr>
              <w:t>5 h</w:t>
            </w:r>
          </w:p>
        </w:tc>
        <w:tc>
          <w:tcPr>
            <w:tcW w:type="dxa" w:w="1080"/>
            <w:shd w:fill="FFFFFF"/>
            <w:tcMar>
              <w:top w:w="70" w:type="dxa"/>
              <w:start w:w="85" w:type="dxa"/>
              <w:bottom w:w="70" w:type="dxa"/>
              <w:end w:w="85" w:type="dxa"/>
            </w:tcMar>
            <w:vAlign w:val="top"/>
          </w:tcPr>
          <w:p>
            <w:pPr>
              <w:spacing w:after="0" w:line="240" w:lineRule="auto"/>
            </w:pPr>
            <w:r>
              <w:rPr>
                <w:rFonts w:ascii="Inter" w:hAnsi="Inter" w:eastAsia="Inter"/>
                <w:color w:val="182026"/>
                <w:sz w:val="14"/>
              </w:rPr>
              <w:t>300 €</w:t>
            </w:r>
          </w:p>
        </w:tc>
        <w:tc>
          <w:tcPr>
            <w:tcW w:type="dxa" w:w="1224"/>
            <w:shd w:fill="FFFFFF"/>
            <w:tcMar>
              <w:top w:w="70" w:type="dxa"/>
              <w:start w:w="85" w:type="dxa"/>
              <w:bottom w:w="70" w:type="dxa"/>
              <w:end w:w="85" w:type="dxa"/>
            </w:tcMar>
            <w:vAlign w:val="top"/>
          </w:tcPr>
          <w:p>
            <w:pPr>
              <w:spacing w:after="0" w:line="240" w:lineRule="auto"/>
            </w:pPr>
            <w:r>
              <w:rPr>
                <w:rFonts w:ascii="Inter" w:hAnsi="Inter" w:eastAsia="Inter"/>
                <w:color w:val="182026"/>
                <w:sz w:val="14"/>
              </w:rPr>
              <w:t>1.500 €</w:t>
            </w:r>
          </w:p>
        </w:tc>
        <w:tc>
          <w:tcPr>
            <w:tcW w:type="dxa" w:w="1655"/>
            <w:shd w:fill="FFFFFF"/>
            <w:tcMar>
              <w:top w:w="70" w:type="dxa"/>
              <w:start w:w="85" w:type="dxa"/>
              <w:bottom w:w="70" w:type="dxa"/>
              <w:end w:w="85" w:type="dxa"/>
            </w:tcMar>
            <w:vAlign w:val="top"/>
          </w:tcPr>
          <w:p>
            <w:pPr>
              <w:spacing w:after="0" w:line="240" w:lineRule="auto"/>
            </w:pPr>
            <w:r>
              <w:rPr>
                <w:rFonts w:ascii="Inter" w:hAnsi="Inter" w:eastAsia="Inter"/>
                <w:color w:val="182026"/>
                <w:sz w:val="14"/>
              </w:rPr>
              <w:t>hoch</w:t>
            </w:r>
          </w:p>
        </w:tc>
      </w:tr>
      <w:tr>
        <w:trPr>
          <w:cantSplit/>
        </w:trPr>
        <w:tc>
          <w:tcPr>
            <w:tcW w:type="dxa" w:w="1440"/>
            <w:shd w:fill="F4F6F5"/>
            <w:tcMar>
              <w:top w:w="70" w:type="dxa"/>
              <w:start w:w="85" w:type="dxa"/>
              <w:bottom w:w="70" w:type="dxa"/>
              <w:end w:w="85" w:type="dxa"/>
            </w:tcMar>
            <w:vAlign w:val="top"/>
          </w:tcPr>
          <w:p>
            <w:pPr>
              <w:spacing w:after="0" w:line="240" w:lineRule="auto"/>
            </w:pPr>
            <w:r>
              <w:rPr>
                <w:rFonts w:ascii="Inter" w:hAnsi="Inter" w:eastAsia="Inter"/>
                <w:color w:val="182026"/>
                <w:sz w:val="14"/>
              </w:rPr>
              <w:t>B - weniger erfahren</w:t>
            </w:r>
          </w:p>
        </w:tc>
        <w:tc>
          <w:tcPr>
            <w:tcW w:type="dxa" w:w="3096"/>
            <w:shd w:fill="F4F6F5"/>
            <w:tcMar>
              <w:top w:w="70" w:type="dxa"/>
              <w:start w:w="85" w:type="dxa"/>
              <w:bottom w:w="70" w:type="dxa"/>
              <w:end w:w="85" w:type="dxa"/>
            </w:tcMar>
            <w:vAlign w:val="top"/>
          </w:tcPr>
          <w:p>
            <w:pPr>
              <w:spacing w:after="0" w:line="240" w:lineRule="auto"/>
            </w:pPr>
            <w:r>
              <w:rPr>
                <w:rFonts w:ascii="Inter" w:hAnsi="Inter" w:eastAsia="Inter"/>
                <w:color w:val="182026"/>
                <w:sz w:val="14"/>
              </w:rPr>
              <w:t>geringere Musterkenntnis, mehr Schleifen</w:t>
            </w:r>
          </w:p>
        </w:tc>
        <w:tc>
          <w:tcPr>
            <w:tcW w:type="dxa" w:w="792"/>
            <w:shd w:fill="F4F6F5"/>
            <w:tcMar>
              <w:top w:w="70" w:type="dxa"/>
              <w:start w:w="85" w:type="dxa"/>
              <w:bottom w:w="70" w:type="dxa"/>
              <w:end w:w="85" w:type="dxa"/>
            </w:tcMar>
            <w:vAlign w:val="top"/>
          </w:tcPr>
          <w:p>
            <w:pPr>
              <w:spacing w:after="0" w:line="240" w:lineRule="auto"/>
            </w:pPr>
            <w:r>
              <w:rPr>
                <w:rFonts w:ascii="Inter" w:hAnsi="Inter" w:eastAsia="Inter"/>
                <w:color w:val="182026"/>
                <w:sz w:val="14"/>
              </w:rPr>
              <w:t>30 h</w:t>
            </w:r>
          </w:p>
        </w:tc>
        <w:tc>
          <w:tcPr>
            <w:tcW w:type="dxa" w:w="1080"/>
            <w:shd w:fill="F4F6F5"/>
            <w:tcMar>
              <w:top w:w="70" w:type="dxa"/>
              <w:start w:w="85" w:type="dxa"/>
              <w:bottom w:w="70" w:type="dxa"/>
              <w:end w:w="85" w:type="dxa"/>
            </w:tcMar>
            <w:vAlign w:val="top"/>
          </w:tcPr>
          <w:p>
            <w:pPr>
              <w:spacing w:after="0" w:line="240" w:lineRule="auto"/>
            </w:pPr>
            <w:r>
              <w:rPr>
                <w:rFonts w:ascii="Inter" w:hAnsi="Inter" w:eastAsia="Inter"/>
                <w:color w:val="182026"/>
                <w:sz w:val="14"/>
              </w:rPr>
              <w:t>180 €</w:t>
            </w:r>
          </w:p>
        </w:tc>
        <w:tc>
          <w:tcPr>
            <w:tcW w:type="dxa" w:w="1224"/>
            <w:shd w:fill="F4F6F5"/>
            <w:tcMar>
              <w:top w:w="70" w:type="dxa"/>
              <w:start w:w="85" w:type="dxa"/>
              <w:bottom w:w="70" w:type="dxa"/>
              <w:end w:w="85" w:type="dxa"/>
            </w:tcMar>
            <w:vAlign w:val="top"/>
          </w:tcPr>
          <w:p>
            <w:pPr>
              <w:spacing w:after="0" w:line="240" w:lineRule="auto"/>
            </w:pPr>
            <w:r>
              <w:rPr>
                <w:rFonts w:ascii="Inter" w:hAnsi="Inter" w:eastAsia="Inter"/>
                <w:color w:val="182026"/>
                <w:sz w:val="14"/>
              </w:rPr>
              <w:t>5.400 €</w:t>
            </w:r>
          </w:p>
        </w:tc>
        <w:tc>
          <w:tcPr>
            <w:tcW w:type="dxa" w:w="1655"/>
            <w:shd w:fill="F4F6F5"/>
            <w:tcMar>
              <w:top w:w="70" w:type="dxa"/>
              <w:start w:w="85" w:type="dxa"/>
              <w:bottom w:w="70" w:type="dxa"/>
              <w:end w:w="85" w:type="dxa"/>
            </w:tcMar>
            <w:vAlign w:val="top"/>
          </w:tcPr>
          <w:p>
            <w:pPr>
              <w:spacing w:after="0" w:line="240" w:lineRule="auto"/>
            </w:pPr>
            <w:r>
              <w:rPr>
                <w:rFonts w:ascii="Inter" w:hAnsi="Inter" w:eastAsia="Inter"/>
                <w:color w:val="182026"/>
                <w:sz w:val="14"/>
              </w:rPr>
              <w:t>gleich oder geringer</w:t>
            </w:r>
          </w:p>
        </w:tc>
      </w:tr>
      <w:tr>
        <w:trPr>
          <w:cantSplit/>
        </w:trPr>
        <w:tc>
          <w:tcPr>
            <w:tcW w:type="dxa" w:w="1440"/>
            <w:shd w:fill="FFFFFF"/>
            <w:tcMar>
              <w:top w:w="70" w:type="dxa"/>
              <w:start w:w="85" w:type="dxa"/>
              <w:bottom w:w="70" w:type="dxa"/>
              <w:end w:w="85" w:type="dxa"/>
            </w:tcMar>
            <w:vAlign w:val="top"/>
          </w:tcPr>
          <w:p>
            <w:pPr>
              <w:spacing w:after="0" w:line="240" w:lineRule="auto"/>
            </w:pPr>
            <w:r>
              <w:rPr>
                <w:rFonts w:ascii="Inter" w:hAnsi="Inter" w:eastAsia="Inter"/>
                <w:color w:val="182026"/>
                <w:sz w:val="14"/>
              </w:rPr>
              <w:t>Folge der Stundenlogik</w:t>
            </w:r>
          </w:p>
        </w:tc>
        <w:tc>
          <w:tcPr>
            <w:tcW w:type="dxa" w:w="3096"/>
            <w:shd w:fill="FFFFFF"/>
            <w:tcMar>
              <w:top w:w="70" w:type="dxa"/>
              <w:start w:w="85" w:type="dxa"/>
              <w:bottom w:w="70" w:type="dxa"/>
              <w:end w:w="85" w:type="dxa"/>
            </w:tcMar>
            <w:vAlign w:val="top"/>
          </w:tcPr>
          <w:p>
            <w:pPr>
              <w:spacing w:after="0" w:line="240" w:lineRule="auto"/>
            </w:pPr>
            <w:r>
              <w:rPr>
                <w:rFonts w:ascii="Inter" w:hAnsi="Inter" w:eastAsia="Inter"/>
                <w:color w:val="182026"/>
                <w:sz w:val="14"/>
              </w:rPr>
              <w:t>langsame Leistung wird höher vergütet</w:t>
            </w:r>
          </w:p>
        </w:tc>
        <w:tc>
          <w:tcPr>
            <w:tcW w:type="dxa" w:w="792"/>
            <w:shd w:fill="FFFFFF"/>
            <w:tcMar>
              <w:top w:w="70" w:type="dxa"/>
              <w:start w:w="85" w:type="dxa"/>
              <w:bottom w:w="70" w:type="dxa"/>
              <w:end w:w="85" w:type="dxa"/>
            </w:tcMar>
            <w:vAlign w:val="top"/>
          </w:tcPr>
          <w:p>
            <w:pPr>
              <w:spacing w:after="0" w:line="240" w:lineRule="auto"/>
            </w:pPr>
            <w:r>
              <w:rPr>
                <w:rFonts w:ascii="Inter" w:hAnsi="Inter" w:eastAsia="Inter"/>
                <w:color w:val="182026"/>
                <w:sz w:val="14"/>
              </w:rPr>
              <w:t>-</w:t>
            </w:r>
          </w:p>
        </w:tc>
        <w:tc>
          <w:tcPr>
            <w:tcW w:type="dxa" w:w="1080"/>
            <w:shd w:fill="FFFFFF"/>
            <w:tcMar>
              <w:top w:w="70" w:type="dxa"/>
              <w:start w:w="85" w:type="dxa"/>
              <w:bottom w:w="70" w:type="dxa"/>
              <w:end w:w="85" w:type="dxa"/>
            </w:tcMar>
            <w:vAlign w:val="top"/>
          </w:tcPr>
          <w:p>
            <w:pPr>
              <w:spacing w:after="0" w:line="240" w:lineRule="auto"/>
            </w:pPr>
            <w:r>
              <w:rPr>
                <w:rFonts w:ascii="Inter" w:hAnsi="Inter" w:eastAsia="Inter"/>
                <w:color w:val="182026"/>
                <w:sz w:val="14"/>
              </w:rPr>
              <w:t>-</w:t>
            </w:r>
          </w:p>
        </w:tc>
        <w:tc>
          <w:tcPr>
            <w:tcW w:type="dxa" w:w="1224"/>
            <w:shd w:fill="FFFFFF"/>
            <w:tcMar>
              <w:top w:w="70" w:type="dxa"/>
              <w:start w:w="85" w:type="dxa"/>
              <w:bottom w:w="70" w:type="dxa"/>
              <w:end w:w="85" w:type="dxa"/>
            </w:tcMar>
            <w:vAlign w:val="top"/>
          </w:tcPr>
          <w:p>
            <w:pPr>
              <w:spacing w:after="0" w:line="240" w:lineRule="auto"/>
            </w:pPr>
            <w:r>
              <w:rPr>
                <w:rFonts w:ascii="Inter" w:hAnsi="Inter" w:eastAsia="Inter"/>
                <w:color w:val="182026"/>
                <w:sz w:val="14"/>
              </w:rPr>
              <w:t>+260 %</w:t>
            </w:r>
          </w:p>
        </w:tc>
        <w:tc>
          <w:tcPr>
            <w:tcW w:type="dxa" w:w="1655"/>
            <w:shd w:fill="FFFFFF"/>
            <w:tcMar>
              <w:top w:w="70" w:type="dxa"/>
              <w:start w:w="85" w:type="dxa"/>
              <w:bottom w:w="70" w:type="dxa"/>
              <w:end w:w="85" w:type="dxa"/>
            </w:tcMar>
            <w:vAlign w:val="top"/>
          </w:tcPr>
          <w:p>
            <w:pPr>
              <w:spacing w:after="0" w:line="240" w:lineRule="auto"/>
            </w:pPr>
            <w:r>
              <w:rPr>
                <w:rFonts w:ascii="Inter" w:hAnsi="Inter" w:eastAsia="Inter"/>
                <w:color w:val="182026"/>
                <w:sz w:val="14"/>
              </w:rPr>
              <w:t>kein zusätzlicher Kundenwert</w:t>
            </w:r>
          </w:p>
        </w:tc>
      </w:tr>
    </w:tbl>
    <w:p>
      <w:pPr>
        <w:widowControl/>
      </w:pPr>
    </w:p>
    <w:p>
      <w:pPr>
        <w:pStyle w:val="BodyText"/>
        <w:widowControl/>
        <w:spacing w:after="110" w:line="276" w:lineRule="auto"/>
        <w:ind w:firstLine="255"/>
      </w:pPr>
      <w:r>
        <w:rPr>
          <w:rFonts w:ascii="Inter" w:hAnsi="Inter" w:eastAsia="Inter"/>
          <w:color w:val="182026"/>
          <w:sz w:val="19"/>
        </w:rPr>
        <w:t>Die Tabelle bedeutet nicht, dass jede Expertin automatisch 12.000 Euro verlangen sollte. Sie zeigt nur, dass der Zeitpreis keine Antwort auf die Wertfrage liefert. Der Preis muss aus Kundenwert, Alternative, Risiko, Qualität und Fairness begründet werden.</w:t>
      </w:r>
    </w:p>
    <w:p>
      <w:pPr>
        <w:pStyle w:val="Heading2"/>
        <w:widowControl/>
      </w:pPr>
      <w:r>
        <w:t>2.3 Erfahrung ist verdichtete Vorleistung</w:t>
      </w:r>
    </w:p>
    <w:p>
      <w:pPr>
        <w:pStyle w:val="BodyText"/>
        <w:widowControl/>
        <w:spacing w:after="110" w:line="276" w:lineRule="auto"/>
        <w:ind w:firstLine="255"/>
      </w:pPr>
      <w:r>
        <w:rPr>
          <w:rFonts w:ascii="Inter" w:hAnsi="Inter" w:eastAsia="Inter"/>
          <w:color w:val="182026"/>
          <w:sz w:val="19"/>
        </w:rPr>
        <w:t>Wenn eine Expertin schnell arbeitet, entsteht diese Geschwindigkeit nicht aus dem Nichts. In ihr stecken:</w:t>
      </w:r>
    </w:p>
    <w:p>
      <w:pPr>
        <w:pStyle w:val="ListBullet"/>
        <w:widowControl/>
        <w:spacing w:after="50" w:line="259" w:lineRule="auto"/>
        <w:ind w:left="369" w:hanging="170"/>
      </w:pPr>
      <w:r>
        <w:rPr>
          <w:rFonts w:ascii="Inter" w:hAnsi="Inter" w:eastAsia="Inter"/>
          <w:color w:val="182026"/>
          <w:sz w:val="18"/>
        </w:rPr>
        <w:t>Jahre der Ausbildung und Praxis,</w:t>
      </w:r>
    </w:p>
    <w:p>
      <w:pPr>
        <w:pStyle w:val="ListBullet"/>
        <w:widowControl/>
        <w:spacing w:after="50" w:line="259" w:lineRule="auto"/>
        <w:ind w:left="369" w:hanging="170"/>
      </w:pPr>
      <w:r>
        <w:rPr>
          <w:rFonts w:ascii="Inter" w:hAnsi="Inter" w:eastAsia="Inter"/>
          <w:color w:val="182026"/>
          <w:sz w:val="18"/>
        </w:rPr>
        <w:t>gescheiterte Versuche und gelernte Muster,</w:t>
      </w:r>
    </w:p>
    <w:p>
      <w:pPr>
        <w:pStyle w:val="ListBullet"/>
        <w:widowControl/>
        <w:spacing w:after="50" w:line="259" w:lineRule="auto"/>
        <w:ind w:left="369" w:hanging="170"/>
      </w:pPr>
      <w:r>
        <w:rPr>
          <w:rFonts w:ascii="Inter" w:hAnsi="Inter" w:eastAsia="Inter"/>
          <w:color w:val="182026"/>
          <w:sz w:val="18"/>
        </w:rPr>
        <w:t>Methodenentwicklung und Standardisierung,</w:t>
      </w:r>
    </w:p>
    <w:p>
      <w:pPr>
        <w:pStyle w:val="ListBullet"/>
        <w:widowControl/>
        <w:spacing w:after="50" w:line="259" w:lineRule="auto"/>
        <w:ind w:left="369" w:hanging="170"/>
      </w:pPr>
      <w:r>
        <w:rPr>
          <w:rFonts w:ascii="Inter" w:hAnsi="Inter" w:eastAsia="Inter"/>
          <w:color w:val="182026"/>
          <w:sz w:val="18"/>
        </w:rPr>
        <w:t>Branchen- und Kontextwissen,</w:t>
      </w:r>
    </w:p>
    <w:p>
      <w:pPr>
        <w:pStyle w:val="ListBullet"/>
        <w:widowControl/>
        <w:spacing w:after="50" w:line="259" w:lineRule="auto"/>
        <w:ind w:left="369" w:hanging="170"/>
      </w:pPr>
      <w:r>
        <w:rPr>
          <w:rFonts w:ascii="Inter" w:hAnsi="Inter" w:eastAsia="Inter"/>
          <w:color w:val="182026"/>
          <w:sz w:val="18"/>
        </w:rPr>
        <w:t>Netzwerke und Datenzugänge,</w:t>
      </w:r>
    </w:p>
    <w:p>
      <w:pPr>
        <w:pStyle w:val="ListBullet"/>
        <w:widowControl/>
        <w:spacing w:after="50" w:line="259" w:lineRule="auto"/>
        <w:ind w:left="369" w:hanging="170"/>
      </w:pPr>
      <w:r>
        <w:rPr>
          <w:rFonts w:ascii="Inter" w:hAnsi="Inter" w:eastAsia="Inter"/>
          <w:color w:val="182026"/>
          <w:sz w:val="18"/>
        </w:rPr>
        <w:t>investierte Werkzeuge und Infrastruktur,</w:t>
      </w:r>
    </w:p>
    <w:p>
      <w:pPr>
        <w:pStyle w:val="ListBullet"/>
        <w:widowControl/>
        <w:spacing w:after="50" w:line="259" w:lineRule="auto"/>
        <w:ind w:left="369" w:hanging="170"/>
      </w:pPr>
      <w:r>
        <w:rPr>
          <w:rFonts w:ascii="Inter" w:hAnsi="Inter" w:eastAsia="Inter"/>
          <w:color w:val="182026"/>
          <w:sz w:val="18"/>
        </w:rPr>
        <w:t>Urteilsfähigkeit und Verantwortung,</w:t>
      </w:r>
    </w:p>
    <w:p>
      <w:pPr>
        <w:pStyle w:val="ListBullet"/>
        <w:widowControl/>
        <w:spacing w:after="50" w:line="259" w:lineRule="auto"/>
        <w:ind w:left="369" w:hanging="170"/>
      </w:pPr>
      <w:r>
        <w:rPr>
          <w:rFonts w:ascii="Inter" w:hAnsi="Inter" w:eastAsia="Inter"/>
          <w:color w:val="182026"/>
          <w:sz w:val="18"/>
        </w:rPr>
        <w:t>Fähigkeit, Fehler früh zu erkennen und zu vermeiden.</w:t>
      </w:r>
    </w:p>
    <w:p>
      <w:pPr>
        <w:pStyle w:val="BodyText"/>
        <w:widowControl/>
        <w:spacing w:after="110" w:line="276" w:lineRule="auto"/>
        <w:ind w:firstLine="255"/>
      </w:pPr>
      <w:r>
        <w:rPr>
          <w:rFonts w:ascii="Inter" w:hAnsi="Inter" w:eastAsia="Inter"/>
          <w:color w:val="182026"/>
          <w:sz w:val="19"/>
        </w:rPr>
        <w:t>Die sichtbare Projektzeit ist nur die letzte Phase einer langen Wissensakkumulation. Ein Stundenmodell blendet diese Vorleistung aus. Es behandelt die verdichtete Erfahrung wie nicht geleistete Arbeit.</w:t>
      </w:r>
    </w:p>
    <w:p>
      <w:pPr>
        <w:pStyle w:val="BodyText"/>
        <w:widowControl/>
        <w:spacing w:after="110" w:line="276" w:lineRule="auto"/>
        <w:ind w:firstLine="255"/>
      </w:pPr>
      <w:r>
        <w:rPr>
          <w:rFonts w:ascii="Inter" w:hAnsi="Inter" w:eastAsia="Inter"/>
          <w:color w:val="182026"/>
          <w:sz w:val="19"/>
        </w:rPr>
        <w:t>Das ist kein Argument für beliebige Expertenpreise. Es ist ein Argument dafür, die Leistung an der erzeugten Veränderung und nicht an der sichtbaren Bearbeitungsdauer zu messen.</w:t>
      </w:r>
    </w:p>
    <w:p>
      <w:pPr>
        <w:pStyle w:val="Heading2"/>
        <w:widowControl/>
      </w:pPr>
      <w:r>
        <w:t>2.4 KI und moderne Werkzeuge verschärfen das Paradox</w:t>
      </w:r>
    </w:p>
    <w:p>
      <w:pPr>
        <w:pStyle w:val="BodyText"/>
        <w:widowControl/>
        <w:spacing w:after="110" w:line="276" w:lineRule="auto"/>
        <w:ind w:firstLine="255"/>
      </w:pPr>
      <w:r>
        <w:rPr>
          <w:rFonts w:ascii="Inter" w:hAnsi="Inter" w:eastAsia="Inter"/>
          <w:color w:val="182026"/>
          <w:sz w:val="19"/>
        </w:rPr>
        <w:t>Künstliche Intelligenz, Automatisierung, Datenbanken, Templates und wiederverwendbare Softwarebausteine können Arbeit stark beschleunigen. Eine Analyse, die früher dreißig Stunden dauerte, kann heute vielleicht in fünf Stunden erstellt, geprüft und angepasst werden. Daraus folgt nicht automatisch, dass ihr Wert auf ein Sechstel fällt.</w:t>
      </w:r>
    </w:p>
    <w:p>
      <w:pPr>
        <w:pStyle w:val="BodyText"/>
        <w:widowControl/>
        <w:spacing w:after="110" w:line="276" w:lineRule="auto"/>
        <w:ind w:firstLine="255"/>
      </w:pPr>
      <w:r>
        <w:rPr>
          <w:rFonts w:ascii="Inter" w:hAnsi="Inter" w:eastAsia="Inter"/>
          <w:color w:val="182026"/>
          <w:sz w:val="19"/>
        </w:rPr>
        <w:t>Der Wert kann gleich bleiben oder sogar steigen, wenn:</w:t>
      </w:r>
    </w:p>
    <w:p>
      <w:pPr>
        <w:pStyle w:val="ListBullet"/>
        <w:widowControl/>
        <w:spacing w:after="50" w:line="259" w:lineRule="auto"/>
        <w:ind w:left="369" w:hanging="170"/>
      </w:pPr>
      <w:r>
        <w:rPr>
          <w:rFonts w:ascii="Inter" w:hAnsi="Inter" w:eastAsia="Inter"/>
          <w:color w:val="182026"/>
          <w:sz w:val="18"/>
        </w:rPr>
        <w:t>die Entscheidung früher getroffen werden kann,</w:t>
      </w:r>
    </w:p>
    <w:p>
      <w:pPr>
        <w:pStyle w:val="ListBullet"/>
        <w:widowControl/>
        <w:spacing w:after="50" w:line="259" w:lineRule="auto"/>
        <w:ind w:left="369" w:hanging="170"/>
      </w:pPr>
      <w:r>
        <w:rPr>
          <w:rFonts w:ascii="Inter" w:hAnsi="Inter" w:eastAsia="Inter"/>
          <w:color w:val="182026"/>
          <w:sz w:val="18"/>
        </w:rPr>
        <w:t>mehr Varianten geprüft werden,</w:t>
      </w:r>
    </w:p>
    <w:p>
      <w:pPr>
        <w:pStyle w:val="ListBullet"/>
        <w:widowControl/>
        <w:spacing w:after="50" w:line="259" w:lineRule="auto"/>
        <w:ind w:left="369" w:hanging="170"/>
      </w:pPr>
      <w:r>
        <w:rPr>
          <w:rFonts w:ascii="Inter" w:hAnsi="Inter" w:eastAsia="Inter"/>
          <w:color w:val="182026"/>
          <w:sz w:val="18"/>
        </w:rPr>
        <w:t>Fehler schneller erkannt werden,</w:t>
      </w:r>
    </w:p>
    <w:p>
      <w:pPr>
        <w:pStyle w:val="ListBullet"/>
        <w:widowControl/>
        <w:spacing w:after="50" w:line="259" w:lineRule="auto"/>
        <w:ind w:left="369" w:hanging="170"/>
      </w:pPr>
      <w:r>
        <w:rPr>
          <w:rFonts w:ascii="Inter" w:hAnsi="Inter" w:eastAsia="Inter"/>
          <w:color w:val="182026"/>
          <w:sz w:val="18"/>
        </w:rPr>
        <w:t>Qualität und Konsistenz steigen,</w:t>
      </w:r>
    </w:p>
    <w:p>
      <w:pPr>
        <w:pStyle w:val="ListBullet"/>
        <w:widowControl/>
        <w:spacing w:after="50" w:line="259" w:lineRule="auto"/>
        <w:ind w:left="369" w:hanging="170"/>
      </w:pPr>
      <w:r>
        <w:rPr>
          <w:rFonts w:ascii="Inter" w:hAnsi="Inter" w:eastAsia="Inter"/>
          <w:color w:val="182026"/>
          <w:sz w:val="18"/>
        </w:rPr>
        <w:t>der Kunde früher in Umsetzung und Lernen kommt,</w:t>
      </w:r>
    </w:p>
    <w:p>
      <w:pPr>
        <w:pStyle w:val="ListBullet"/>
        <w:widowControl/>
        <w:spacing w:after="50" w:line="259" w:lineRule="auto"/>
        <w:ind w:left="369" w:hanging="170"/>
      </w:pPr>
      <w:r>
        <w:rPr>
          <w:rFonts w:ascii="Inter" w:hAnsi="Inter" w:eastAsia="Inter"/>
          <w:color w:val="182026"/>
          <w:sz w:val="18"/>
        </w:rPr>
        <w:t>das Ergebnis besser dokumentiert und wiederverwendbar ist.</w:t>
      </w:r>
    </w:p>
    <w:p>
      <w:pPr>
        <w:pStyle w:val="BodyText"/>
        <w:widowControl/>
        <w:spacing w:after="110" w:line="276" w:lineRule="auto"/>
        <w:ind w:firstLine="255"/>
      </w:pPr>
      <w:r>
        <w:rPr>
          <w:rFonts w:ascii="Inter" w:hAnsi="Inter" w:eastAsia="Inter"/>
          <w:color w:val="182026"/>
          <w:sz w:val="19"/>
        </w:rPr>
        <w:t>Gleichzeitig darf KI nicht als unsichtbare Margenmaschine missbraucht werden. Ein verantwortbares WVP-Modell berücksichtigt:</w:t>
      </w:r>
    </w:p>
    <w:p>
      <w:pPr>
        <w:pStyle w:val="ListBullet"/>
        <w:widowControl/>
        <w:spacing w:after="50" w:line="259" w:lineRule="auto"/>
        <w:ind w:left="369" w:hanging="170"/>
      </w:pPr>
      <w:r>
        <w:rPr>
          <w:rFonts w:ascii="Inter" w:hAnsi="Inter" w:eastAsia="Inter"/>
          <w:color w:val="182026"/>
          <w:sz w:val="18"/>
        </w:rPr>
        <w:t>Kosten für Werkzeuge, Daten, Lizenzen und Infrastruktur,</w:t>
      </w:r>
    </w:p>
    <w:p>
      <w:pPr>
        <w:pStyle w:val="ListBullet"/>
        <w:widowControl/>
        <w:spacing w:after="50" w:line="259" w:lineRule="auto"/>
        <w:ind w:left="369" w:hanging="170"/>
      </w:pPr>
      <w:r>
        <w:rPr>
          <w:rFonts w:ascii="Inter" w:hAnsi="Inter" w:eastAsia="Inter"/>
          <w:color w:val="182026"/>
          <w:sz w:val="18"/>
        </w:rPr>
        <w:t>Aufwand für Prompting, Review, Validierung und Qualitätskontrolle,</w:t>
      </w:r>
    </w:p>
    <w:p>
      <w:pPr>
        <w:pStyle w:val="ListBullet"/>
        <w:widowControl/>
        <w:spacing w:after="50" w:line="259" w:lineRule="auto"/>
        <w:ind w:left="369" w:hanging="170"/>
      </w:pPr>
      <w:r>
        <w:rPr>
          <w:rFonts w:ascii="Inter" w:hAnsi="Inter" w:eastAsia="Inter"/>
          <w:color w:val="182026"/>
          <w:sz w:val="18"/>
        </w:rPr>
        <w:t>Datenschutz, Urheberrecht, Sicherheit und Haftung,</w:t>
      </w:r>
    </w:p>
    <w:p>
      <w:pPr>
        <w:pStyle w:val="ListBullet"/>
        <w:widowControl/>
        <w:spacing w:after="50" w:line="259" w:lineRule="auto"/>
        <w:ind w:left="369" w:hanging="170"/>
      </w:pPr>
      <w:r>
        <w:rPr>
          <w:rFonts w:ascii="Inter" w:hAnsi="Inter" w:eastAsia="Inter"/>
          <w:color w:val="182026"/>
          <w:sz w:val="18"/>
        </w:rPr>
        <w:t>mögliche Fehler, Bias und Halluzinationen,</w:t>
      </w:r>
    </w:p>
    <w:p>
      <w:pPr>
        <w:pStyle w:val="ListBullet"/>
        <w:widowControl/>
        <w:spacing w:after="50" w:line="259" w:lineRule="auto"/>
        <w:ind w:left="369" w:hanging="170"/>
      </w:pPr>
      <w:r>
        <w:rPr>
          <w:rFonts w:ascii="Inter" w:hAnsi="Inter" w:eastAsia="Inter"/>
          <w:color w:val="182026"/>
          <w:sz w:val="18"/>
        </w:rPr>
        <w:t>den Anteil der Aufgabe, der tatsächlich automatisiert wurde,</w:t>
      </w:r>
    </w:p>
    <w:p>
      <w:pPr>
        <w:pStyle w:val="ListBullet"/>
        <w:widowControl/>
        <w:spacing w:after="50" w:line="259" w:lineRule="auto"/>
        <w:ind w:left="369" w:hanging="170"/>
      </w:pPr>
      <w:r>
        <w:rPr>
          <w:rFonts w:ascii="Inter" w:hAnsi="Inter" w:eastAsia="Inter"/>
          <w:color w:val="182026"/>
          <w:sz w:val="18"/>
        </w:rPr>
        <w:t>den veränderten Markt und die nächste Alternative.</w:t>
      </w:r>
    </w:p>
    <w:p>
      <w:pPr>
        <w:pStyle w:val="BodyText"/>
        <w:widowControl/>
        <w:spacing w:after="110" w:line="276" w:lineRule="auto"/>
        <w:ind w:firstLine="255"/>
      </w:pPr>
      <w:r>
        <w:rPr>
          <w:rFonts w:ascii="Inter" w:hAnsi="Inter" w:eastAsia="Inter"/>
          <w:color w:val="182026"/>
          <w:sz w:val="19"/>
        </w:rPr>
        <w:t>Wenn KI eine Leistung zur leicht verfügbaren Standardware macht, kann auch der Kundenwert oder die Wertgrenze sinken. Entscheidend ist nicht, dass der Anbieter ein Werkzeug benutzt, sondern welche differenzierte Veränderung er noch erzeugt.</w:t>
      </w:r>
    </w:p>
    <w:p>
      <w:pPr>
        <w:pStyle w:val="Heading2"/>
        <w:widowControl/>
      </w:pPr>
      <w:r>
        <w:t>2.5 Produktivitätsgewinne fair teilen</w:t>
      </w:r>
    </w:p>
    <w:p>
      <w:pPr>
        <w:pStyle w:val="BodyText"/>
        <w:widowControl/>
        <w:spacing w:after="110" w:line="276" w:lineRule="auto"/>
        <w:ind w:firstLine="255"/>
      </w:pPr>
      <w:r>
        <w:rPr>
          <w:rFonts w:ascii="Inter" w:hAnsi="Inter" w:eastAsia="Inter"/>
          <w:color w:val="182026"/>
          <w:sz w:val="19"/>
        </w:rPr>
        <w:t>WVP schützt den Anbieter davor, für Effizienz bestraft zu werden. Es schützt ebenso den Kunden davor, dass jede Kostensenkung vollständig als zusätzliche Marge beim Anbieter bleibt. Die faire Frage lautet:</w:t>
      </w:r>
    </w:p>
    <w:p>
      <w:pPr>
        <w:ind w:left="340" w:right="227"/>
        <w:widowControl/>
        <w:pBdr>
          <w:left w:val="single" w:sz="8" w:space="4" w:color="163F3D"/>
        </w:pBdr>
      </w:pPr>
      <w:r>
        <w:rPr>
          <w:rFonts w:ascii="Inter" w:hAnsi="Inter" w:eastAsia="Inter"/>
          <w:b/>
          <w:color w:val="163F3D"/>
          <w:sz w:val="20"/>
        </w:rPr>
        <w:t>Wie wird der durch Erfahrung, Methode und Technologie entstehende Produktivitätsgewinn zwischen Kunde und Anbieter verteilt?</w:t>
      </w:r>
    </w:p>
    <w:p>
      <w:pPr>
        <w:pStyle w:val="BodyText"/>
        <w:widowControl/>
        <w:spacing w:after="110" w:line="276" w:lineRule="auto"/>
        <w:ind w:firstLine="255"/>
      </w:pPr>
      <w:r>
        <w:rPr>
          <w:rFonts w:ascii="Inter" w:hAnsi="Inter" w:eastAsia="Inter"/>
          <w:color w:val="182026"/>
          <w:sz w:val="19"/>
        </w:rPr>
        <w:t>Ein fairer Mechanismus kann so aussehen:</w:t>
      </w:r>
    </w:p>
    <w:p>
      <w:pPr>
        <w:pStyle w:val="ListBullet"/>
        <w:widowControl/>
        <w:spacing w:after="50" w:line="259" w:lineRule="auto"/>
        <w:ind w:left="369" w:hanging="170"/>
      </w:pPr>
      <w:r>
        <w:rPr>
          <w:rFonts w:ascii="Inter" w:hAnsi="Inter" w:eastAsia="Inter"/>
          <w:color w:val="182026"/>
          <w:sz w:val="18"/>
        </w:rPr>
        <w:t>Der Kunde erhält schnellere Lieferung und einen Preis deutlich unter seinem zurechenbaren Wert.</w:t>
      </w:r>
    </w:p>
    <w:p>
      <w:pPr>
        <w:pStyle w:val="ListBullet"/>
        <w:widowControl/>
        <w:spacing w:after="50" w:line="259" w:lineRule="auto"/>
        <w:ind w:left="369" w:hanging="170"/>
      </w:pPr>
      <w:r>
        <w:rPr>
          <w:rFonts w:ascii="Inter" w:hAnsi="Inter" w:eastAsia="Inter"/>
          <w:color w:val="182026"/>
          <w:sz w:val="18"/>
        </w:rPr>
        <w:t>Der Anbieter erhält mehr als seine reine Zeit- und Kostenvergütung, weil er Wissen, Methode und Risiko einbringt.</w:t>
      </w:r>
    </w:p>
    <w:p>
      <w:pPr>
        <w:pStyle w:val="ListBullet"/>
        <w:widowControl/>
        <w:spacing w:after="50" w:line="259" w:lineRule="auto"/>
        <w:ind w:left="369" w:hanging="170"/>
      </w:pPr>
      <w:r>
        <w:rPr>
          <w:rFonts w:ascii="Inter" w:hAnsi="Inter" w:eastAsia="Inter"/>
          <w:color w:val="182026"/>
          <w:sz w:val="18"/>
        </w:rPr>
        <w:t>Ein Teil der Effizienzgewinne fließt in Qualitätskontrolle, Weiterbildung und Weiterentwicklung.</w:t>
      </w:r>
    </w:p>
    <w:p>
      <w:pPr>
        <w:pStyle w:val="ListBullet"/>
        <w:widowControl/>
        <w:spacing w:after="50" w:line="259" w:lineRule="auto"/>
        <w:ind w:left="369" w:hanging="170"/>
      </w:pPr>
      <w:r>
        <w:rPr>
          <w:rFonts w:ascii="Inter" w:hAnsi="Inter" w:eastAsia="Inter"/>
          <w:color w:val="182026"/>
          <w:sz w:val="18"/>
        </w:rPr>
        <w:t>Bei wiederkehrenden Leistungen kann der Preis mit wachsender Standardisierung sinken, ohne proportional zur Zeit zu fallen.</w:t>
      </w:r>
    </w:p>
    <w:p>
      <w:pPr>
        <w:pStyle w:val="ListBullet"/>
        <w:widowControl/>
        <w:spacing w:after="50" w:line="259" w:lineRule="auto"/>
        <w:ind w:left="369" w:hanging="170"/>
      </w:pPr>
      <w:r>
        <w:rPr>
          <w:rFonts w:ascii="Inter" w:hAnsi="Inter" w:eastAsia="Inter"/>
          <w:color w:val="182026"/>
          <w:sz w:val="18"/>
        </w:rPr>
        <w:t>Transparenz bezieht sich auf Wertlogik und Leistungsversprechen, nicht zwingend auf jede interne Kostenposition.</w:t>
      </w:r>
    </w:p>
    <w:p>
      <w:pPr>
        <w:pStyle w:val="BodyText"/>
        <w:widowControl/>
        <w:spacing w:after="110" w:line="276" w:lineRule="auto"/>
        <w:ind w:firstLine="255"/>
      </w:pPr>
      <w:r>
        <w:rPr>
          <w:rFonts w:ascii="Inter" w:hAnsi="Inter" w:eastAsia="Inter"/>
          <w:color w:val="182026"/>
          <w:sz w:val="19"/>
        </w:rPr>
        <w:t>Die Wertteilung muss insbesondere Machtasymmetrien berücksichtigen. Ein großer Kunde darf einen kleinen Anbieter nicht zwingen, sämtliche Innovationsgewinne weiterzugeben und gleichzeitig alle Ergebnisrisiken zu tragen.</w:t>
      </w:r>
    </w:p>
    <w:p>
      <w:pPr>
        <w:pStyle w:val="Heading2"/>
        <w:widowControl/>
      </w:pPr>
      <w:r>
        <w:t>2.6 Der Kunde kauft keine Anstrengung</w:t>
      </w:r>
    </w:p>
    <w:p>
      <w:pPr>
        <w:pStyle w:val="BodyText"/>
        <w:widowControl/>
        <w:spacing w:after="110" w:line="276" w:lineRule="auto"/>
        <w:ind w:firstLine="255"/>
      </w:pPr>
      <w:r>
        <w:rPr>
          <w:rFonts w:ascii="Inter" w:hAnsi="Inter" w:eastAsia="Inter"/>
          <w:color w:val="182026"/>
          <w:sz w:val="19"/>
        </w:rPr>
        <w:t>Der Kunde kauft je nach Leistung:</w:t>
      </w:r>
    </w:p>
    <w:p>
      <w:pPr>
        <w:pStyle w:val="ListBullet"/>
        <w:widowControl/>
        <w:spacing w:after="50" w:line="259" w:lineRule="auto"/>
        <w:ind w:left="369" w:hanging="170"/>
      </w:pPr>
      <w:r>
        <w:rPr>
          <w:rFonts w:ascii="Inter" w:hAnsi="Inter" w:eastAsia="Inter"/>
          <w:color w:val="182026"/>
          <w:sz w:val="18"/>
        </w:rPr>
        <w:t>eine bessere Entscheidung,</w:t>
      </w:r>
    </w:p>
    <w:p>
      <w:pPr>
        <w:pStyle w:val="ListBullet"/>
        <w:widowControl/>
        <w:spacing w:after="50" w:line="259" w:lineRule="auto"/>
        <w:ind w:left="369" w:hanging="170"/>
      </w:pPr>
      <w:r>
        <w:rPr>
          <w:rFonts w:ascii="Inter" w:hAnsi="Inter" w:eastAsia="Inter"/>
          <w:color w:val="182026"/>
          <w:sz w:val="18"/>
        </w:rPr>
        <w:t>eine vermiedene Fehlentscheidung,</w:t>
      </w:r>
    </w:p>
    <w:p>
      <w:pPr>
        <w:pStyle w:val="ListBullet"/>
        <w:widowControl/>
        <w:spacing w:after="50" w:line="259" w:lineRule="auto"/>
        <w:ind w:left="369" w:hanging="170"/>
      </w:pPr>
      <w:r>
        <w:rPr>
          <w:rFonts w:ascii="Inter" w:hAnsi="Inter" w:eastAsia="Inter"/>
          <w:color w:val="182026"/>
          <w:sz w:val="18"/>
        </w:rPr>
        <w:t>eine schnellere Umsetzung,</w:t>
      </w:r>
    </w:p>
    <w:p>
      <w:pPr>
        <w:pStyle w:val="ListBullet"/>
        <w:widowControl/>
        <w:spacing w:after="50" w:line="259" w:lineRule="auto"/>
        <w:ind w:left="369" w:hanging="170"/>
      </w:pPr>
      <w:r>
        <w:rPr>
          <w:rFonts w:ascii="Inter" w:hAnsi="Inter" w:eastAsia="Inter"/>
          <w:color w:val="182026"/>
          <w:sz w:val="18"/>
        </w:rPr>
        <w:t>ein geringeres Risiko,</w:t>
      </w:r>
    </w:p>
    <w:p>
      <w:pPr>
        <w:pStyle w:val="ListBullet"/>
        <w:widowControl/>
        <w:spacing w:after="50" w:line="259" w:lineRule="auto"/>
        <w:ind w:left="369" w:hanging="170"/>
      </w:pPr>
      <w:r>
        <w:rPr>
          <w:rFonts w:ascii="Inter" w:hAnsi="Inter" w:eastAsia="Inter"/>
          <w:color w:val="182026"/>
          <w:sz w:val="18"/>
        </w:rPr>
        <w:t>eine neue Fähigkeit,</w:t>
      </w:r>
    </w:p>
    <w:p>
      <w:pPr>
        <w:pStyle w:val="ListBullet"/>
        <w:widowControl/>
        <w:spacing w:after="50" w:line="259" w:lineRule="auto"/>
        <w:ind w:left="369" w:hanging="170"/>
      </w:pPr>
      <w:r>
        <w:rPr>
          <w:rFonts w:ascii="Inter" w:hAnsi="Inter" w:eastAsia="Inter"/>
          <w:color w:val="182026"/>
          <w:sz w:val="18"/>
        </w:rPr>
        <w:t>ein funktionierendes System,</w:t>
      </w:r>
    </w:p>
    <w:p>
      <w:pPr>
        <w:pStyle w:val="ListBullet"/>
        <w:widowControl/>
        <w:spacing w:after="50" w:line="259" w:lineRule="auto"/>
        <w:ind w:left="369" w:hanging="170"/>
      </w:pPr>
      <w:r>
        <w:rPr>
          <w:rFonts w:ascii="Inter" w:hAnsi="Inter" w:eastAsia="Inter"/>
          <w:color w:val="182026"/>
          <w:sz w:val="18"/>
        </w:rPr>
        <w:t>eine verlässliche Begleitung,</w:t>
      </w:r>
    </w:p>
    <w:p>
      <w:pPr>
        <w:pStyle w:val="ListBullet"/>
        <w:widowControl/>
        <w:spacing w:after="50" w:line="259" w:lineRule="auto"/>
        <w:ind w:left="369" w:hanging="170"/>
      </w:pPr>
      <w:r>
        <w:rPr>
          <w:rFonts w:ascii="Inter" w:hAnsi="Inter" w:eastAsia="Inter"/>
          <w:color w:val="182026"/>
          <w:sz w:val="18"/>
        </w:rPr>
        <w:t>eine dauerhafte Veränderung.</w:t>
      </w:r>
    </w:p>
    <w:p>
      <w:pPr>
        <w:pStyle w:val="BodyText"/>
        <w:widowControl/>
        <w:spacing w:after="110" w:line="276" w:lineRule="auto"/>
        <w:ind w:firstLine="255"/>
      </w:pPr>
      <w:r>
        <w:rPr>
          <w:rFonts w:ascii="Inter" w:hAnsi="Inter" w:eastAsia="Inter"/>
          <w:color w:val="182026"/>
          <w:sz w:val="19"/>
        </w:rPr>
        <w:t>Das Ergebnis kann durch intensive manuelle Arbeit oder durch eine intelligente Kombination aus Erfahrung, Methode, Daten und KI entstehen. Die wirtschaftliche Kernfrage bleibt dieselbe: Welcher zurechenbare Nutzen entsteht gegenüber der nächsten realistischen Alternative?</w:t>
      </w:r>
    </w:p>
    <w:p>
      <w:pPr>
        <w:pStyle w:val="Heading2"/>
        <w:widowControl/>
      </w:pPr>
      <w:r>
        <w:t>2.7 Festpreis ist noch kein Value-based Pricing</w:t>
      </w:r>
    </w:p>
    <w:p>
      <w:pPr>
        <w:pStyle w:val="BodyText"/>
        <w:widowControl/>
        <w:spacing w:after="110" w:line="278" w:lineRule="auto"/>
        <w:ind w:firstLine="255"/>
      </w:pPr>
      <w:r>
        <w:rPr>
          <w:rFonts w:ascii="Inter" w:hAnsi="Inter" w:eastAsia="Inter"/>
          <w:color w:val="182026"/>
          <w:sz w:val="19"/>
        </w:rPr>
        <w:t>Ein Festpreis löst das Stundenproblem nur teilweise. Er verschiebt das Mengenrisiko zum Anbieter und schafft Budgetklarheit. Der Preis kann dennoch rein kostenbasiert kalkuliert sein: erwartete Stunden plus Risikozuschlag plus Marge. Dann bleibt die Logik inputorientiert, nur die Abrechnung ändert sich.</w:t>
      </w:r>
    </w:p>
    <w:p>
      <w:pPr>
        <w:pStyle w:val="BodyText"/>
        <w:widowControl/>
        <w:spacing w:after="110" w:line="278" w:lineRule="auto"/>
        <w:ind w:firstLine="255"/>
      </w:pPr>
      <w:r>
        <w:rPr>
          <w:rFonts w:ascii="Inter" w:hAnsi="Inter" w:eastAsia="Inter"/>
          <w:color w:val="182026"/>
          <w:sz w:val="19"/>
        </w:rPr>
        <w:t>Ein wertbegründeter Festpreis unterscheidet sich dadurch, dass die Leistung aus der erwarteten Veränderung beim Kunden rückwärts gestaltet wird. Umfang, Qualität, Evidenz, Verantwortungsgrenze und Preis orientieren sich an einem Wertpfad. Der Anbieter muss nicht jede Stunde offenlegen; er muss aber plausibel machen, warum die Leistung für die Entscheidungssituation wirtschaftlich sinnvoll ist.</w:t>
      </w:r>
    </w:p>
    <w:p>
      <w:pPr>
        <w:pStyle w:val="Heading2"/>
        <w:widowControl/>
      </w:pPr>
      <w:r>
        <w:t>2.8 Erfolgsvergütung ist nicht automatisch wertbasiert</w:t>
      </w:r>
    </w:p>
    <w:p>
      <w:pPr>
        <w:pStyle w:val="BodyText"/>
        <w:widowControl/>
        <w:spacing w:after="110" w:line="278" w:lineRule="auto"/>
        <w:ind w:firstLine="255"/>
      </w:pPr>
      <w:r>
        <w:rPr>
          <w:rFonts w:ascii="Inter" w:hAnsi="Inter" w:eastAsia="Inter"/>
          <w:color w:val="182026"/>
          <w:sz w:val="19"/>
        </w:rPr>
        <w:t>Erfolgsvergütung koppelt einen Teil der Zahlung an ein Ereignis: Projektabschluss, Umsatz, Kostensenkung, Förderzusage, Zulassung oder Transaktion. Das kann Interessen ausrichten, birgt aber erhebliche Risiken:</w:t>
      </w:r>
    </w:p>
    <w:p>
      <w:pPr>
        <w:pStyle w:val="ListBullet"/>
        <w:widowControl/>
        <w:spacing w:after="50" w:line="259" w:lineRule="auto"/>
        <w:ind w:left="369" w:hanging="170"/>
      </w:pPr>
      <w:r>
        <w:rPr>
          <w:rFonts w:ascii="Inter" w:hAnsi="Inter" w:eastAsia="Inter"/>
          <w:color w:val="182026"/>
          <w:sz w:val="18"/>
        </w:rPr>
        <w:t>Das Ereignis kann nur schwach vom Anbieter steuerbar sein.</w:t>
      </w:r>
    </w:p>
    <w:p>
      <w:pPr>
        <w:pStyle w:val="ListBullet"/>
        <w:widowControl/>
        <w:spacing w:after="50" w:line="259" w:lineRule="auto"/>
        <w:ind w:left="369" w:hanging="170"/>
      </w:pPr>
      <w:r>
        <w:rPr>
          <w:rFonts w:ascii="Inter" w:hAnsi="Inter" w:eastAsia="Inter"/>
          <w:color w:val="182026"/>
          <w:sz w:val="18"/>
        </w:rPr>
        <w:t>Die Kennzahl kann Output statt Outcome messen.</w:t>
      </w:r>
    </w:p>
    <w:p>
      <w:pPr>
        <w:pStyle w:val="ListBullet"/>
        <w:widowControl/>
        <w:spacing w:after="50" w:line="259" w:lineRule="auto"/>
        <w:ind w:left="369" w:hanging="170"/>
      </w:pPr>
      <w:r>
        <w:rPr>
          <w:rFonts w:ascii="Inter" w:hAnsi="Inter" w:eastAsia="Inter"/>
          <w:color w:val="182026"/>
          <w:sz w:val="18"/>
        </w:rPr>
        <w:t>Externe Faktoren können Erfolg oder Misserfolg dominieren.</w:t>
      </w:r>
    </w:p>
    <w:p>
      <w:pPr>
        <w:pStyle w:val="ListBullet"/>
        <w:widowControl/>
        <w:spacing w:after="50" w:line="259" w:lineRule="auto"/>
        <w:ind w:left="369" w:hanging="170"/>
      </w:pPr>
      <w:r>
        <w:rPr>
          <w:rFonts w:ascii="Inter" w:hAnsi="Inter" w:eastAsia="Inter"/>
          <w:color w:val="182026"/>
          <w:sz w:val="18"/>
        </w:rPr>
        <w:t>Ein einzelner Zielwert kann Qualität, Fairness oder langfristige Wirkung verdrängen.</w:t>
      </w:r>
    </w:p>
    <w:p>
      <w:pPr>
        <w:pStyle w:val="ListBullet"/>
        <w:widowControl/>
        <w:spacing w:after="50" w:line="259" w:lineRule="auto"/>
        <w:ind w:left="369" w:hanging="170"/>
      </w:pPr>
      <w:r>
        <w:rPr>
          <w:rFonts w:ascii="Inter" w:hAnsi="Inter" w:eastAsia="Inter"/>
          <w:color w:val="182026"/>
          <w:sz w:val="18"/>
        </w:rPr>
        <w:t>Der Anbieter kann riskante oder kurzfristige Strategien bevorzugen.</w:t>
      </w:r>
    </w:p>
    <w:p>
      <w:pPr>
        <w:pStyle w:val="ListBullet"/>
        <w:widowControl/>
        <w:spacing w:after="50" w:line="259" w:lineRule="auto"/>
        <w:ind w:left="369" w:hanging="170"/>
      </w:pPr>
      <w:r>
        <w:rPr>
          <w:rFonts w:ascii="Inter" w:hAnsi="Inter" w:eastAsia="Inter"/>
          <w:color w:val="182026"/>
          <w:sz w:val="18"/>
        </w:rPr>
        <w:t>Der Kunde kann nachträglich Zurechnung bestreiten.</w:t>
      </w:r>
    </w:p>
    <w:p>
      <w:pPr>
        <w:pStyle w:val="BodyText"/>
        <w:widowControl/>
        <w:spacing w:after="110" w:line="278" w:lineRule="auto"/>
        <w:ind w:firstLine="255"/>
      </w:pPr>
      <w:r>
        <w:rPr>
          <w:rFonts w:ascii="Inter" w:hAnsi="Inter" w:eastAsia="Inter"/>
          <w:color w:val="182026"/>
          <w:sz w:val="19"/>
        </w:rPr>
        <w:t>WVP verwendet variable Vergütung deshalb nur in dem Umfang, in dem Messbarkeit, Zurechnung, Steuerbarkeit und Risikotragfähigkeit gegeben sind. Der variable Anteil ist kein Zeichen besonderer Modernität. Er ist ein Instrument, das begründet, begrenzt und überwacht werden muss.</w:t>
      </w:r>
    </w:p>
    <w:p>
      <w:pPr>
        <w:pStyle w:val="Heading2"/>
        <w:widowControl/>
      </w:pPr>
      <w:r>
        <w:t>2.9 Die Stärke des klassischen Value-based Pricing</w:t>
      </w:r>
    </w:p>
    <w:p>
      <w:pPr>
        <w:pStyle w:val="BodyText"/>
        <w:widowControl/>
        <w:spacing w:after="110" w:line="278" w:lineRule="auto"/>
        <w:ind w:firstLine="255"/>
      </w:pPr>
      <w:r>
        <w:rPr>
          <w:rFonts w:ascii="Inter" w:hAnsi="Inter" w:eastAsia="Inter"/>
          <w:color w:val="182026"/>
          <w:sz w:val="19"/>
        </w:rPr>
        <w:t>Klassisches Value-based Pricing setzt beim Kunden an. Der ökonomische Wert entsteht nicht aus den Kosten des Anbieters, sondern aus der Differenz zwischen der angebotenen Lösung und der nächsten realistischen Alternative. Diese Perspektive ist besonders stark, wenn:</w:t>
      </w:r>
    </w:p>
    <w:p>
      <w:pPr>
        <w:pStyle w:val="ListBullet"/>
        <w:widowControl/>
        <w:spacing w:after="50" w:line="259" w:lineRule="auto"/>
        <w:ind w:left="369" w:hanging="170"/>
      </w:pPr>
      <w:r>
        <w:rPr>
          <w:rFonts w:ascii="Inter" w:hAnsi="Inter" w:eastAsia="Inter"/>
          <w:color w:val="182026"/>
          <w:sz w:val="18"/>
        </w:rPr>
        <w:t>die Leistung einen klaren Kosten-, Risiko-, Umsatz-, Qualitäts- oder Zeithebel hat,</w:t>
      </w:r>
    </w:p>
    <w:p>
      <w:pPr>
        <w:pStyle w:val="ListBullet"/>
        <w:widowControl/>
        <w:spacing w:after="50" w:line="259" w:lineRule="auto"/>
        <w:ind w:left="369" w:hanging="170"/>
      </w:pPr>
      <w:r>
        <w:rPr>
          <w:rFonts w:ascii="Inter" w:hAnsi="Inter" w:eastAsia="Inter"/>
          <w:color w:val="182026"/>
          <w:sz w:val="18"/>
        </w:rPr>
        <w:t>die Alternative identifizierbar ist,</w:t>
      </w:r>
    </w:p>
    <w:p>
      <w:pPr>
        <w:pStyle w:val="ListBullet"/>
        <w:widowControl/>
        <w:spacing w:after="50" w:line="259" w:lineRule="auto"/>
        <w:ind w:left="369" w:hanging="170"/>
      </w:pPr>
      <w:r>
        <w:rPr>
          <w:rFonts w:ascii="Inter" w:hAnsi="Inter" w:eastAsia="Inter"/>
          <w:color w:val="182026"/>
          <w:sz w:val="18"/>
        </w:rPr>
        <w:t>die Wirkung im Anwendungskontext des Kunden entsteht,</w:t>
      </w:r>
    </w:p>
    <w:p>
      <w:pPr>
        <w:pStyle w:val="ListBullet"/>
        <w:widowControl/>
        <w:spacing w:after="50" w:line="259" w:lineRule="auto"/>
        <w:ind w:left="369" w:hanging="170"/>
      </w:pPr>
      <w:r>
        <w:rPr>
          <w:rFonts w:ascii="Inter" w:hAnsi="Inter" w:eastAsia="Inter"/>
          <w:color w:val="182026"/>
          <w:sz w:val="18"/>
        </w:rPr>
        <w:t>Anbieter und Kunde Daten austauschen können,</w:t>
      </w:r>
    </w:p>
    <w:p>
      <w:pPr>
        <w:pStyle w:val="ListBullet"/>
        <w:widowControl/>
        <w:spacing w:after="50" w:line="259" w:lineRule="auto"/>
        <w:ind w:left="369" w:hanging="170"/>
      </w:pPr>
      <w:r>
        <w:rPr>
          <w:rFonts w:ascii="Inter" w:hAnsi="Inter" w:eastAsia="Inter"/>
          <w:color w:val="182026"/>
          <w:sz w:val="18"/>
        </w:rPr>
        <w:t>der Wert nach der Umsetzung verifiziert werden kann.</w:t>
      </w:r>
    </w:p>
    <w:p>
      <w:pPr>
        <w:pStyle w:val="BodyText"/>
        <w:widowControl/>
        <w:spacing w:after="110" w:line="278" w:lineRule="auto"/>
        <w:ind w:firstLine="255"/>
      </w:pPr>
      <w:r>
        <w:rPr>
          <w:rFonts w:ascii="Inter" w:hAnsi="Inter" w:eastAsia="Inter"/>
          <w:color w:val="182026"/>
          <w:sz w:val="19"/>
        </w:rPr>
        <w:t>Die Forschung zeigt zugleich, dass Value-based Pricing eine Organisationsfähigkeit ist. Es reicht nicht, einen höheren Preis zu verlangen. Notwendig sind Kundensegmentierung, Feldwissen, Wertmodellierung, Verkaufsfähigkeit, Managementunterstützung, Datenzugang und Lernprozesse. Gerade bei Dienstleistungen muss Wert häufig gemeinsam entdeckt werden, weil er erst in der Nutzung und in der Interaktion zwischen Anbieter und Kunde entsteht (Töytäri und Rajala 2015; Raja et al. 2020).</w:t>
      </w:r>
    </w:p>
    <w:p>
      <w:pPr>
        <w:pStyle w:val="Heading2"/>
        <w:widowControl/>
      </w:pPr>
      <w:r>
        <w:t>2.10 Die Grenze: Kundenwert ist nicht Systemwirkung</w:t>
      </w:r>
    </w:p>
    <w:p>
      <w:pPr>
        <w:pStyle w:val="BodyText"/>
        <w:widowControl/>
        <w:spacing w:after="110" w:line="278" w:lineRule="auto"/>
        <w:ind w:firstLine="255"/>
      </w:pPr>
      <w:r>
        <w:rPr>
          <w:rFonts w:ascii="Inter" w:hAnsi="Inter" w:eastAsia="Inter"/>
          <w:color w:val="182026"/>
          <w:sz w:val="19"/>
        </w:rPr>
        <w:t>Der Kundenwert beantwortet die Frage: Welche Vorteile erhält der Auftraggeber? Die Wirkungsfrage lautet: Welche Zustände verändern sich für alle relevanten Wirkungsempfänger?</w:t>
      </w:r>
    </w:p>
    <w:p>
      <w:pPr>
        <w:pStyle w:val="BodyText"/>
        <w:widowControl/>
        <w:spacing w:after="110" w:line="278" w:lineRule="auto"/>
        <w:ind w:firstLine="255"/>
      </w:pPr>
      <w:r>
        <w:rPr>
          <w:rFonts w:ascii="Inter" w:hAnsi="Inter" w:eastAsia="Inter"/>
          <w:color w:val="182026"/>
          <w:sz w:val="19"/>
        </w:rPr>
        <w:t>Diese Perspektiven können auseinanderfallen:</w:t>
      </w:r>
    </w:p>
    <w:p>
      <w:pPr>
        <w:pStyle w:val="ListBullet"/>
        <w:widowControl/>
        <w:spacing w:after="50" w:line="259" w:lineRule="auto"/>
        <w:ind w:left="369" w:hanging="170"/>
      </w:pPr>
      <w:r>
        <w:rPr>
          <w:rFonts w:ascii="Inter" w:hAnsi="Inter" w:eastAsia="Inter"/>
          <w:color w:val="182026"/>
          <w:sz w:val="18"/>
        </w:rPr>
        <w:t>Eine Automatisierung kann Kosten senken und zugleich psychische Belastung oder Ausschluss erhöhen.</w:t>
      </w:r>
    </w:p>
    <w:p>
      <w:pPr>
        <w:pStyle w:val="ListBullet"/>
        <w:widowControl/>
        <w:spacing w:after="50" w:line="259" w:lineRule="auto"/>
        <w:ind w:left="369" w:hanging="170"/>
      </w:pPr>
      <w:r>
        <w:rPr>
          <w:rFonts w:ascii="Inter" w:hAnsi="Inter" w:eastAsia="Inter"/>
          <w:color w:val="182026"/>
          <w:sz w:val="18"/>
        </w:rPr>
        <w:t>Eine Marketingoptimierung kann Umsatz steigern und zugleich Überkonsum oder Manipulation fördern.</w:t>
      </w:r>
    </w:p>
    <w:p>
      <w:pPr>
        <w:pStyle w:val="ListBullet"/>
        <w:widowControl/>
        <w:spacing w:after="50" w:line="259" w:lineRule="auto"/>
        <w:ind w:left="369" w:hanging="170"/>
      </w:pPr>
      <w:r>
        <w:rPr>
          <w:rFonts w:ascii="Inter" w:hAnsi="Inter" w:eastAsia="Inter"/>
          <w:color w:val="182026"/>
          <w:sz w:val="18"/>
        </w:rPr>
        <w:t>Eine Steuerberatung kann finanziellen Wert schaffen und gesellschaftliche Lasten verschieben.</w:t>
      </w:r>
    </w:p>
    <w:p>
      <w:pPr>
        <w:pStyle w:val="ListBullet"/>
        <w:widowControl/>
        <w:spacing w:after="50" w:line="259" w:lineRule="auto"/>
        <w:ind w:left="369" w:hanging="170"/>
      </w:pPr>
      <w:r>
        <w:rPr>
          <w:rFonts w:ascii="Inter" w:hAnsi="Inter" w:eastAsia="Inter"/>
          <w:color w:val="182026"/>
          <w:sz w:val="18"/>
        </w:rPr>
        <w:t>Eine Forschungsleistung kann Kundenwissen schützen, aber wissenschaftliche Offenheit verringern.</w:t>
      </w:r>
    </w:p>
    <w:p>
      <w:pPr>
        <w:pStyle w:val="ListBullet"/>
        <w:widowControl/>
        <w:spacing w:after="50" w:line="259" w:lineRule="auto"/>
        <w:ind w:left="369" w:hanging="170"/>
      </w:pPr>
      <w:r>
        <w:rPr>
          <w:rFonts w:ascii="Inter" w:hAnsi="Inter" w:eastAsia="Inter"/>
          <w:color w:val="182026"/>
          <w:sz w:val="18"/>
        </w:rPr>
        <w:t>Eine Datenlösung kann Prozesse verbessern und zugleich Datenschutz oder algorithmische Fairness gefährden.</w:t>
      </w:r>
    </w:p>
    <w:p>
      <w:pPr>
        <w:pStyle w:val="BodyText"/>
        <w:widowControl/>
        <w:spacing w:after="110" w:line="278" w:lineRule="auto"/>
        <w:ind w:firstLine="255"/>
      </w:pPr>
      <w:r>
        <w:rPr>
          <w:rFonts w:ascii="Inter" w:hAnsi="Inter" w:eastAsia="Inter"/>
          <w:color w:val="182026"/>
          <w:sz w:val="19"/>
        </w:rPr>
        <w:t>Umgekehrt kann eine Dienstleistung positive Wirkung erzeugen, die nicht vollständig beim Auftraggeber anfällt: geringere Emissionen, bessere Gesundheit, regionale Resilienz, offene Standards, demokratische Transparenz oder Wissenstransfer. Ein einzelner Kunde hat dann weder den gesamten Nutzen noch immer die Zahlungsfähigkeit, ihn allein zu finanzieren.</w:t>
      </w:r>
    </w:p>
    <w:p>
      <w:pPr>
        <w:widowControl/>
        <w:spacing w:before="100" w:after="40"/>
        <w:jc w:val="center"/>
      </w:pPr>
      <w:r>
        <w:drawing>
          <wp:inline xmlns:a="http://schemas.openxmlformats.org/drawingml/2006/main" xmlns:pic="http://schemas.openxmlformats.org/drawingml/2006/picture">
            <wp:extent cx="6080760" cy="4185416"/>
            <wp:docPr id="3" name="Picture 3" descr="Abbildung 2: Kundenwert und Netto-Wirkung bilden zwei eigenständige Entscheidungsachsen." title="Abbildung 2: Kundenwert und Netto-Wirkung bilden zwei eigenständige Entscheidungsachsen."/>
            <wp:cNvGraphicFramePr>
              <a:graphicFrameLocks noChangeAspect="1"/>
            </wp:cNvGraphicFramePr>
            <a:graphic>
              <a:graphicData uri="http://schemas.openxmlformats.org/drawingml/2006/picture">
                <pic:pic>
                  <pic:nvPicPr>
                    <pic:cNvPr id="0" name="fig_value_impact_matrix.png"/>
                    <pic:cNvPicPr/>
                  </pic:nvPicPr>
                  <pic:blipFill>
                    <a:blip r:embed="rId13"/>
                    <a:stretch>
                      <a:fillRect/>
                    </a:stretch>
                  </pic:blipFill>
                  <pic:spPr>
                    <a:xfrm>
                      <a:off x="0" y="0"/>
                      <a:ext cx="6080760" cy="4185416"/>
                    </a:xfrm>
                    <a:prstGeom prst="rect"/>
                  </pic:spPr>
                </pic:pic>
              </a:graphicData>
            </a:graphic>
          </wp:inline>
        </w:drawing>
      </w:r>
    </w:p>
    <w:p>
      <w:pPr>
        <w:widowControl/>
        <w:spacing w:after="160"/>
        <w:jc w:val="center"/>
      </w:pPr>
      <w:r>
        <w:rPr>
          <w:rFonts w:ascii="Inter" w:hAnsi="Inter" w:eastAsia="Inter"/>
          <w:i/>
          <w:color w:val="5B6670"/>
          <w:sz w:val="16"/>
        </w:rPr>
        <w:t>Abbildung 2: Kundenwert und Netto-Wirkung bilden zwei eigenständige Entscheidungsachsen.</w:t>
      </w:r>
    </w:p>
    <w:p>
      <w:pPr>
        <w:pStyle w:val="Heading2"/>
        <w:widowControl/>
      </w:pPr>
      <w:r>
        <w:t>2.11 Die Preisfrage als Systemfrage</w:t>
      </w:r>
    </w:p>
    <w:p>
      <w:pPr>
        <w:pStyle w:val="BodyText"/>
        <w:widowControl/>
        <w:spacing w:after="110" w:line="278" w:lineRule="auto"/>
        <w:ind w:firstLine="255"/>
      </w:pPr>
      <w:r>
        <w:rPr>
          <w:rFonts w:ascii="Inter" w:hAnsi="Inter" w:eastAsia="Inter"/>
          <w:color w:val="182026"/>
          <w:sz w:val="19"/>
        </w:rPr>
        <w:t>Preise sind Rückkopplungssignale. Sie beeinflussen, welche Leistungen angeboten, gekauft, skaliert und gelernt werden. Eine reine Stundenlogik belohnt Aufwand. Eine reine Zahlungsbereitschaftslogik kann Macht und Knappheit abschöpfen. Eine reine Erfolgslogik kann Kennzahlen manipulieren. Eine reine Impact-Erzählung kann moralischen Aufschlag erzeugen, ohne Wirkung zu belegen.</w:t>
      </w:r>
    </w:p>
    <w:p>
      <w:pPr>
        <w:pStyle w:val="BodyText"/>
        <w:widowControl/>
        <w:spacing w:after="110" w:line="278" w:lineRule="auto"/>
        <w:ind w:firstLine="255"/>
      </w:pPr>
      <w:r>
        <w:rPr>
          <w:rFonts w:ascii="Inter" w:hAnsi="Inter" w:eastAsia="Inter"/>
          <w:color w:val="182026"/>
          <w:sz w:val="19"/>
        </w:rPr>
        <w:t>WVP versucht nicht, diese Spannungen durch eine perfekte Zahl aufzulösen. Es macht sie sichtbar und ordnet sie in ein Verfahren. Der Preis wird dadurch nicht objektiv im naturwissenschaftlichen Sinn. Er wird aber begründbarer, prüfbarer und lernfähiger.</w:t>
      </w:r>
    </w:p>
    <w:p>
      <w:pPr>
        <w:pStyle w:val="Heading1"/>
        <w:widowControl/>
        <w:pBdr>
          <w:bottom w:val="single" w:sz="10" w:space="6" w:color="C99A43"/>
        </w:pBdr>
      </w:pPr>
      <w:r>
        <w:t>3 Begriffe und theoretische Grundlagen</w:t>
      </w:r>
    </w:p>
    <w:p>
      <w:pPr>
        <w:pStyle w:val="Heading2"/>
        <w:widowControl/>
      </w:pPr>
      <w:r>
        <w:t>3.1 Wirkung</w:t>
      </w:r>
    </w:p>
    <w:p>
      <w:pPr>
        <w:pStyle w:val="BodyText"/>
        <w:widowControl/>
        <w:spacing w:after="110" w:line="278" w:lineRule="auto"/>
        <w:ind w:firstLine="255"/>
      </w:pPr>
      <w:r>
        <w:rPr>
          <w:rFonts w:ascii="Inter" w:hAnsi="Inter" w:eastAsia="Inter"/>
          <w:color w:val="182026"/>
          <w:sz w:val="19"/>
        </w:rPr>
        <w:t>Im führenden Begriffsleitfaden der Wirkungsökonomie ist Wirkung die tatsächliche Veränderung von Zuständen. Sie kann positiv, negativ oder neutral sein und braucht immer einen Bezugspunkt. Wirkung ist nicht Absicht, Image, Aktivität, Output oder moralische Haltung. Positiv ist sie in der Wirkungsökonomie, wenn sie auf SDGs, Agenda 2030 und SDG+ einzahlt; negativ, wenn sie diesen Referenzrahmen schwächt oder zerstört (Weber 2026b).</w:t>
      </w:r>
    </w:p>
    <w:p>
      <w:pPr>
        <w:pStyle w:val="BodyText"/>
        <w:widowControl/>
        <w:spacing w:after="110" w:line="278" w:lineRule="auto"/>
        <w:ind w:firstLine="255"/>
      </w:pPr>
      <w:r>
        <w:rPr>
          <w:rFonts w:ascii="Inter" w:hAnsi="Inter" w:eastAsia="Inter"/>
          <w:color w:val="182026"/>
          <w:sz w:val="19"/>
        </w:rPr>
        <w:t>Diese Definition ist für WVP entscheidend. Eine Beratung kann durchgeführt, ein Bericht abgegeben und ein Workshop positiv bewertet worden sein, ohne dass eine relevante Zustandsveränderung eingetreten ist. Umgekehrt kann eine kleine Intervention eine große Wirkung entfalten, wenn sie einen Engpass löst oder eine Entscheidung verändert.</w:t>
      </w:r>
    </w:p>
    <w:p>
      <w:pPr>
        <w:pStyle w:val="Heading2"/>
        <w:widowControl/>
      </w:pPr>
      <w:r>
        <w:t>3.2 „Wert der Arbeit“ und Arbeitswertlehre</w:t>
      </w:r>
    </w:p>
    <w:p>
      <w:pPr>
        <w:pStyle w:val="BodyText"/>
        <w:widowControl/>
        <w:spacing w:after="110" w:line="276" w:lineRule="auto"/>
        <w:ind w:firstLine="255"/>
      </w:pPr>
      <w:r>
        <w:rPr>
          <w:rFonts w:ascii="Inter" w:hAnsi="Inter" w:eastAsia="Inter"/>
          <w:color w:val="182026"/>
          <w:sz w:val="19"/>
        </w:rPr>
        <w:t>Der Ausdruck „Wert der Arbeit“ wird in diesem Dossier alltagssprachlich verwendet. Gemeint ist der Wert der erzeugten Veränderung, nicht eine klassische Arbeitswertlehre, nach der Wert aus der Menge gesellschaftlich notwendiger Arbeit abgeleitet wird. WVP argumentiert gerade umgekehrt: Die Dauer der Arbeit ist kein verlässlicher Maßstab für den Wert einer Dienstleistung.</w:t>
      </w:r>
    </w:p>
    <w:p>
      <w:pPr>
        <w:pStyle w:val="BodyText"/>
        <w:widowControl/>
        <w:spacing w:after="110" w:line="276" w:lineRule="auto"/>
        <w:ind w:firstLine="255"/>
      </w:pPr>
      <w:r>
        <w:rPr>
          <w:rFonts w:ascii="Inter" w:hAnsi="Inter" w:eastAsia="Inter"/>
          <w:color w:val="182026"/>
          <w:sz w:val="19"/>
        </w:rPr>
        <w:t>Präziser sind daher die Begriffe:</w:t>
      </w:r>
    </w:p>
    <w:p>
      <w:pPr>
        <w:pStyle w:val="ListBullet"/>
        <w:widowControl/>
        <w:spacing w:after="50" w:line="259" w:lineRule="auto"/>
        <w:ind w:left="369" w:hanging="170"/>
      </w:pPr>
      <w:r>
        <w:rPr>
          <w:rFonts w:ascii="Inter" w:hAnsi="Inter" w:eastAsia="Inter"/>
          <w:b/>
          <w:color w:val="182026"/>
          <w:sz w:val="18"/>
        </w:rPr>
        <w:t>Leistungswert:</w:t>
      </w:r>
      <w:r>
        <w:rPr>
          <w:rFonts w:ascii="Inter" w:hAnsi="Inter" w:eastAsia="Inter"/>
          <w:color w:val="182026"/>
          <w:sz w:val="18"/>
        </w:rPr>
        <w:t xml:space="preserve"> Wert der bereitgestellten Lösung oder Fähigkeit,</w:t>
      </w:r>
    </w:p>
    <w:p>
      <w:pPr>
        <w:pStyle w:val="ListBullet"/>
        <w:widowControl/>
        <w:spacing w:after="50" w:line="259" w:lineRule="auto"/>
        <w:ind w:left="369" w:hanging="170"/>
      </w:pPr>
      <w:r>
        <w:rPr>
          <w:rFonts w:ascii="Inter" w:hAnsi="Inter" w:eastAsia="Inter"/>
          <w:b/>
          <w:color w:val="182026"/>
          <w:sz w:val="18"/>
        </w:rPr>
        <w:t>Kundenwert:</w:t>
      </w:r>
      <w:r>
        <w:rPr>
          <w:rFonts w:ascii="Inter" w:hAnsi="Inter" w:eastAsia="Inter"/>
          <w:color w:val="182026"/>
          <w:sz w:val="18"/>
        </w:rPr>
        <w:t xml:space="preserve"> zurechenbarer Nutzen für den Auftraggeber,</w:t>
      </w:r>
    </w:p>
    <w:p>
      <w:pPr>
        <w:pStyle w:val="ListBullet"/>
        <w:widowControl/>
        <w:spacing w:after="50" w:line="259" w:lineRule="auto"/>
        <w:ind w:left="369" w:hanging="170"/>
      </w:pPr>
      <w:r>
        <w:rPr>
          <w:rFonts w:ascii="Inter" w:hAnsi="Inter" w:eastAsia="Inter"/>
          <w:b/>
          <w:color w:val="182026"/>
          <w:sz w:val="18"/>
        </w:rPr>
        <w:t>Systemwirkung:</w:t>
      </w:r>
      <w:r>
        <w:rPr>
          <w:rFonts w:ascii="Inter" w:hAnsi="Inter" w:eastAsia="Inter"/>
          <w:color w:val="182026"/>
          <w:sz w:val="18"/>
        </w:rPr>
        <w:t xml:space="preserve"> Zustandsveränderung für Mensch, Planet und Demokratie.</w:t>
      </w:r>
    </w:p>
    <w:p>
      <w:pPr>
        <w:pStyle w:val="Heading2"/>
        <w:widowControl/>
      </w:pPr>
      <w:r>
        <w:t>3.3 Aufwand, Leistung, Output, Outcome und Impact</w:t>
      </w:r>
    </w:p>
    <w:p>
      <w:pPr>
        <w:pStyle w:val="BodyText"/>
        <w:widowControl/>
        <w:spacing w:after="110" w:line="278" w:lineRule="auto"/>
        <w:ind w:firstLine="255"/>
      </w:pPr>
      <w:r>
        <w:rPr>
          <w:rFonts w:ascii="Inter" w:hAnsi="Inter" w:eastAsia="Inter"/>
          <w:color w:val="182026"/>
          <w:sz w:val="19"/>
        </w:rPr>
        <w:t>Für die Messlogik werden mehrere Ebenen getrennt:</w:t>
      </w:r>
    </w:p>
    <w:p>
      <w:pPr>
        <w:pStyle w:val="ListBullet"/>
        <w:widowControl/>
        <w:spacing w:after="50" w:line="259" w:lineRule="auto"/>
        <w:ind w:left="369" w:hanging="170"/>
      </w:pPr>
      <w:r>
        <w:rPr>
          <w:rFonts w:ascii="Inter" w:hAnsi="Inter" w:eastAsia="Inter"/>
          <w:b/>
          <w:color w:val="182026"/>
          <w:sz w:val="18"/>
        </w:rPr>
        <w:t>Input:</w:t>
      </w:r>
      <w:r>
        <w:rPr>
          <w:rFonts w:ascii="Inter" w:hAnsi="Inter" w:eastAsia="Inter"/>
          <w:color w:val="182026"/>
          <w:sz w:val="18"/>
        </w:rPr>
        <w:t xml:space="preserve"> eingesetzte Zeit, Wissen, Kapital, Daten, Energie und Materialien.</w:t>
      </w:r>
    </w:p>
    <w:p>
      <w:pPr>
        <w:pStyle w:val="ListBullet"/>
        <w:widowControl/>
        <w:spacing w:after="50" w:line="259" w:lineRule="auto"/>
        <w:ind w:left="369" w:hanging="170"/>
      </w:pPr>
      <w:r>
        <w:rPr>
          <w:rFonts w:ascii="Inter" w:hAnsi="Inter" w:eastAsia="Inter"/>
          <w:b/>
          <w:color w:val="182026"/>
          <w:sz w:val="18"/>
        </w:rPr>
        <w:t>Aktivität:</w:t>
      </w:r>
      <w:r>
        <w:rPr>
          <w:rFonts w:ascii="Inter" w:hAnsi="Inter" w:eastAsia="Inter"/>
          <w:color w:val="182026"/>
          <w:sz w:val="18"/>
        </w:rPr>
        <w:t xml:space="preserve"> Analyse, Workshop, Entwicklung, Begleitung, Forschung oder Implementierung.</w:t>
      </w:r>
    </w:p>
    <w:p>
      <w:pPr>
        <w:pStyle w:val="ListBullet"/>
        <w:widowControl/>
        <w:spacing w:after="50" w:line="259" w:lineRule="auto"/>
        <w:ind w:left="369" w:hanging="170"/>
      </w:pPr>
      <w:r>
        <w:rPr>
          <w:rFonts w:ascii="Inter" w:hAnsi="Inter" w:eastAsia="Inter"/>
          <w:b/>
          <w:color w:val="182026"/>
          <w:sz w:val="18"/>
        </w:rPr>
        <w:t>Output:</w:t>
      </w:r>
      <w:r>
        <w:rPr>
          <w:rFonts w:ascii="Inter" w:hAnsi="Inter" w:eastAsia="Inter"/>
          <w:color w:val="182026"/>
          <w:sz w:val="18"/>
        </w:rPr>
        <w:t xml:space="preserve"> unmittelbar erzeugtes Ergebnis, etwa Konzept, Prototyp, Entscheidungsvorlage oder Schulung.</w:t>
      </w:r>
    </w:p>
    <w:p>
      <w:pPr>
        <w:pStyle w:val="ListBullet"/>
        <w:widowControl/>
        <w:spacing w:after="50" w:line="259" w:lineRule="auto"/>
        <w:ind w:left="369" w:hanging="170"/>
      </w:pPr>
      <w:r>
        <w:rPr>
          <w:rFonts w:ascii="Inter" w:hAnsi="Inter" w:eastAsia="Inter"/>
          <w:b/>
          <w:color w:val="182026"/>
          <w:sz w:val="18"/>
        </w:rPr>
        <w:t>Outcome:</w:t>
      </w:r>
      <w:r>
        <w:rPr>
          <w:rFonts w:ascii="Inter" w:hAnsi="Inter" w:eastAsia="Inter"/>
          <w:color w:val="182026"/>
          <w:sz w:val="18"/>
        </w:rPr>
        <w:t xml:space="preserve"> tatsächliche Veränderung bei Nutzer:innen oder im Kundensystem, etwa geringere Fehlerquote, bessere Entscheidung, verändertes Verhalten oder höhere Resilienz.</w:t>
      </w:r>
    </w:p>
    <w:p>
      <w:pPr>
        <w:pStyle w:val="ListBullet"/>
        <w:widowControl/>
        <w:spacing w:after="50" w:line="259" w:lineRule="auto"/>
        <w:ind w:left="369" w:hanging="170"/>
      </w:pPr>
      <w:r>
        <w:rPr>
          <w:rFonts w:ascii="Inter" w:hAnsi="Inter" w:eastAsia="Inter"/>
          <w:b/>
          <w:color w:val="182026"/>
          <w:sz w:val="18"/>
        </w:rPr>
        <w:t>Impact:</w:t>
      </w:r>
      <w:r>
        <w:rPr>
          <w:rFonts w:ascii="Inter" w:hAnsi="Inter" w:eastAsia="Inter"/>
          <w:color w:val="182026"/>
          <w:sz w:val="18"/>
        </w:rPr>
        <w:t xml:space="preserve"> weitergehende, langfristige oder systemische Zustandsveränderung einschließlich indirekter und verteilter Folgen.</w:t>
      </w:r>
    </w:p>
    <w:p>
      <w:pPr>
        <w:pStyle w:val="BodyText"/>
        <w:widowControl/>
        <w:spacing w:after="110" w:line="278" w:lineRule="auto"/>
        <w:ind w:firstLine="255"/>
      </w:pPr>
      <w:r>
        <w:rPr>
          <w:rFonts w:ascii="Inter" w:hAnsi="Inter" w:eastAsia="Inter"/>
          <w:color w:val="182026"/>
          <w:sz w:val="19"/>
        </w:rPr>
        <w:t>Value-based Pricing darf nicht beim Output stehen bleiben. Ein umfangreicher Bericht hat keinen hohen Kundenwert, nur weil er umfangreich ist. Entscheidend ist, welche Veränderung er ermöglicht. WVP geht zusätzlich über den Kunden-Outcome hinaus und betrachtet die Wirkung im erweiterten Wirkungsraum.</w:t>
      </w:r>
    </w:p>
    <w:p>
      <w:pPr>
        <w:pStyle w:val="Heading2"/>
        <w:widowControl/>
      </w:pPr>
      <w:r>
        <w:t>3.4 Wert und Kundenwert</w:t>
      </w:r>
    </w:p>
    <w:p>
      <w:pPr>
        <w:pStyle w:val="BodyText"/>
        <w:widowControl/>
        <w:spacing w:after="110" w:line="278" w:lineRule="auto"/>
        <w:ind w:firstLine="255"/>
      </w:pPr>
      <w:r>
        <w:rPr>
          <w:rFonts w:ascii="Inter" w:hAnsi="Inter" w:eastAsia="Inter"/>
          <w:color w:val="182026"/>
          <w:sz w:val="19"/>
        </w:rPr>
        <w:t>„Wert“ ist relational. Er entsteht für einen bestimmten Akteur, in einem bestimmten Kontext, gegenüber einer Alternative und zu einem bestimmten Zeitpunkt. Für WVP wird Kundenwert definiert als:</w:t>
      </w:r>
    </w:p>
    <w:p>
      <w:pPr>
        <w:spacing w:before="120" w:after="140"/>
        <w:ind w:left="340" w:right="227"/>
        <w:shd w:fill="DDEDEA"/>
        <w:widowControl/>
        <w:pBdr>
          <w:left w:val="single" w:sz="8" w:space="4" w:color="163F3D"/>
        </w:pBdr>
      </w:pPr>
      <w:r>
        <w:rPr>
          <w:rFonts w:ascii="Inter" w:hAnsi="Inter" w:eastAsia="Inter"/>
          <w:b/>
          <w:color w:val="163F3D"/>
          <w:sz w:val="20"/>
        </w:rPr>
        <w:t>Der zurechenbare wirtschaftliche und entscheidungsrelevante Vorteil, den ein Auftraggeber durch eine Leistung gegenüber der nächsten realistischen Alternative erhält - nach Abzug eigener Zusatzkosten, negativer Effekte und erforderlicher Risikovorsorge.</w:t>
      </w:r>
    </w:p>
    <w:p>
      <w:pPr>
        <w:pStyle w:val="BodyText"/>
        <w:widowControl/>
        <w:spacing w:after="110" w:line="278" w:lineRule="auto"/>
        <w:ind w:firstLine="255"/>
      </w:pPr>
      <w:r>
        <w:rPr>
          <w:rFonts w:ascii="Inter" w:hAnsi="Inter" w:eastAsia="Inter"/>
          <w:color w:val="182026"/>
          <w:sz w:val="19"/>
        </w:rPr>
        <w:t>Kundenwert kann monetär direkt sichtbar sein, etwa durch Kostensenkung oder Mehrerlös. Er kann über erwartete Risikoreduktion, Kapitalbindung, Qualität, Zeit, Handlungsfähigkeit oder Optionserhalt wirtschaftlich relevant werden. Nicht jeder Nutzen lässt sich seriös monetarisieren. Dann wird er als qualitative oder nichtmonetäre Wertdimension geführt und darf nicht heimlich in Euro umgerechnet werden.</w:t>
      </w:r>
    </w:p>
    <w:p>
      <w:pPr>
        <w:pStyle w:val="Heading2"/>
        <w:widowControl/>
      </w:pPr>
      <w:r>
        <w:t>3.5 Economic Value und Referenzalternative</w:t>
      </w:r>
    </w:p>
    <w:p>
      <w:pPr>
        <w:pStyle w:val="BodyText"/>
        <w:widowControl/>
        <w:spacing w:after="110" w:line="278" w:lineRule="auto"/>
        <w:ind w:firstLine="255"/>
      </w:pPr>
      <w:r>
        <w:rPr>
          <w:rFonts w:ascii="Inter" w:hAnsi="Inter" w:eastAsia="Inter"/>
          <w:color w:val="182026"/>
          <w:sz w:val="19"/>
        </w:rPr>
        <w:t>Ein verbreitetes Konzept des Value-based Pricing ist der Economic Value to Customer. Ausgangspunkt ist der Preis oder die Gesamtkosten der nächsten Alternative. Hinzu kommt der monetarisierte Differenzwert der angebotenen Lösung. Die Referenz ist nicht immer ein Wettbewerbsprodukt. Sie kann auch Eigenleistung, Nichtstun, Verschieben, eine interne Lösung oder ein anderer Transformationspfad sein.</w:t>
      </w:r>
    </w:p>
    <w:p>
      <w:pPr>
        <w:pStyle w:val="BodyText"/>
        <w:widowControl/>
        <w:spacing w:after="110" w:line="278" w:lineRule="auto"/>
        <w:ind w:firstLine="255"/>
      </w:pPr>
      <w:r>
        <w:rPr>
          <w:rFonts w:ascii="Inter" w:hAnsi="Inter" w:eastAsia="Inter"/>
          <w:color w:val="182026"/>
          <w:sz w:val="19"/>
        </w:rPr>
        <w:t>Die Wahl der Alternative entscheidet wesentlich über den berechneten Wert. Darum muss sie gemeinsam plausibilisiert werden. Eine künstlich schlechte Alternative bläht den Wert auf. Eine unrealistisch perfekte Alternative macht jede Leistung wertlos. WVP verlangt eine dokumentierte, wahrscheinliche und entscheidungsrelevante Referenz.</w:t>
      </w:r>
    </w:p>
    <w:p>
      <w:pPr>
        <w:pStyle w:val="Heading2"/>
        <w:widowControl/>
      </w:pPr>
      <w:r>
        <w:t>3.6 Zurechnung und Beitrag</w:t>
      </w:r>
    </w:p>
    <w:p>
      <w:pPr>
        <w:pStyle w:val="BodyText"/>
        <w:widowControl/>
        <w:spacing w:after="110" w:line="278" w:lineRule="auto"/>
        <w:ind w:firstLine="255"/>
      </w:pPr>
      <w:r>
        <w:rPr>
          <w:rFonts w:ascii="Inter" w:hAnsi="Inter" w:eastAsia="Inter"/>
          <w:color w:val="182026"/>
          <w:sz w:val="19"/>
        </w:rPr>
        <w:t>Beobachtete Veränderung ist nicht automatisch Anbieterwirkung. Zwischen Baseline und Ergebnis können Konjunktur, andere Projekte, Managemententscheidungen, Mitarbeitende, Technologie, regulatorische Änderungen oder Zufall liegen.</w:t>
      </w:r>
    </w:p>
    <w:p>
      <w:pPr>
        <w:pStyle w:val="BodyText"/>
        <w:widowControl/>
        <w:spacing w:after="110" w:line="278" w:lineRule="auto"/>
        <w:ind w:firstLine="255"/>
      </w:pPr>
      <w:r>
        <w:rPr>
          <w:rFonts w:ascii="Inter" w:hAnsi="Inter" w:eastAsia="Inter"/>
          <w:color w:val="182026"/>
          <w:sz w:val="19"/>
        </w:rPr>
        <w:t>WVP unterscheidet:</w:t>
      </w:r>
    </w:p>
    <w:p>
      <w:pPr>
        <w:pStyle w:val="ListBullet"/>
        <w:widowControl/>
        <w:spacing w:after="50" w:line="259" w:lineRule="auto"/>
        <w:ind w:left="369" w:hanging="170"/>
      </w:pPr>
      <w:r>
        <w:rPr>
          <w:rFonts w:ascii="Inter" w:hAnsi="Inter" w:eastAsia="Inter"/>
          <w:b/>
          <w:color w:val="182026"/>
          <w:sz w:val="18"/>
        </w:rPr>
        <w:t>Attribution:</w:t>
      </w:r>
      <w:r>
        <w:rPr>
          <w:rFonts w:ascii="Inter" w:hAnsi="Inter" w:eastAsia="Inter"/>
          <w:color w:val="182026"/>
          <w:sz w:val="18"/>
        </w:rPr>
        <w:t xml:space="preserve"> Welcher Anteil der Veränderung kann kausal der Leistung zugerechnet werden?</w:t>
      </w:r>
    </w:p>
    <w:p>
      <w:pPr>
        <w:pStyle w:val="ListBullet"/>
        <w:widowControl/>
        <w:spacing w:after="50" w:line="259" w:lineRule="auto"/>
        <w:ind w:left="369" w:hanging="170"/>
      </w:pPr>
      <w:r>
        <w:rPr>
          <w:rFonts w:ascii="Inter" w:hAnsi="Inter" w:eastAsia="Inter"/>
          <w:b/>
          <w:color w:val="182026"/>
          <w:sz w:val="18"/>
        </w:rPr>
        <w:t>Contribution:</w:t>
      </w:r>
      <w:r>
        <w:rPr>
          <w:rFonts w:ascii="Inter" w:hAnsi="Inter" w:eastAsia="Inter"/>
          <w:color w:val="182026"/>
          <w:sz w:val="18"/>
        </w:rPr>
        <w:t xml:space="preserve"> Welchen begründeten Beitrag hat die Leistung in einem komplexen Zusammenspiel geleistet?</w:t>
      </w:r>
    </w:p>
    <w:p>
      <w:pPr>
        <w:pStyle w:val="ListBullet"/>
        <w:widowControl/>
        <w:spacing w:after="50" w:line="259" w:lineRule="auto"/>
        <w:ind w:left="369" w:hanging="170"/>
      </w:pPr>
      <w:r>
        <w:rPr>
          <w:rFonts w:ascii="Inter" w:hAnsi="Inter" w:eastAsia="Inter"/>
          <w:b/>
          <w:color w:val="182026"/>
          <w:sz w:val="18"/>
        </w:rPr>
        <w:t>Deadweight / Counterfactual:</w:t>
      </w:r>
      <w:r>
        <w:rPr>
          <w:rFonts w:ascii="Inter" w:hAnsi="Inter" w:eastAsia="Inter"/>
          <w:color w:val="182026"/>
          <w:sz w:val="18"/>
        </w:rPr>
        <w:t xml:space="preserve"> Was wäre ohne die Leistung voraussichtlich ebenfalls eingetreten?</w:t>
      </w:r>
    </w:p>
    <w:p>
      <w:pPr>
        <w:pStyle w:val="ListBullet"/>
        <w:widowControl/>
        <w:spacing w:after="50" w:line="259" w:lineRule="auto"/>
        <w:ind w:left="369" w:hanging="170"/>
      </w:pPr>
      <w:r>
        <w:rPr>
          <w:rFonts w:ascii="Inter" w:hAnsi="Inter" w:eastAsia="Inter"/>
          <w:b/>
          <w:color w:val="182026"/>
          <w:sz w:val="18"/>
        </w:rPr>
        <w:t>Displacement:</w:t>
      </w:r>
      <w:r>
        <w:rPr>
          <w:rFonts w:ascii="Inter" w:hAnsi="Inter" w:eastAsia="Inter"/>
          <w:color w:val="182026"/>
          <w:sz w:val="18"/>
        </w:rPr>
        <w:t xml:space="preserve"> Welche Verbesserung verdrängt Nutzen oder verursacht Belastung an anderer Stelle?</w:t>
      </w:r>
    </w:p>
    <w:p>
      <w:pPr>
        <w:pStyle w:val="ListBullet"/>
        <w:widowControl/>
        <w:spacing w:after="50" w:line="259" w:lineRule="auto"/>
        <w:ind w:left="369" w:hanging="170"/>
      </w:pPr>
      <w:r>
        <w:rPr>
          <w:rFonts w:ascii="Inter" w:hAnsi="Inter" w:eastAsia="Inter"/>
          <w:b/>
          <w:color w:val="182026"/>
          <w:sz w:val="18"/>
        </w:rPr>
        <w:t>Drop-off:</w:t>
      </w:r>
      <w:r>
        <w:rPr>
          <w:rFonts w:ascii="Inter" w:hAnsi="Inter" w:eastAsia="Inter"/>
          <w:color w:val="182026"/>
          <w:sz w:val="18"/>
        </w:rPr>
        <w:t xml:space="preserve"> Wie nimmt die Wirkung über die Zeit ab?</w:t>
      </w:r>
    </w:p>
    <w:p>
      <w:pPr>
        <w:pStyle w:val="BodyText"/>
        <w:widowControl/>
        <w:spacing w:after="110" w:line="278" w:lineRule="auto"/>
        <w:ind w:firstLine="255"/>
      </w:pPr>
      <w:r>
        <w:rPr>
          <w:rFonts w:ascii="Inter" w:hAnsi="Inter" w:eastAsia="Inter"/>
          <w:color w:val="182026"/>
          <w:sz w:val="19"/>
        </w:rPr>
        <w:t>Bei komplexen Dienstleistungen ist exakte Attribution oft unmöglich. Dann ist eine transparente Beitragsanalyse besser als eine scheinpräzise Prozentzahl. Die Evidenz muss zur Höhe des variablen Entgelts passen.</w:t>
      </w:r>
    </w:p>
    <w:p>
      <w:pPr>
        <w:pStyle w:val="Heading2"/>
        <w:widowControl/>
      </w:pPr>
      <w:r>
        <w:t>3.7 Netto-Wirkung und Nichtkompensation</w:t>
      </w:r>
    </w:p>
    <w:p>
      <w:pPr>
        <w:pStyle w:val="BodyText"/>
        <w:widowControl/>
        <w:spacing w:after="110" w:line="278" w:lineRule="auto"/>
        <w:ind w:firstLine="255"/>
      </w:pPr>
      <w:r>
        <w:rPr>
          <w:rFonts w:ascii="Inter" w:hAnsi="Inter" w:eastAsia="Inter"/>
          <w:color w:val="182026"/>
          <w:sz w:val="19"/>
        </w:rPr>
        <w:t>Netto-Wirkung ist in der WÖk keine einfache Summe. Positive Effekte dürfen schwere negative Wirkungen nicht beliebig kompensieren. Scorecards, Ausschlussindikatoren und Reverse Merit Order sichern, dass ein kritischer Engpass die Gesamtbewertung begrenzt. Der NWI ordnet die operative Netto-Wirkung unter Berücksichtigung von Datenqualität, Unsicherheit, Zeit und Systemkontext ein (Weber 2026a, Kap. 32-33; Weber 2026c).</w:t>
      </w:r>
    </w:p>
    <w:p>
      <w:pPr>
        <w:pStyle w:val="BodyText"/>
        <w:widowControl/>
        <w:spacing w:after="110" w:line="278" w:lineRule="auto"/>
        <w:ind w:firstLine="255"/>
      </w:pPr>
      <w:r>
        <w:rPr>
          <w:rFonts w:ascii="Inter" w:hAnsi="Inter" w:eastAsia="Inter"/>
          <w:color w:val="182026"/>
          <w:sz w:val="19"/>
        </w:rPr>
        <w:t>Für WVP bedeutet das: Ein hoher Kundenwert kann eine rote Linie nicht aufheben. Eine erfolgreiche Leistung darf keinen Wirkungsbonus erhalten, wenn sie beispielsweise Datenschutz verletzt, Arbeitsgesundheit gefährdet oder nachweisbar schädliche Systempfade verstärkt.</w:t>
      </w:r>
    </w:p>
    <w:p>
      <w:pPr>
        <w:pStyle w:val="Heading2"/>
        <w:widowControl/>
      </w:pPr>
      <w:r>
        <w:t>3.8 Transformationswirkung</w:t>
      </w:r>
    </w:p>
    <w:p>
      <w:pPr>
        <w:pStyle w:val="BodyText"/>
        <w:widowControl/>
        <w:spacing w:after="110" w:line="278" w:lineRule="auto"/>
        <w:ind w:firstLine="255"/>
      </w:pPr>
      <w:r>
        <w:rPr>
          <w:rFonts w:ascii="Inter" w:hAnsi="Inter" w:eastAsia="Inter"/>
          <w:color w:val="182026"/>
          <w:sz w:val="19"/>
        </w:rPr>
        <w:t>Transformationswirkung liegt vor, wenn eine Leistung nicht nur einen lokalen Zustand verbessert, sondern Regeln, Standards, Infrastrukturen, Fähigkeiten, Lieferketten, Märkte oder Handlungspfade dauerhaft verändert. Sie muss von der operativen Netto-Wirkung getrennt werden. Der aktuelle T-SROI-Rechenstandard der Wirkungsökonomie ergänzt eine direkte IOI-Geldrechnung nur um separat belegte, monetarisierte Transformationsnutzenströme. Es gibt keinen freien Transformationsmultiplikator und keine Umrechnung von Profilpunkten in Geld (Wirkungsökonomie 2026c).</w:t>
      </w:r>
    </w:p>
    <w:p>
      <w:pPr>
        <w:pStyle w:val="Heading2"/>
        <w:widowControl/>
      </w:pPr>
      <w:r>
        <w:t>3.9 Faire Preisbildung</w:t>
      </w:r>
    </w:p>
    <w:p>
      <w:pPr>
        <w:pStyle w:val="BodyText"/>
        <w:widowControl/>
        <w:spacing w:after="110" w:line="278" w:lineRule="auto"/>
        <w:ind w:firstLine="255"/>
      </w:pPr>
      <w:r>
        <w:rPr>
          <w:rFonts w:ascii="Inter" w:hAnsi="Inter" w:eastAsia="Inter"/>
          <w:color w:val="182026"/>
          <w:sz w:val="19"/>
        </w:rPr>
        <w:t>Fairness ist nicht identisch mit Gleichpreisigkeit. Dieselbe Leistung kann für verschiedene Kunden unterschiedlich viel wert sein. Eine Differenzierung ist jedoch nur verantwortbar, wenn sie:</w:t>
      </w:r>
    </w:p>
    <w:p>
      <w:pPr>
        <w:pStyle w:val="ListBullet"/>
        <w:widowControl/>
        <w:spacing w:after="50" w:line="259" w:lineRule="auto"/>
        <w:ind w:left="369" w:hanging="170"/>
      </w:pPr>
      <w:r>
        <w:rPr>
          <w:rFonts w:ascii="Inter" w:hAnsi="Inter" w:eastAsia="Inter"/>
          <w:color w:val="182026"/>
          <w:sz w:val="18"/>
        </w:rPr>
        <w:t>auf nachvollziehbaren Wertunterschieden beruht,</w:t>
      </w:r>
    </w:p>
    <w:p>
      <w:pPr>
        <w:pStyle w:val="ListBullet"/>
        <w:widowControl/>
        <w:spacing w:after="50" w:line="259" w:lineRule="auto"/>
        <w:ind w:left="369" w:hanging="170"/>
      </w:pPr>
      <w:r>
        <w:rPr>
          <w:rFonts w:ascii="Inter" w:hAnsi="Inter" w:eastAsia="Inter"/>
          <w:color w:val="182026"/>
          <w:sz w:val="18"/>
        </w:rPr>
        <w:t>eine konsistente Methode verwendet,</w:t>
      </w:r>
    </w:p>
    <w:p>
      <w:pPr>
        <w:pStyle w:val="ListBullet"/>
        <w:widowControl/>
        <w:spacing w:after="50" w:line="259" w:lineRule="auto"/>
        <w:ind w:left="369" w:hanging="170"/>
      </w:pPr>
      <w:r>
        <w:rPr>
          <w:rFonts w:ascii="Inter" w:hAnsi="Inter" w:eastAsia="Inter"/>
          <w:color w:val="182026"/>
          <w:sz w:val="18"/>
        </w:rPr>
        <w:t>nicht an geschützte persönliche Merkmale anknüpft,</w:t>
      </w:r>
    </w:p>
    <w:p>
      <w:pPr>
        <w:pStyle w:val="ListBullet"/>
        <w:widowControl/>
        <w:spacing w:after="50" w:line="259" w:lineRule="auto"/>
        <w:ind w:left="369" w:hanging="170"/>
      </w:pPr>
      <w:r>
        <w:rPr>
          <w:rFonts w:ascii="Inter" w:hAnsi="Inter" w:eastAsia="Inter"/>
          <w:color w:val="182026"/>
          <w:sz w:val="18"/>
        </w:rPr>
        <w:t>Machtasymmetrien und Co-Creation berücksichtigt,</w:t>
      </w:r>
    </w:p>
    <w:p>
      <w:pPr>
        <w:pStyle w:val="ListBullet"/>
        <w:widowControl/>
        <w:spacing w:after="50" w:line="259" w:lineRule="auto"/>
        <w:ind w:left="369" w:hanging="170"/>
      </w:pPr>
      <w:r>
        <w:rPr>
          <w:rFonts w:ascii="Inter" w:hAnsi="Inter" w:eastAsia="Inter"/>
          <w:color w:val="182026"/>
          <w:sz w:val="18"/>
        </w:rPr>
        <w:t>dem Kunden einen angemessenen Anteil des Werts belässt,</w:t>
      </w:r>
    </w:p>
    <w:p>
      <w:pPr>
        <w:pStyle w:val="ListBullet"/>
        <w:widowControl/>
        <w:spacing w:after="50" w:line="259" w:lineRule="auto"/>
        <w:ind w:left="369" w:hanging="170"/>
      </w:pPr>
      <w:r>
        <w:rPr>
          <w:rFonts w:ascii="Inter" w:hAnsi="Inter" w:eastAsia="Inter"/>
          <w:color w:val="182026"/>
          <w:sz w:val="18"/>
        </w:rPr>
        <w:t>keine Abhängigkeit oder Notlage ausbeutet,</w:t>
      </w:r>
    </w:p>
    <w:p>
      <w:pPr>
        <w:pStyle w:val="ListBullet"/>
        <w:widowControl/>
        <w:spacing w:after="50" w:line="259" w:lineRule="auto"/>
        <w:ind w:left="369" w:hanging="170"/>
      </w:pPr>
      <w:r>
        <w:rPr>
          <w:rFonts w:ascii="Inter" w:hAnsi="Inter" w:eastAsia="Inter"/>
          <w:color w:val="182026"/>
          <w:sz w:val="18"/>
        </w:rPr>
        <w:t>transparent genug ist, um begründet und überprüft zu werden.</w:t>
      </w:r>
    </w:p>
    <w:p>
      <w:pPr>
        <w:pStyle w:val="BodyText"/>
        <w:widowControl/>
        <w:spacing w:after="110" w:line="278" w:lineRule="auto"/>
        <w:ind w:firstLine="255"/>
      </w:pPr>
      <w:r>
        <w:rPr>
          <w:rFonts w:ascii="Inter" w:hAnsi="Inter" w:eastAsia="Inter"/>
          <w:color w:val="182026"/>
          <w:sz w:val="19"/>
        </w:rPr>
        <w:t>WVP ist daher weder Einheitspreis noch maximale Abschöpfung der Zahlungsbereitschaft. Es ist eine geregelte Wertteilung.</w:t>
      </w:r>
    </w:p>
    <w:p>
      <w:pPr>
        <w:pStyle w:val="Heading1"/>
        <w:widowControl/>
        <w:pBdr>
          <w:bottom w:val="single" w:sz="10" w:space="6" w:color="C99A43"/>
        </w:pBdr>
      </w:pPr>
      <w:r>
        <w:t>4 Das WVP-Modell: Drei Rechnungen, eine Entscheidung</w:t>
      </w:r>
    </w:p>
    <w:p>
      <w:pPr>
        <w:pStyle w:val="Heading2"/>
        <w:widowControl/>
      </w:pPr>
      <w:r>
        <w:t>4.1 Überblick</w:t>
      </w:r>
    </w:p>
    <w:p>
      <w:pPr>
        <w:pStyle w:val="BodyText"/>
        <w:widowControl/>
        <w:spacing w:after="110" w:line="278" w:lineRule="auto"/>
        <w:ind w:firstLine="255"/>
      </w:pPr>
      <w:r>
        <w:rPr>
          <w:rFonts w:ascii="Inter" w:hAnsi="Inter" w:eastAsia="Inter"/>
          <w:color w:val="182026"/>
          <w:sz w:val="19"/>
        </w:rPr>
        <w:t>Das Modell besteht aus drei eigenständigen Rechen- und Bewertungsräumen: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Tragfähigkeit des Anbieters,</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zurechenbarer Kundenwert,</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Netto-Wirkung im WÖk-Rahmen.</w:t>
      </w:r>
    </w:p>
    <w:p>
      <w:pPr>
        <w:pStyle w:val="BodyText"/>
        <w:widowControl/>
        <w:spacing w:after="110" w:line="278" w:lineRule="auto"/>
        <w:ind w:firstLine="255"/>
      </w:pPr>
      <w:r>
        <w:rPr>
          <w:rFonts w:ascii="Inter" w:hAnsi="Inter" w:eastAsia="Inter"/>
          <w:color w:val="182026"/>
          <w:sz w:val="19"/>
        </w:rPr>
        <w:t>Jeder Raum beantwortet eine andere Frage und verwendet andere Daten. Die Preisentscheidung entsteht erst in ihrer Verbindung.</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800"/>
            <w:shd w:fill="163F3D"/>
            <w:tcMar>
              <w:top w:w="100" w:type="dxa"/>
              <w:start w:w="100" w:type="dxa"/>
              <w:bottom w:w="100" w:type="dxa"/>
              <w:end w:w="100" w:type="dxa"/>
            </w:tcMar>
          </w:tcPr>
          <w:p>
            <w:pPr>
              <w:widowControl/>
              <w:jc w:val="left"/>
            </w:pPr>
            <w:r>
              <w:rPr>
                <w:rFonts w:ascii="Inter" w:hAnsi="Inter" w:eastAsia="Inter"/>
                <w:b/>
                <w:color w:val="FFFFFF"/>
                <w:sz w:val="16"/>
              </w:rPr>
              <w:t>Rechnung</w:t>
            </w:r>
          </w:p>
        </w:tc>
        <w:tc>
          <w:tcPr>
            <w:tcW w:type="dxa" w:w="2448"/>
            <w:shd w:fill="163F3D"/>
            <w:tcMar>
              <w:top w:w="100" w:type="dxa"/>
              <w:start w:w="100" w:type="dxa"/>
              <w:bottom w:w="100" w:type="dxa"/>
              <w:end w:w="100" w:type="dxa"/>
            </w:tcMar>
          </w:tcPr>
          <w:p>
            <w:pPr>
              <w:widowControl/>
              <w:jc w:val="left"/>
            </w:pPr>
            <w:r>
              <w:rPr>
                <w:rFonts w:ascii="Inter" w:hAnsi="Inter" w:eastAsia="Inter"/>
                <w:b/>
                <w:color w:val="FFFFFF"/>
                <w:sz w:val="16"/>
              </w:rPr>
              <w:t>Leitfrage</w:t>
            </w:r>
          </w:p>
        </w:tc>
        <w:tc>
          <w:tcPr>
            <w:tcW w:type="dxa" w:w="3240"/>
            <w:shd w:fill="163F3D"/>
            <w:tcMar>
              <w:top w:w="100" w:type="dxa"/>
              <w:start w:w="100" w:type="dxa"/>
              <w:bottom w:w="100" w:type="dxa"/>
              <w:end w:w="100" w:type="dxa"/>
            </w:tcMar>
          </w:tcPr>
          <w:p>
            <w:pPr>
              <w:widowControl/>
              <w:jc w:val="left"/>
            </w:pPr>
            <w:r>
              <w:rPr>
                <w:rFonts w:ascii="Inter" w:hAnsi="Inter" w:eastAsia="Inter"/>
                <w:b/>
                <w:color w:val="FFFFFF"/>
                <w:sz w:val="16"/>
              </w:rPr>
              <w:t>Kerninhalte</w:t>
            </w:r>
          </w:p>
        </w:tc>
        <w:tc>
          <w:tcPr>
            <w:tcW w:type="dxa" w:w="2160"/>
            <w:shd w:fill="163F3D"/>
            <w:tcMar>
              <w:top w:w="100" w:type="dxa"/>
              <w:start w:w="100" w:type="dxa"/>
              <w:bottom w:w="100" w:type="dxa"/>
              <w:end w:w="100" w:type="dxa"/>
            </w:tcMar>
          </w:tcPr>
          <w:p>
            <w:pPr>
              <w:widowControl/>
              <w:jc w:val="left"/>
            </w:pPr>
            <w:r>
              <w:rPr>
                <w:rFonts w:ascii="Inter" w:hAnsi="Inter" w:eastAsia="Inter"/>
                <w:b/>
                <w:color w:val="FFFFFF"/>
                <w:sz w:val="16"/>
              </w:rPr>
              <w:t>Entscheidungsfunktion</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A · Tragfähigkeit</w:t>
            </w:r>
          </w:p>
        </w:tc>
        <w:tc>
          <w:tcPr>
            <w:tcW w:type="dxa" w:w="244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Was braucht der Anbieter für zuverlässige und langfristige Leistung?</w:t>
            </w:r>
          </w:p>
        </w:tc>
        <w:tc>
          <w:tcPr>
            <w:tcW w:type="dxa" w:w="32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Vollkosten, Kapazität, Risiko, Mindestmarge</w:t>
            </w:r>
          </w:p>
        </w:tc>
        <w:tc>
          <w:tcPr>
            <w:tcW w:type="dxa" w:w="216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Setzt die verantwortbare Untergrenze.</w:t>
            </w:r>
          </w:p>
        </w:tc>
      </w:tr>
      <w:tr>
        <w:trPr>
          <w:cantSplit/>
        </w:trPr>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B · Kundenwert</w:t>
            </w:r>
          </w:p>
        </w:tc>
        <w:tc>
          <w:tcPr>
            <w:tcW w:type="dxa" w:w="244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 zurechenbare wirtschaftliche Veränderung erhält der Kunde?</w:t>
            </w:r>
          </w:p>
        </w:tc>
        <w:tc>
          <w:tcPr>
            <w:tcW w:type="dxa" w:w="32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Alternative, Wertpfade, Kundennutzen, Zurechnung, Unsicherheit</w:t>
            </w:r>
          </w:p>
        </w:tc>
        <w:tc>
          <w:tcPr>
            <w:tcW w:type="dxa" w:w="216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Begründet Wertgrenze und fairen Preiskorridor.</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C · Netto-Wirkung</w:t>
            </w:r>
          </w:p>
        </w:tc>
        <w:tc>
          <w:tcPr>
            <w:tcW w:type="dxa" w:w="244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 Zustände verändern sich für Mensch, Planet und Demokratie?</w:t>
            </w:r>
          </w:p>
        </w:tc>
        <w:tc>
          <w:tcPr>
            <w:tcW w:type="dxa" w:w="32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KII, WÖk-IDs, Scorecard, NWI, Schutz-Gate, T-SROI</w:t>
            </w:r>
          </w:p>
        </w:tc>
        <w:tc>
          <w:tcPr>
            <w:tcW w:type="dxa" w:w="216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Schützt, gestaltet und eröffnet Wirkungsfinanzierung.</w:t>
            </w:r>
          </w:p>
        </w:tc>
      </w:tr>
    </w:tbl>
    <w:p>
      <w:pPr>
        <w:widowControl/>
        <w:spacing w:after="0"/>
      </w:pPr>
    </w:p>
    <w:p>
      <w:pPr>
        <w:pStyle w:val="BodyText"/>
      </w:pPr>
      <w:r>
        <w:rPr>
          <w:b w:val="0"/>
          <w:i w:val="0"/>
        </w:rPr>
        <w:t>Neben den drei Rechnungen betrachtet WVP den Produktivitätsgewinn als vierte Entscheidungsgröße: den Raum, der entsteht, wenn Ressourceneinsatz sinkt, der zurechenbare Kundenwert aber gleich bleibt oder steigt.</w:t>
      </w:r>
    </w:p>
    <w:p>
      <w:pPr>
        <w:pStyle w:val="Heading2"/>
        <w:widowControl/>
      </w:pPr>
      <w:r>
        <w:t>4.2 Rechnung A: Tragfähigkeit des Anbieters</w:t>
      </w:r>
    </w:p>
    <w:p>
      <w:pPr>
        <w:pStyle w:val="BodyText"/>
        <w:widowControl/>
        <w:spacing w:after="110" w:line="276" w:lineRule="auto"/>
        <w:ind w:firstLine="255"/>
      </w:pPr>
      <w:r>
        <w:rPr>
          <w:rFonts w:ascii="Inter" w:hAnsi="Inter" w:eastAsia="Inter"/>
          <w:color w:val="182026"/>
          <w:sz w:val="19"/>
        </w:rPr>
        <w:t>Die Tragfähigkeitsrechnung verhindert, dass Value Pricing zu Selbstausbeutung oder unkalkulierter Risikoübernahme führt. Sie enthält mindestens:</w:t>
      </w:r>
    </w:p>
    <w:p>
      <w:pPr>
        <w:pStyle w:val="ListBullet"/>
        <w:widowControl/>
        <w:spacing w:after="50" w:line="259" w:lineRule="auto"/>
        <w:ind w:left="369" w:hanging="170"/>
      </w:pPr>
      <w:r>
        <w:rPr>
          <w:rFonts w:ascii="Inter" w:hAnsi="Inter" w:eastAsia="Inter"/>
          <w:color w:val="182026"/>
          <w:sz w:val="18"/>
        </w:rPr>
        <w:t>direkte Personalkosten und Kapazitätskosten,</w:t>
      </w:r>
    </w:p>
    <w:p>
      <w:pPr>
        <w:pStyle w:val="ListBullet"/>
        <w:widowControl/>
        <w:spacing w:after="50" w:line="259" w:lineRule="auto"/>
        <w:ind w:left="369" w:hanging="170"/>
      </w:pPr>
      <w:r>
        <w:rPr>
          <w:rFonts w:ascii="Inter" w:hAnsi="Inter" w:eastAsia="Inter"/>
          <w:color w:val="182026"/>
          <w:sz w:val="18"/>
        </w:rPr>
        <w:t>indirekte Kosten für Akquise, Administration, Wissen, Infrastruktur und Qualität,</w:t>
      </w:r>
    </w:p>
    <w:p>
      <w:pPr>
        <w:pStyle w:val="ListBullet"/>
        <w:widowControl/>
        <w:spacing w:after="50" w:line="259" w:lineRule="auto"/>
        <w:ind w:left="369" w:hanging="170"/>
      </w:pPr>
      <w:r>
        <w:rPr>
          <w:rFonts w:ascii="Inter" w:hAnsi="Inter" w:eastAsia="Inter"/>
          <w:color w:val="182026"/>
          <w:sz w:val="18"/>
        </w:rPr>
        <w:t>Methoden-, Daten-, Software- und KI-Kosten,</w:t>
      </w:r>
    </w:p>
    <w:p>
      <w:pPr>
        <w:pStyle w:val="ListBullet"/>
        <w:widowControl/>
        <w:spacing w:after="50" w:line="259" w:lineRule="auto"/>
        <w:ind w:left="369" w:hanging="170"/>
      </w:pPr>
      <w:r>
        <w:rPr>
          <w:rFonts w:ascii="Inter" w:hAnsi="Inter" w:eastAsia="Inter"/>
          <w:color w:val="182026"/>
          <w:sz w:val="18"/>
        </w:rPr>
        <w:t>Aufwand für Prüfung, Sicherheit, Datenschutz und Haftung,</w:t>
      </w:r>
    </w:p>
    <w:p>
      <w:pPr>
        <w:pStyle w:val="ListBullet"/>
        <w:widowControl/>
        <w:spacing w:after="50" w:line="259" w:lineRule="auto"/>
        <w:ind w:left="369" w:hanging="170"/>
      </w:pPr>
      <w:r>
        <w:rPr>
          <w:rFonts w:ascii="Inter" w:hAnsi="Inter" w:eastAsia="Inter"/>
          <w:color w:val="182026"/>
          <w:sz w:val="18"/>
        </w:rPr>
        <w:t>erwartete Nacharbeit und Gewährleistungsaufwand,</w:t>
      </w:r>
    </w:p>
    <w:p>
      <w:pPr>
        <w:pStyle w:val="ListBullet"/>
        <w:widowControl/>
        <w:spacing w:after="50" w:line="259" w:lineRule="auto"/>
        <w:ind w:left="369" w:hanging="170"/>
      </w:pPr>
      <w:r>
        <w:rPr>
          <w:rFonts w:ascii="Inter" w:hAnsi="Inter" w:eastAsia="Inter"/>
          <w:color w:val="182026"/>
          <w:sz w:val="18"/>
        </w:rPr>
        <w:t>Risikoreserve für Scope-, Daten-, Termin- und Ergebnisrisiken,</w:t>
      </w:r>
    </w:p>
    <w:p>
      <w:pPr>
        <w:pStyle w:val="ListBullet"/>
        <w:widowControl/>
        <w:spacing w:after="50" w:line="259" w:lineRule="auto"/>
        <w:ind w:left="369" w:hanging="170"/>
      </w:pPr>
      <w:r>
        <w:rPr>
          <w:rFonts w:ascii="Inter" w:hAnsi="Inter" w:eastAsia="Inter"/>
          <w:color w:val="182026"/>
          <w:sz w:val="18"/>
        </w:rPr>
        <w:t>Opportunitätskosten gebundener Kapazität,</w:t>
      </w:r>
    </w:p>
    <w:p>
      <w:pPr>
        <w:pStyle w:val="ListBullet"/>
        <w:widowControl/>
        <w:spacing w:after="50" w:line="259" w:lineRule="auto"/>
        <w:ind w:left="369" w:hanging="170"/>
      </w:pPr>
      <w:r>
        <w:rPr>
          <w:rFonts w:ascii="Inter" w:hAnsi="Inter" w:eastAsia="Inter"/>
          <w:color w:val="182026"/>
          <w:sz w:val="18"/>
        </w:rPr>
        <w:t>Mindestmarge für Investition, Resilienz und Weiterentwicklung.</w:t>
      </w:r>
    </w:p>
    <w:p>
      <w:pPr>
        <w:pStyle w:val="BodyText"/>
        <w:widowControl/>
        <w:spacing w:after="110" w:line="276" w:lineRule="auto"/>
        <w:ind w:firstLine="255"/>
      </w:pPr>
      <w:r>
        <w:rPr>
          <w:rFonts w:ascii="Inter" w:hAnsi="Inter" w:eastAsia="Inter"/>
          <w:color w:val="182026"/>
          <w:sz w:val="19"/>
        </w:rPr>
        <w:t>Die daraus entstehende Preisuntergrenze ist nicht mit Marktwert gleichzusetzen. Sie sagt nur: Unterhalb dieses Werts kann die Leistung nicht verantwortbar und dauerhaft angeboten werden. Liegt der erzielbare Kundenwert darunter, muss das Angebot reduziert, standardisiert, anders finanziert oder abgelehnt werden.</w:t>
      </w:r>
    </w:p>
    <w:p>
      <w:pPr>
        <w:pStyle w:val="Heading3"/>
        <w:widowControl/>
      </w:pPr>
      <w:r>
        <w:t>Erfahrung und KI in der Tragfähigkeitsrechnung</w:t>
      </w:r>
    </w:p>
    <w:p>
      <w:pPr>
        <w:pStyle w:val="BodyText"/>
        <w:widowControl/>
        <w:spacing w:after="110" w:line="276" w:lineRule="auto"/>
        <w:ind w:firstLine="255"/>
      </w:pPr>
      <w:r>
        <w:rPr>
          <w:rFonts w:ascii="Inter" w:hAnsi="Inter" w:eastAsia="Inter"/>
          <w:color w:val="182026"/>
          <w:sz w:val="19"/>
        </w:rPr>
        <w:t>Erfahrung und Automatisierung können den unmittelbaren Projektaufwand senken. Gleichzeitig entstehen Vorleistungen und laufende Kosten, die nicht in den sichtbaren Stunden erscheinen: Training, Datenpflege, Methodenentwicklung, Lizenzkosten, Sicherheit, Qualitätssicherung und Verantwortung. Eine faire Tragfähigkeitsrechnung verteilt diese Kosten über mehrere Projekte, statt jede neue Leistung so zu behandeln, als sei das Wissen kostenlos entstanden.</w:t>
      </w:r>
    </w:p>
    <w:p>
      <w:pPr>
        <w:pStyle w:val="Heading2"/>
        <w:widowControl/>
      </w:pPr>
      <w:r>
        <w:t>4.3 Rechnung B: Zurechenbarer Kundenwert</w:t>
      </w:r>
    </w:p>
    <w:p>
      <w:pPr>
        <w:pStyle w:val="BodyText"/>
        <w:widowControl/>
        <w:spacing w:after="110" w:line="278" w:lineRule="auto"/>
        <w:ind w:firstLine="255"/>
      </w:pPr>
      <w:r>
        <w:rPr>
          <w:rFonts w:ascii="Inter" w:hAnsi="Inter" w:eastAsia="Inter"/>
          <w:color w:val="182026"/>
          <w:sz w:val="19"/>
        </w:rPr>
        <w:t>Die Kundenwertrechnung ermittelt, welche Veränderung beim Auftraggeber gegenüber der nächsten realistischen Alternative entsteht. Sie betrachtet unter anderem:</w:t>
      </w:r>
    </w:p>
    <w:p>
      <w:pPr>
        <w:pStyle w:val="ListBullet"/>
        <w:widowControl/>
        <w:spacing w:after="50" w:line="259" w:lineRule="auto"/>
        <w:ind w:left="369" w:hanging="170"/>
      </w:pPr>
      <w:r>
        <w:rPr>
          <w:rFonts w:ascii="Inter" w:hAnsi="Inter" w:eastAsia="Inter"/>
          <w:color w:val="182026"/>
          <w:sz w:val="18"/>
        </w:rPr>
        <w:t>zusätzliche Deckungsbeiträge oder vermiedene Erlösverluste,</w:t>
      </w:r>
    </w:p>
    <w:p>
      <w:pPr>
        <w:pStyle w:val="ListBullet"/>
        <w:widowControl/>
        <w:spacing w:after="50" w:line="259" w:lineRule="auto"/>
        <w:ind w:left="369" w:hanging="170"/>
      </w:pPr>
      <w:r>
        <w:rPr>
          <w:rFonts w:ascii="Inter" w:hAnsi="Inter" w:eastAsia="Inter"/>
          <w:color w:val="182026"/>
          <w:sz w:val="18"/>
        </w:rPr>
        <w:t>vermiedene Prozess-, Fehler-, Energie-, Material- oder Personalkosten,</w:t>
      </w:r>
    </w:p>
    <w:p>
      <w:pPr>
        <w:pStyle w:val="ListBullet"/>
        <w:widowControl/>
        <w:spacing w:after="50" w:line="259" w:lineRule="auto"/>
        <w:ind w:left="369" w:hanging="170"/>
      </w:pPr>
      <w:r>
        <w:rPr>
          <w:rFonts w:ascii="Inter" w:hAnsi="Inter" w:eastAsia="Inter"/>
          <w:color w:val="182026"/>
          <w:sz w:val="18"/>
        </w:rPr>
        <w:t>Reduktion erwarteter Risiken,</w:t>
      </w:r>
    </w:p>
    <w:p>
      <w:pPr>
        <w:pStyle w:val="ListBullet"/>
        <w:widowControl/>
        <w:spacing w:after="50" w:line="259" w:lineRule="auto"/>
        <w:ind w:left="369" w:hanging="170"/>
      </w:pPr>
      <w:r>
        <w:rPr>
          <w:rFonts w:ascii="Inter" w:hAnsi="Inter" w:eastAsia="Inter"/>
          <w:color w:val="182026"/>
          <w:sz w:val="18"/>
        </w:rPr>
        <w:t>geringere Kapitalbindung oder bessere Finanzierung,</w:t>
      </w:r>
    </w:p>
    <w:p>
      <w:pPr>
        <w:pStyle w:val="ListBullet"/>
        <w:widowControl/>
        <w:spacing w:after="50" w:line="259" w:lineRule="auto"/>
        <w:ind w:left="369" w:hanging="170"/>
      </w:pPr>
      <w:r>
        <w:rPr>
          <w:rFonts w:ascii="Inter" w:hAnsi="Inter" w:eastAsia="Inter"/>
          <w:color w:val="182026"/>
          <w:sz w:val="18"/>
        </w:rPr>
        <w:t>Zeitgewinn und frühere Nutzung,</w:t>
      </w:r>
    </w:p>
    <w:p>
      <w:pPr>
        <w:pStyle w:val="ListBullet"/>
        <w:widowControl/>
        <w:spacing w:after="50" w:line="259" w:lineRule="auto"/>
        <w:ind w:left="369" w:hanging="170"/>
      </w:pPr>
      <w:r>
        <w:rPr>
          <w:rFonts w:ascii="Inter" w:hAnsi="Inter" w:eastAsia="Inter"/>
          <w:color w:val="182026"/>
          <w:sz w:val="18"/>
        </w:rPr>
        <w:t>Qualitäts-, Sicherheits- und Compliancevorteile,</w:t>
      </w:r>
    </w:p>
    <w:p>
      <w:pPr>
        <w:pStyle w:val="ListBullet"/>
        <w:widowControl/>
        <w:spacing w:after="50" w:line="259" w:lineRule="auto"/>
        <w:ind w:left="369" w:hanging="170"/>
      </w:pPr>
      <w:r>
        <w:rPr>
          <w:rFonts w:ascii="Inter" w:hAnsi="Inter" w:eastAsia="Inter"/>
          <w:color w:val="182026"/>
          <w:sz w:val="18"/>
        </w:rPr>
        <w:t>Resilienz und Handlungsoptionen,</w:t>
      </w:r>
    </w:p>
    <w:p>
      <w:pPr>
        <w:pStyle w:val="ListBullet"/>
        <w:widowControl/>
        <w:spacing w:after="50" w:line="259" w:lineRule="auto"/>
        <w:ind w:left="369" w:hanging="170"/>
      </w:pPr>
      <w:r>
        <w:rPr>
          <w:rFonts w:ascii="Inter" w:hAnsi="Inter" w:eastAsia="Inter"/>
          <w:color w:val="182026"/>
          <w:sz w:val="18"/>
        </w:rPr>
        <w:t>Aufbau von Wissen, Daten, Standards und Fähigkeiten.</w:t>
      </w:r>
    </w:p>
    <w:p>
      <w:pPr>
        <w:pStyle w:val="BodyText"/>
        <w:widowControl/>
        <w:spacing w:after="110" w:line="278" w:lineRule="auto"/>
        <w:ind w:firstLine="255"/>
      </w:pPr>
      <w:r>
        <w:rPr>
          <w:rFonts w:ascii="Inter" w:hAnsi="Inter" w:eastAsia="Inter"/>
          <w:color w:val="182026"/>
          <w:sz w:val="19"/>
        </w:rPr>
        <w:t>Abgezogen werden Implementierungs-, Betriebs- und Umstellungskosten beim Kunden, negative Nebeneffekte, erforderliche Risikovorsorge sowie der Anteil, der auch ohne die Leistung eingetreten wäre oder anderen Mitwirkenden zuzurechnen ist.</w:t>
      </w:r>
    </w:p>
    <w:p>
      <w:pPr>
        <w:pStyle w:val="Heading2"/>
        <w:widowControl/>
      </w:pPr>
      <w:r>
        <w:t>4.4 Rechnung C: Netto-Wirkung</w:t>
      </w:r>
    </w:p>
    <w:p>
      <w:pPr>
        <w:pStyle w:val="BodyText"/>
        <w:widowControl/>
        <w:spacing w:after="110" w:line="278" w:lineRule="auto"/>
        <w:ind w:firstLine="255"/>
      </w:pPr>
      <w:r>
        <w:rPr>
          <w:rFonts w:ascii="Inter" w:hAnsi="Inter" w:eastAsia="Inter"/>
          <w:color w:val="182026"/>
          <w:sz w:val="19"/>
        </w:rPr>
        <w:t>Die Wirkungsrechnung erfasst Zustandsveränderungen für alle wesentlichen Wirkungsempfänger. Sie verwendet:</w:t>
      </w:r>
    </w:p>
    <w:p>
      <w:pPr>
        <w:pStyle w:val="ListBullet"/>
        <w:widowControl/>
        <w:spacing w:after="50" w:line="259" w:lineRule="auto"/>
        <w:ind w:left="369" w:hanging="170"/>
      </w:pPr>
      <w:r>
        <w:rPr>
          <w:rFonts w:ascii="Inter" w:hAnsi="Inter" w:eastAsia="Inter"/>
          <w:color w:val="182026"/>
          <w:sz w:val="18"/>
        </w:rPr>
        <w:t>SDGs und SDG+ als Referenzrahmen,</w:t>
      </w:r>
    </w:p>
    <w:p>
      <w:pPr>
        <w:pStyle w:val="ListBullet"/>
        <w:widowControl/>
        <w:spacing w:after="50" w:line="259" w:lineRule="auto"/>
        <w:ind w:left="369" w:hanging="170"/>
      </w:pPr>
      <w:r>
        <w:rPr>
          <w:rFonts w:ascii="Inter" w:hAnsi="Inter" w:eastAsia="Inter"/>
          <w:color w:val="182026"/>
          <w:sz w:val="18"/>
        </w:rPr>
        <w:t>WÖk-IDs und Key Impact Indicators,</w:t>
      </w:r>
    </w:p>
    <w:p>
      <w:pPr>
        <w:pStyle w:val="ListBullet"/>
        <w:widowControl/>
        <w:spacing w:after="50" w:line="259" w:lineRule="auto"/>
        <w:ind w:left="369" w:hanging="170"/>
      </w:pPr>
      <w:r>
        <w:rPr>
          <w:rFonts w:ascii="Inter" w:hAnsi="Inter" w:eastAsia="Inter"/>
          <w:color w:val="182026"/>
          <w:sz w:val="18"/>
        </w:rPr>
        <w:t>Scorecards und Benchmarks,</w:t>
      </w:r>
    </w:p>
    <w:p>
      <w:pPr>
        <w:pStyle w:val="ListBullet"/>
        <w:widowControl/>
        <w:spacing w:after="50" w:line="259" w:lineRule="auto"/>
        <w:ind w:left="369" w:hanging="170"/>
      </w:pPr>
      <w:r>
        <w:rPr>
          <w:rFonts w:ascii="Inter" w:hAnsi="Inter" w:eastAsia="Inter"/>
          <w:color w:val="182026"/>
          <w:sz w:val="18"/>
        </w:rPr>
        <w:t>Datenqualitäts- und Unsicherheitsklassen,</w:t>
      </w:r>
    </w:p>
    <w:p>
      <w:pPr>
        <w:pStyle w:val="ListBullet"/>
        <w:widowControl/>
        <w:spacing w:after="50" w:line="259" w:lineRule="auto"/>
        <w:ind w:left="369" w:hanging="170"/>
      </w:pPr>
      <w:r>
        <w:rPr>
          <w:rFonts w:ascii="Inter" w:hAnsi="Inter" w:eastAsia="Inter"/>
          <w:color w:val="182026"/>
          <w:sz w:val="18"/>
        </w:rPr>
        <w:t>Reverse Merit Order und rote Linien,</w:t>
      </w:r>
    </w:p>
    <w:p>
      <w:pPr>
        <w:pStyle w:val="ListBullet"/>
        <w:widowControl/>
        <w:spacing w:after="50" w:line="259" w:lineRule="auto"/>
        <w:ind w:left="369" w:hanging="170"/>
      </w:pPr>
      <w:r>
        <w:rPr>
          <w:rFonts w:ascii="Inter" w:hAnsi="Inter" w:eastAsia="Inter"/>
          <w:color w:val="182026"/>
          <w:sz w:val="18"/>
        </w:rPr>
        <w:t>den NWI für operative Netto-Wirkung,</w:t>
      </w:r>
    </w:p>
    <w:p>
      <w:pPr>
        <w:pStyle w:val="ListBullet"/>
        <w:widowControl/>
        <w:spacing w:after="50" w:line="259" w:lineRule="auto"/>
        <w:ind w:left="369" w:hanging="170"/>
      </w:pPr>
      <w:r>
        <w:rPr>
          <w:rFonts w:ascii="Inter" w:hAnsi="Inter" w:eastAsia="Inter"/>
          <w:color w:val="182026"/>
          <w:sz w:val="18"/>
        </w:rPr>
        <w:t>IOI für direkt monetarisierten, kausal begrenzten Nettonutzen,</w:t>
      </w:r>
    </w:p>
    <w:p>
      <w:pPr>
        <w:pStyle w:val="ListBullet"/>
        <w:widowControl/>
        <w:spacing w:after="50" w:line="259" w:lineRule="auto"/>
        <w:ind w:left="369" w:hanging="170"/>
      </w:pPr>
      <w:r>
        <w:rPr>
          <w:rFonts w:ascii="Inter" w:hAnsi="Inter" w:eastAsia="Inter"/>
          <w:color w:val="182026"/>
          <w:sz w:val="18"/>
        </w:rPr>
        <w:t>T-SROI für separat belegten Transformationsnutzen.</w:t>
      </w:r>
    </w:p>
    <w:p>
      <w:pPr>
        <w:pStyle w:val="BodyText"/>
        <w:widowControl/>
        <w:spacing w:after="110" w:line="278" w:lineRule="auto"/>
        <w:ind w:firstLine="255"/>
      </w:pPr>
      <w:r>
        <w:rPr>
          <w:rFonts w:ascii="Inter" w:hAnsi="Inter" w:eastAsia="Inter"/>
          <w:color w:val="182026"/>
          <w:sz w:val="19"/>
        </w:rPr>
        <w:t>Die Wirkungsrechnung erfüllt vier Funktionen: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b/>
          <w:color w:val="182026"/>
          <w:sz w:val="18"/>
        </w:rPr>
        <w:t>Schutz:</w:t>
      </w:r>
      <w:r>
        <w:rPr>
          <w:rFonts w:ascii="Inter" w:hAnsi="Inter" w:eastAsia="Inter"/>
          <w:color w:val="182026"/>
          <w:sz w:val="18"/>
        </w:rPr>
        <w:t xml:space="preserve"> Sie verhindert, dass wirtschaftlicher Wert negative Wirkung überdeckt.</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b/>
          <w:color w:val="182026"/>
          <w:sz w:val="18"/>
        </w:rPr>
        <w:t>Gestaltung:</w:t>
      </w:r>
      <w:r>
        <w:rPr>
          <w:rFonts w:ascii="Inter" w:hAnsi="Inter" w:eastAsia="Inter"/>
          <w:color w:val="182026"/>
          <w:sz w:val="18"/>
        </w:rPr>
        <w:t xml:space="preserve"> Sie zeigt, wie die Leistung so verändert werden kann, dass positive Netto-Wirkung steigt.</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b/>
          <w:color w:val="182026"/>
          <w:sz w:val="18"/>
        </w:rPr>
        <w:t>Finanzierung:</w:t>
      </w:r>
      <w:r>
        <w:rPr>
          <w:rFonts w:ascii="Inter" w:hAnsi="Inter" w:eastAsia="Inter"/>
          <w:color w:val="182026"/>
          <w:sz w:val="18"/>
        </w:rPr>
        <w:t xml:space="preserve"> Sie macht verteilte Nutzenempfänger sichtbar und eröffnet Multi-Payer-Modelle.</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b/>
          <w:color w:val="182026"/>
          <w:sz w:val="18"/>
        </w:rPr>
        <w:t>Governance:</w:t>
      </w:r>
      <w:r>
        <w:rPr>
          <w:rFonts w:ascii="Inter" w:hAnsi="Inter" w:eastAsia="Inter"/>
          <w:color w:val="182026"/>
          <w:sz w:val="18"/>
        </w:rPr>
        <w:t xml:space="preserve"> Sie schafft Kriterien für Freigabe, Bonus, Beschaffung, Portfoliosteuerung und Lernen.</w:t>
      </w:r>
    </w:p>
    <w:p>
      <w:pPr>
        <w:pStyle w:val="Heading2"/>
        <w:widowControl/>
      </w:pPr>
      <w:r>
        <w:t>4.5 Keine Vermischung der Rechnungen</w:t>
      </w:r>
    </w:p>
    <w:p>
      <w:pPr>
        <w:pStyle w:val="BodyText"/>
        <w:widowControl/>
        <w:spacing w:after="110" w:line="278" w:lineRule="auto"/>
        <w:ind w:firstLine="255"/>
      </w:pPr>
      <w:r>
        <w:rPr>
          <w:rFonts w:ascii="Inter" w:hAnsi="Inter" w:eastAsia="Inter"/>
          <w:color w:val="182026"/>
          <w:sz w:val="19"/>
        </w:rPr>
        <w:t>Ein typischer Fehler wäre, Kundenwert und gesellschaftliche Wirkung in eine gemeinsame Eurozahl zu pressen. Dadurch entstünden mehrere Probleme:</w:t>
      </w:r>
    </w:p>
    <w:p>
      <w:pPr>
        <w:pStyle w:val="ListBullet"/>
        <w:widowControl/>
        <w:spacing w:after="50" w:line="259" w:lineRule="auto"/>
        <w:ind w:left="369" w:hanging="170"/>
      </w:pPr>
      <w:r>
        <w:rPr>
          <w:rFonts w:ascii="Inter" w:hAnsi="Inter" w:eastAsia="Inter"/>
          <w:color w:val="182026"/>
          <w:sz w:val="18"/>
        </w:rPr>
        <w:t>Nichtmonetarisierbare Rechte oder rote Linien würden zu Preisen degradiert.</w:t>
      </w:r>
    </w:p>
    <w:p>
      <w:pPr>
        <w:pStyle w:val="ListBullet"/>
        <w:widowControl/>
        <w:spacing w:after="50" w:line="259" w:lineRule="auto"/>
        <w:ind w:left="369" w:hanging="170"/>
      </w:pPr>
      <w:r>
        <w:rPr>
          <w:rFonts w:ascii="Inter" w:hAnsi="Inter" w:eastAsia="Inter"/>
          <w:color w:val="182026"/>
          <w:sz w:val="18"/>
        </w:rPr>
        <w:t>Dasselbe Wirkungsergebnis könnte beim Kundenwert und beim T-SROI doppelt gezählt werden.</w:t>
      </w:r>
    </w:p>
    <w:p>
      <w:pPr>
        <w:pStyle w:val="ListBullet"/>
        <w:widowControl/>
        <w:spacing w:after="50" w:line="259" w:lineRule="auto"/>
        <w:ind w:left="369" w:hanging="170"/>
      </w:pPr>
      <w:r>
        <w:rPr>
          <w:rFonts w:ascii="Inter" w:hAnsi="Inter" w:eastAsia="Inter"/>
          <w:color w:val="182026"/>
          <w:sz w:val="18"/>
        </w:rPr>
        <w:t>Unsichere monetäre Proxies würden wie harte Zahlungsströme erscheinen.</w:t>
      </w:r>
    </w:p>
    <w:p>
      <w:pPr>
        <w:pStyle w:val="ListBullet"/>
        <w:widowControl/>
        <w:spacing w:after="50" w:line="259" w:lineRule="auto"/>
        <w:ind w:left="369" w:hanging="170"/>
      </w:pPr>
      <w:r>
        <w:rPr>
          <w:rFonts w:ascii="Inter" w:hAnsi="Inter" w:eastAsia="Inter"/>
          <w:color w:val="182026"/>
          <w:sz w:val="18"/>
        </w:rPr>
        <w:t>Ein hoher gesellschaftlicher Nutzen könnte zur Rechtfertigung unangemessener Kundenpreise dienen.</w:t>
      </w:r>
    </w:p>
    <w:p>
      <w:pPr>
        <w:pStyle w:val="ListBullet"/>
        <w:widowControl/>
        <w:spacing w:after="50" w:line="259" w:lineRule="auto"/>
        <w:ind w:left="369" w:hanging="170"/>
      </w:pPr>
      <w:r>
        <w:rPr>
          <w:rFonts w:ascii="Inter" w:hAnsi="Inter" w:eastAsia="Inter"/>
          <w:color w:val="182026"/>
          <w:sz w:val="18"/>
        </w:rPr>
        <w:t>Ein hoher Kundenwert könnte als Nachweis positiver Wirkung missverstanden werden.</w:t>
      </w:r>
    </w:p>
    <w:p>
      <w:pPr>
        <w:pStyle w:val="BodyText"/>
        <w:widowControl/>
        <w:spacing w:after="110" w:line="278" w:lineRule="auto"/>
        <w:ind w:firstLine="255"/>
      </w:pPr>
      <w:r>
        <w:rPr>
          <w:rFonts w:ascii="Inter" w:hAnsi="Inter" w:eastAsia="Inter"/>
          <w:color w:val="182026"/>
          <w:sz w:val="19"/>
        </w:rPr>
        <w:t>Darum gilt das Prinzip:</w:t>
      </w:r>
    </w:p>
    <w:tbl>
      <w:tblPr>
        <w:tblW w:type="auto" w:w="0"/>
        <w:jc w:val="center"/>
        <w:tblLayout w:type="fixed"/>
        <w:tblLook w:firstColumn="1" w:firstRow="1" w:lastColumn="0" w:lastRow="0" w:noHBand="0" w:noVBand="1" w:val="04A0"/>
      </w:tblPr>
      <w:tblGrid>
        <w:gridCol w:w="9858"/>
      </w:tblGrid>
      <w:tr>
        <w:tc>
          <w:tcPr>
            <w:tcW w:type="dxa" w:w="9432"/>
            <w:shd w:fill="DDEDEA"/>
            <w:tcMar>
              <w:top w:w="160" w:type="dxa"/>
              <w:start w:w="180" w:type="dxa"/>
              <w:bottom w:w="150" w:type="dxa"/>
              <w:end w:w="180" w:type="dxa"/>
            </w:tcMar>
          </w:tcPr>
          <w:p>
            <w:pPr>
              <w:widowControl/>
              <w:spacing w:after="80"/>
            </w:pPr>
            <w:r>
              <w:rPr>
                <w:rFonts w:ascii="Inter" w:hAnsi="Inter" w:eastAsia="Inter"/>
                <w:b/>
                <w:color w:val="163F3D"/>
                <w:sz w:val="22"/>
              </w:rPr>
              <w:t>Drei Bücher, eine Entscheidung</w:t>
            </w:r>
          </w:p>
          <w:p>
            <w:pPr>
              <w:widowControl/>
              <w:spacing w:after="0" w:line="269" w:lineRule="auto"/>
            </w:pPr>
            <w:r>
              <w:rPr>
                <w:rFonts w:ascii="Inter" w:hAnsi="Inter" w:eastAsia="Inter"/>
                <w:color w:val="182026"/>
                <w:sz w:val="20"/>
              </w:rPr>
              <w:t>Die Tragfähigkeitsrechnung, die Kundenwertrechnung und die Wirkungsrechnung werden getrennt geführt. Zusammengeführt werden nicht die Zahlen, sondern die Entscheidungsfolgen.</w:t>
            </w:r>
          </w:p>
        </w:tc>
      </w:tr>
    </w:tbl>
    <w:p>
      <w:pPr>
        <w:widowControl/>
        <w:spacing w:after="20"/>
      </w:pPr>
    </w:p>
    <w:p>
      <w:pPr>
        <w:pStyle w:val="Heading2"/>
      </w:pPr>
      <w:r>
        <w:rPr>
          <w:b w:val="0"/>
          <w:i w:val="0"/>
        </w:rPr>
        <w:t>4.6 Kundenwert und Systemwirkung als Entscheidungsmatrix</w:t>
      </w:r>
    </w:p>
    <w:p>
      <w:pPr>
        <w:pStyle w:val="BodyText"/>
      </w:pPr>
      <w:r>
        <w:rPr>
          <w:b w:val="0"/>
          <w:i w:val="0"/>
        </w:rPr>
        <w:t>Kundenwert und Netto-Wirkung bilden zwei eigenständige Entscheidungsachsen. Die bereits in Abbildung 2 dargestellte Matrix führt zu vier Grundsituationen:</w:t>
      </w:r>
    </w:p>
    <w:p>
      <w:pPr>
        <w:pStyle w:val="ListBullet"/>
      </w:pPr>
      <w:r>
        <w:rPr>
          <w:b w:val="0"/>
          <w:i w:val="0"/>
        </w:rPr>
        <w:t>Hoher Kundenwert und positive Wirkung: priorisieren, fair bepreisen, skalieren und Wirkung sichern.</w:t>
      </w:r>
    </w:p>
    <w:p>
      <w:pPr>
        <w:pStyle w:val="ListBullet"/>
      </w:pPr>
      <w:r>
        <w:rPr>
          <w:b w:val="0"/>
          <w:i w:val="0"/>
        </w:rPr>
        <w:t>Hoher Kundenwert und negative Wirkung: kein Wirkungsclaim; Schutz-Gate, Redesign oder Ablehnung.</w:t>
      </w:r>
    </w:p>
    <w:p>
      <w:pPr>
        <w:pStyle w:val="ListBullet"/>
      </w:pPr>
      <w:r>
        <w:rPr>
          <w:b w:val="0"/>
          <w:i w:val="0"/>
        </w:rPr>
        <w:t>Geringer privater Kundenwert und positive verteilte Wirkung: Drittfinanzierung, Beschaffung, Förderung oder Multi-Payer-Modell prüfen.</w:t>
      </w:r>
    </w:p>
    <w:p>
      <w:pPr>
        <w:pStyle w:val="ListBullet"/>
      </w:pPr>
      <w:r>
        <w:rPr>
          <w:b w:val="0"/>
          <w:i w:val="0"/>
        </w:rPr>
        <w:t>Geringer Kundenwert und geringe Wirkung: nicht priorisieren oder grundlegend neu gestalten.</w:t>
      </w:r>
    </w:p>
    <w:p>
      <w:pPr>
        <w:pStyle w:val="Heading2"/>
        <w:widowControl/>
      </w:pPr>
      <w:r>
        <w:t>4.7 Die vierte Entscheidungsgröße: Produktivitätsgewinn</w:t>
      </w:r>
    </w:p>
    <w:p>
      <w:pPr>
        <w:pStyle w:val="BodyText"/>
        <w:widowControl/>
        <w:spacing w:after="110" w:line="276" w:lineRule="auto"/>
        <w:ind w:firstLine="255"/>
      </w:pPr>
      <w:r>
        <w:rPr>
          <w:rFonts w:ascii="Inter" w:hAnsi="Inter" w:eastAsia="Inter"/>
          <w:color w:val="182026"/>
          <w:sz w:val="19"/>
        </w:rPr>
        <w:t>Zwischen Tragfähigkeitsuntergrenze und Kundenwertgrenze liegt der potenzielle Produktivitätsgewinn. Erfahrung, Standardisierung und KI können diesen Raum vergrößern. WVP macht ihn sichtbar und verteilt ihn nicht automatisch einseitig.</w:t>
      </w:r>
    </w:p>
    <w:p>
      <w:pPr>
        <w:pStyle w:val="BodyText"/>
        <w:widowControl/>
        <w:spacing w:after="110" w:line="276" w:lineRule="auto"/>
        <w:ind w:firstLine="255"/>
      </w:pPr>
      <w:r>
        <w:rPr>
          <w:rFonts w:ascii="Inter" w:hAnsi="Inter" w:eastAsia="Inter"/>
          <w:color w:val="182026"/>
          <w:sz w:val="19"/>
        </w:rPr>
        <w:t>Der Produktivitätsgewinn kann genutzt werden für:</w:t>
      </w:r>
    </w:p>
    <w:p>
      <w:pPr>
        <w:pStyle w:val="ListBullet"/>
        <w:widowControl/>
        <w:spacing w:after="50" w:line="259" w:lineRule="auto"/>
        <w:ind w:left="369" w:hanging="170"/>
      </w:pPr>
      <w:r>
        <w:rPr>
          <w:rFonts w:ascii="Inter" w:hAnsi="Inter" w:eastAsia="Inter"/>
          <w:color w:val="182026"/>
          <w:sz w:val="18"/>
        </w:rPr>
        <w:t>niedrigeren oder stabilen Kundenpreis,</w:t>
      </w:r>
    </w:p>
    <w:p>
      <w:pPr>
        <w:pStyle w:val="ListBullet"/>
        <w:widowControl/>
        <w:spacing w:after="50" w:line="259" w:lineRule="auto"/>
        <w:ind w:left="369" w:hanging="170"/>
      </w:pPr>
      <w:r>
        <w:rPr>
          <w:rFonts w:ascii="Inter" w:hAnsi="Inter" w:eastAsia="Inter"/>
          <w:color w:val="182026"/>
          <w:sz w:val="18"/>
        </w:rPr>
        <w:t>höhere Marge und Risikovorsorge beim Anbieter,</w:t>
      </w:r>
    </w:p>
    <w:p>
      <w:pPr>
        <w:pStyle w:val="ListBullet"/>
        <w:widowControl/>
        <w:spacing w:after="50" w:line="259" w:lineRule="auto"/>
        <w:ind w:left="369" w:hanging="170"/>
      </w:pPr>
      <w:r>
        <w:rPr>
          <w:rFonts w:ascii="Inter" w:hAnsi="Inter" w:eastAsia="Inter"/>
          <w:color w:val="182026"/>
          <w:sz w:val="18"/>
        </w:rPr>
        <w:t>schnellere Lieferung,</w:t>
      </w:r>
    </w:p>
    <w:p>
      <w:pPr>
        <w:pStyle w:val="ListBullet"/>
        <w:widowControl/>
        <w:spacing w:after="50" w:line="259" w:lineRule="auto"/>
        <w:ind w:left="369" w:hanging="170"/>
      </w:pPr>
      <w:r>
        <w:rPr>
          <w:rFonts w:ascii="Inter" w:hAnsi="Inter" w:eastAsia="Inter"/>
          <w:color w:val="182026"/>
          <w:sz w:val="18"/>
        </w:rPr>
        <w:t>bessere Qualitätssicherung,</w:t>
      </w:r>
    </w:p>
    <w:p>
      <w:pPr>
        <w:pStyle w:val="ListBullet"/>
        <w:widowControl/>
        <w:spacing w:after="50" w:line="259" w:lineRule="auto"/>
        <w:ind w:left="369" w:hanging="170"/>
      </w:pPr>
      <w:r>
        <w:rPr>
          <w:rFonts w:ascii="Inter" w:hAnsi="Inter" w:eastAsia="Inter"/>
          <w:color w:val="182026"/>
          <w:sz w:val="18"/>
        </w:rPr>
        <w:t>Investition in Methoden und Weiterbildung,</w:t>
      </w:r>
    </w:p>
    <w:p>
      <w:pPr>
        <w:pStyle w:val="ListBullet"/>
        <w:widowControl/>
        <w:spacing w:after="50" w:line="259" w:lineRule="auto"/>
        <w:ind w:left="369" w:hanging="170"/>
      </w:pPr>
      <w:r>
        <w:rPr>
          <w:rFonts w:ascii="Inter" w:hAnsi="Inter" w:eastAsia="Inter"/>
          <w:color w:val="182026"/>
          <w:sz w:val="18"/>
        </w:rPr>
        <w:t>Finanzierung zusätzlicher positiver Wirkung,</w:t>
      </w:r>
    </w:p>
    <w:p>
      <w:pPr>
        <w:pStyle w:val="ListBullet"/>
        <w:widowControl/>
        <w:spacing w:after="50" w:line="259" w:lineRule="auto"/>
        <w:ind w:left="369" w:hanging="170"/>
      </w:pPr>
      <w:r>
        <w:rPr>
          <w:rFonts w:ascii="Inter" w:hAnsi="Inter" w:eastAsia="Inter"/>
          <w:color w:val="182026"/>
          <w:sz w:val="18"/>
        </w:rPr>
        <w:t>gemeinsame Innovations- oder Lernbudgets.</w:t>
      </w:r>
    </w:p>
    <w:p>
      <w:pPr>
        <w:pStyle w:val="BodyText"/>
        <w:widowControl/>
        <w:spacing w:after="110" w:line="276" w:lineRule="auto"/>
        <w:ind w:firstLine="255"/>
      </w:pPr>
      <w:r>
        <w:rPr>
          <w:rFonts w:ascii="Inter" w:hAnsi="Inter" w:eastAsia="Inter"/>
          <w:color w:val="182026"/>
          <w:sz w:val="19"/>
        </w:rPr>
        <w:t>Welche Verteilung fair ist, hängt von Markt, Alternative, Beitrag, Risiko, Partnerschaft und Wirkung ab.</w:t>
      </w:r>
    </w:p>
    <w:p>
      <w:pPr>
        <w:pStyle w:val="Heading2"/>
        <w:widowControl/>
      </w:pPr>
      <w:r>
        <w:t>4.8 Die Entscheidungslogik</w:t>
      </w:r>
    </w:p>
    <w:p>
      <w:pPr>
        <w:pStyle w:val="BodyText"/>
        <w:widowControl/>
        <w:spacing w:after="110" w:line="278" w:lineRule="auto"/>
        <w:ind w:firstLine="255"/>
      </w:pPr>
      <w:r>
        <w:rPr>
          <w:rFonts w:ascii="Inter" w:hAnsi="Inter" w:eastAsia="Inter"/>
          <w:color w:val="182026"/>
          <w:sz w:val="19"/>
        </w:rPr>
        <w:t>Die drei Rechnungen führen zu fünf möglichen Ergebnissen: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b/>
          <w:color w:val="182026"/>
          <w:sz w:val="18"/>
        </w:rPr>
        <w:t>Tragfähig, hoher Kundenwert, positive Netto-Wirkung:</w:t>
      </w:r>
      <w:r>
        <w:rPr>
          <w:rFonts w:ascii="Inter" w:hAnsi="Inter" w:eastAsia="Inter"/>
          <w:color w:val="182026"/>
          <w:sz w:val="18"/>
        </w:rPr>
        <w:t xml:space="preserve"> priorisieren, fair bepreisen, skalieren und Wirkung sichern.</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b/>
          <w:color w:val="182026"/>
          <w:sz w:val="18"/>
        </w:rPr>
        <w:t>Tragfähig, hoher Kundenwert, negative Netto-Wirkung:</w:t>
      </w:r>
      <w:r>
        <w:rPr>
          <w:rFonts w:ascii="Inter" w:hAnsi="Inter" w:eastAsia="Inter"/>
          <w:color w:val="182026"/>
          <w:sz w:val="18"/>
        </w:rPr>
        <w:t xml:space="preserve"> kein Wirkungsclaim; Schutz-Gate, Redesign oder Ablehnung.</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b/>
          <w:color w:val="182026"/>
          <w:sz w:val="18"/>
        </w:rPr>
        <w:t>Tragfähig, geringer Kundenwert, positive verteilte Wirkung:</w:t>
      </w:r>
      <w:r>
        <w:rPr>
          <w:rFonts w:ascii="Inter" w:hAnsi="Inter" w:eastAsia="Inter"/>
          <w:color w:val="182026"/>
          <w:sz w:val="18"/>
        </w:rPr>
        <w:t xml:space="preserve"> Multi-Payer-, Förder-, Beschaffungs- oder Plattformmodell prüfen.</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b/>
          <w:color w:val="182026"/>
          <w:sz w:val="18"/>
        </w:rPr>
        <w:t>Nicht tragfähig, hoher Kundenwert:</w:t>
      </w:r>
      <w:r>
        <w:rPr>
          <w:rFonts w:ascii="Inter" w:hAnsi="Inter" w:eastAsia="Inter"/>
          <w:color w:val="182026"/>
          <w:sz w:val="18"/>
        </w:rPr>
        <w:t xml:space="preserve"> Scope, Standardisierung, Risikoteilung oder Preis neu gestalten.</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b/>
          <w:color w:val="182026"/>
          <w:sz w:val="18"/>
        </w:rPr>
        <w:t>Nicht tragfähig, geringer Wert und geringe Wirkung:</w:t>
      </w:r>
      <w:r>
        <w:rPr>
          <w:rFonts w:ascii="Inter" w:hAnsi="Inter" w:eastAsia="Inter"/>
          <w:color w:val="182026"/>
          <w:sz w:val="18"/>
        </w:rPr>
        <w:t xml:space="preserve"> nicht anbieten oder grundlegend neu konzipieren.</w:t>
      </w:r>
    </w:p>
    <w:p>
      <w:pPr>
        <w:pStyle w:val="BodyText"/>
        <w:widowControl/>
        <w:spacing w:after="110" w:line="278" w:lineRule="auto"/>
        <w:ind w:firstLine="255"/>
      </w:pPr>
      <w:r>
        <w:rPr>
          <w:rFonts w:ascii="Inter" w:hAnsi="Inter" w:eastAsia="Inter"/>
          <w:color w:val="182026"/>
          <w:sz w:val="19"/>
        </w:rPr>
        <w:t>Die Preisentscheidung ist damit Teil einer Angebots- und Portfoliosteuerung. WVP hilft nicht nur, einen Preis zu setzen. Es hilft zu entscheiden, welche Leistungen überhaupt entwickelt, verkauft, finanziert und skaliert werden sollten.</w:t>
      </w:r>
    </w:p>
    <w:p>
      <w:pPr>
        <w:pStyle w:val="Heading1"/>
        <w:widowControl/>
        <w:pBdr>
          <w:bottom w:val="single" w:sz="10" w:space="6" w:color="C99A43"/>
        </w:pBdr>
      </w:pPr>
      <w:r>
        <w:t>5 Kundenwert messen und zurechnen</w:t>
      </w:r>
    </w:p>
    <w:p>
      <w:pPr>
        <w:pStyle w:val="Heading2"/>
        <w:widowControl/>
      </w:pPr>
      <w:r>
        <w:t>5.1 Grundsatz: Erst die Entscheidung, dann die Zahl</w:t>
      </w:r>
    </w:p>
    <w:p>
      <w:pPr>
        <w:pStyle w:val="BodyText"/>
        <w:widowControl/>
        <w:spacing w:after="110" w:line="278" w:lineRule="auto"/>
        <w:ind w:firstLine="255"/>
      </w:pPr>
      <w:r>
        <w:rPr>
          <w:rFonts w:ascii="Inter" w:hAnsi="Inter" w:eastAsia="Inter"/>
          <w:color w:val="182026"/>
          <w:sz w:val="19"/>
        </w:rPr>
        <w:t>Kundenwert ist nicht abstrakt. Er entsteht in einer konkreten Entscheidung. Deshalb beginnt die Messung nicht mit einer Liste möglicher Vorteile, sondern mit einer klaren Entscheidungssituation:</w:t>
      </w:r>
    </w:p>
    <w:p>
      <w:pPr>
        <w:pStyle w:val="ListBullet"/>
        <w:widowControl/>
        <w:spacing w:after="50" w:line="259" w:lineRule="auto"/>
        <w:ind w:left="369" w:hanging="170"/>
      </w:pPr>
      <w:r>
        <w:rPr>
          <w:rFonts w:ascii="Inter" w:hAnsi="Inter" w:eastAsia="Inter"/>
          <w:color w:val="182026"/>
          <w:sz w:val="18"/>
        </w:rPr>
        <w:t>Welche Entscheidung soll der Preis unterstützen?</w:t>
      </w:r>
    </w:p>
    <w:p>
      <w:pPr>
        <w:pStyle w:val="ListBullet"/>
        <w:widowControl/>
        <w:spacing w:after="50" w:line="259" w:lineRule="auto"/>
        <w:ind w:left="369" w:hanging="170"/>
      </w:pPr>
      <w:r>
        <w:rPr>
          <w:rFonts w:ascii="Inter" w:hAnsi="Inter" w:eastAsia="Inter"/>
          <w:color w:val="182026"/>
          <w:sz w:val="18"/>
        </w:rPr>
        <w:t>Wer entscheidet und wer nutzt die Leistung?</w:t>
      </w:r>
    </w:p>
    <w:p>
      <w:pPr>
        <w:pStyle w:val="ListBullet"/>
        <w:widowControl/>
        <w:spacing w:after="50" w:line="259" w:lineRule="auto"/>
        <w:ind w:left="369" w:hanging="170"/>
      </w:pPr>
      <w:r>
        <w:rPr>
          <w:rFonts w:ascii="Inter" w:hAnsi="Inter" w:eastAsia="Inter"/>
          <w:color w:val="182026"/>
          <w:sz w:val="18"/>
        </w:rPr>
        <w:t>Welcher Zeitraum ist relevant?</w:t>
      </w:r>
    </w:p>
    <w:p>
      <w:pPr>
        <w:pStyle w:val="ListBullet"/>
        <w:widowControl/>
        <w:spacing w:after="50" w:line="259" w:lineRule="auto"/>
        <w:ind w:left="369" w:hanging="170"/>
      </w:pPr>
      <w:r>
        <w:rPr>
          <w:rFonts w:ascii="Inter" w:hAnsi="Inter" w:eastAsia="Inter"/>
          <w:color w:val="182026"/>
          <w:sz w:val="18"/>
        </w:rPr>
        <w:t>Welche Alternative würde ohne das Angebot gewählt?</w:t>
      </w:r>
    </w:p>
    <w:p>
      <w:pPr>
        <w:pStyle w:val="ListBullet"/>
        <w:widowControl/>
        <w:spacing w:after="50" w:line="259" w:lineRule="auto"/>
        <w:ind w:left="369" w:hanging="170"/>
      </w:pPr>
      <w:r>
        <w:rPr>
          <w:rFonts w:ascii="Inter" w:hAnsi="Inter" w:eastAsia="Inter"/>
          <w:color w:val="182026"/>
          <w:sz w:val="18"/>
        </w:rPr>
        <w:t>Welche Werttreiber sind für den Kunden tatsächlich entscheidungsrelevant?</w:t>
      </w:r>
    </w:p>
    <w:p>
      <w:pPr>
        <w:pStyle w:val="ListBullet"/>
        <w:widowControl/>
        <w:spacing w:after="50" w:line="259" w:lineRule="auto"/>
        <w:ind w:left="369" w:hanging="170"/>
      </w:pPr>
      <w:r>
        <w:rPr>
          <w:rFonts w:ascii="Inter" w:hAnsi="Inter" w:eastAsia="Inter"/>
          <w:color w:val="182026"/>
          <w:sz w:val="18"/>
        </w:rPr>
        <w:t>Welche Nutzenströme sind monetär, welche nichtmonetär?</w:t>
      </w:r>
    </w:p>
    <w:p>
      <w:pPr>
        <w:pStyle w:val="ListBullet"/>
        <w:widowControl/>
        <w:spacing w:after="50" w:line="259" w:lineRule="auto"/>
        <w:ind w:left="369" w:hanging="170"/>
      </w:pPr>
      <w:r>
        <w:rPr>
          <w:rFonts w:ascii="Inter" w:hAnsi="Inter" w:eastAsia="Inter"/>
          <w:color w:val="182026"/>
          <w:sz w:val="18"/>
        </w:rPr>
        <w:t>Welche Risiken und Umsetzungskosten trägt der Kunde?</w:t>
      </w:r>
    </w:p>
    <w:p>
      <w:pPr>
        <w:pStyle w:val="BodyText"/>
        <w:widowControl/>
        <w:spacing w:after="110" w:line="278" w:lineRule="auto"/>
        <w:ind w:firstLine="255"/>
      </w:pPr>
      <w:r>
        <w:rPr>
          <w:rFonts w:ascii="Inter" w:hAnsi="Inter" w:eastAsia="Inter"/>
          <w:color w:val="182026"/>
          <w:sz w:val="19"/>
        </w:rPr>
        <w:t xml:space="preserve">Ein Wertmodell, das nicht mit der realen Entscheidung des Kunden verbunden ist, bleibt Verkaufsrhetorik. WVP verlangt deshalb ein gemeinsames </w:t>
      </w:r>
      <w:r>
        <w:rPr>
          <w:rFonts w:ascii="Inter" w:hAnsi="Inter" w:eastAsia="Inter"/>
          <w:b/>
          <w:color w:val="182026"/>
          <w:sz w:val="19"/>
        </w:rPr>
        <w:t>Value Case Briefing</w:t>
      </w:r>
      <w:r>
        <w:rPr>
          <w:rFonts w:ascii="Inter" w:hAnsi="Inter" w:eastAsia="Inter"/>
          <w:color w:val="182026"/>
          <w:sz w:val="19"/>
        </w:rPr>
        <w:t xml:space="preserve"> vor der Preisfestlegung. Es kann schlank sein, muss aber die wesentlichen Annahmen sichtbar machen.</w:t>
      </w:r>
    </w:p>
    <w:p>
      <w:pPr>
        <w:pStyle w:val="Heading2"/>
        <w:widowControl/>
      </w:pPr>
      <w:r>
        <w:t>5.2 Schritt 1: Leistungs- und Wertgegenstand abgrenzen</w:t>
      </w:r>
    </w:p>
    <w:p>
      <w:pPr>
        <w:pStyle w:val="BodyText"/>
        <w:widowControl/>
        <w:spacing w:after="110" w:line="278" w:lineRule="auto"/>
        <w:ind w:firstLine="255"/>
      </w:pPr>
      <w:r>
        <w:rPr>
          <w:rFonts w:ascii="Inter" w:hAnsi="Inter" w:eastAsia="Inter"/>
          <w:color w:val="182026"/>
          <w:sz w:val="19"/>
        </w:rPr>
        <w:t>Der Wertgegenstand beschreibt die Einheit, für die Nutzen und Preis betrachtet werden. Er muss enger sein als das gesamte Unternehmen, aber weit genug, um die eigentliche Veränderung zu erfassen. Beispiele:</w:t>
      </w:r>
    </w:p>
    <w:p>
      <w:pPr>
        <w:pStyle w:val="ListBullet"/>
        <w:widowControl/>
        <w:spacing w:after="50" w:line="259" w:lineRule="auto"/>
        <w:ind w:left="369" w:hanging="170"/>
      </w:pPr>
      <w:r>
        <w:rPr>
          <w:rFonts w:ascii="Inter" w:hAnsi="Inter" w:eastAsia="Inter"/>
          <w:color w:val="182026"/>
          <w:sz w:val="18"/>
        </w:rPr>
        <w:t>„Reduktion der Durchlaufzeit im Freigabeprozess für Produktgruppe X“ statt „Prozessberatung“.</w:t>
      </w:r>
    </w:p>
    <w:p>
      <w:pPr>
        <w:pStyle w:val="ListBullet"/>
        <w:widowControl/>
        <w:spacing w:after="50" w:line="259" w:lineRule="auto"/>
        <w:ind w:left="369" w:hanging="170"/>
      </w:pPr>
      <w:r>
        <w:rPr>
          <w:rFonts w:ascii="Inter" w:hAnsi="Inter" w:eastAsia="Inter"/>
          <w:color w:val="182026"/>
          <w:sz w:val="18"/>
        </w:rPr>
        <w:t>„Erhöhung der Entscheidungssicherheit für Investition Y“ statt „Studie“.</w:t>
      </w:r>
    </w:p>
    <w:p>
      <w:pPr>
        <w:pStyle w:val="ListBullet"/>
        <w:widowControl/>
        <w:spacing w:after="50" w:line="259" w:lineRule="auto"/>
        <w:ind w:left="369" w:hanging="170"/>
      </w:pPr>
      <w:r>
        <w:rPr>
          <w:rFonts w:ascii="Inter" w:hAnsi="Inter" w:eastAsia="Inter"/>
          <w:color w:val="182026"/>
          <w:sz w:val="18"/>
        </w:rPr>
        <w:t>„Aufbau einer wiederverwendbaren Forschungs- und Datenarchitektur“ statt „Analysen“.</w:t>
      </w:r>
    </w:p>
    <w:p>
      <w:pPr>
        <w:pStyle w:val="ListBullet"/>
        <w:widowControl/>
        <w:spacing w:after="50" w:line="259" w:lineRule="auto"/>
        <w:ind w:left="369" w:hanging="170"/>
      </w:pPr>
      <w:r>
        <w:rPr>
          <w:rFonts w:ascii="Inter" w:hAnsi="Inter" w:eastAsia="Inter"/>
          <w:color w:val="182026"/>
          <w:sz w:val="18"/>
        </w:rPr>
        <w:t>„Verringerung des Ausschussrisikos in Linie Z“ statt „Qualitätsprojekt“.</w:t>
      </w:r>
    </w:p>
    <w:p>
      <w:pPr>
        <w:pStyle w:val="BodyText"/>
        <w:widowControl/>
        <w:spacing w:after="110" w:line="278" w:lineRule="auto"/>
        <w:ind w:firstLine="255"/>
      </w:pPr>
      <w:r>
        <w:rPr>
          <w:rFonts w:ascii="Inter" w:hAnsi="Inter" w:eastAsia="Inter"/>
          <w:color w:val="182026"/>
          <w:sz w:val="19"/>
        </w:rPr>
        <w:t>Zum Wertgegenstand gehören Systemgrenzen, Stakeholder, Nutzungsbedingungen, Abhängigkeiten und Zeitraum. Ohne Nutzungsbedingung kann der Anbieter nicht dafür einstehen, dass ein Konzept nicht implementiert wird. Ohne Systemgrenze kann der Kunde nachträglich unbegrenzt weitere Effekte zurechnen oder abziehen.</w:t>
      </w:r>
    </w:p>
    <w:p>
      <w:pPr>
        <w:pStyle w:val="Heading2"/>
        <w:widowControl/>
      </w:pPr>
      <w:r>
        <w:t>5.3 Schritt 2: Baseline und nächste realistische Alternative</w:t>
      </w:r>
    </w:p>
    <w:p>
      <w:pPr>
        <w:pStyle w:val="BodyText"/>
        <w:widowControl/>
        <w:spacing w:after="110" w:line="278" w:lineRule="auto"/>
        <w:ind w:firstLine="255"/>
      </w:pPr>
      <w:r>
        <w:rPr>
          <w:rFonts w:ascii="Inter" w:hAnsi="Inter" w:eastAsia="Inter"/>
          <w:color w:val="182026"/>
          <w:sz w:val="19"/>
        </w:rPr>
        <w:t>Die Baseline ist der beobachtete oder modellierte Ausgangszustand. Die Alternative ist der Zustand, der ohne die angebotene Leistung wahrscheinlich eingetreten wäre. Beide sind nicht identisch. Ein Unternehmen kann sich auch ohne Projekt weiterentwickeln; Markt, Technik oder andere Initiativen verändern den Zustand.</w:t>
      </w:r>
    </w:p>
    <w:p>
      <w:pPr>
        <w:pStyle w:val="BodyText"/>
        <w:widowControl/>
        <w:spacing w:after="110" w:line="278" w:lineRule="auto"/>
        <w:ind w:firstLine="255"/>
      </w:pPr>
      <w:r>
        <w:rPr>
          <w:rFonts w:ascii="Inter" w:hAnsi="Inter" w:eastAsia="Inter"/>
          <w:color w:val="182026"/>
          <w:sz w:val="19"/>
        </w:rPr>
        <w:t>Geeignete Referenzalternativen sind beispielsweise:</w:t>
      </w:r>
    </w:p>
    <w:p>
      <w:pPr>
        <w:pStyle w:val="ListBullet"/>
        <w:widowControl/>
        <w:spacing w:after="50" w:line="259" w:lineRule="auto"/>
        <w:ind w:left="369" w:hanging="170"/>
      </w:pPr>
      <w:r>
        <w:rPr>
          <w:rFonts w:ascii="Inter" w:hAnsi="Inter" w:eastAsia="Inter"/>
          <w:color w:val="182026"/>
          <w:sz w:val="18"/>
        </w:rPr>
        <w:t>Weiterführung des Status quo mit erwarteter Entwicklung,</w:t>
      </w:r>
    </w:p>
    <w:p>
      <w:pPr>
        <w:pStyle w:val="ListBullet"/>
        <w:widowControl/>
        <w:spacing w:after="50" w:line="259" w:lineRule="auto"/>
        <w:ind w:left="369" w:hanging="170"/>
      </w:pPr>
      <w:r>
        <w:rPr>
          <w:rFonts w:ascii="Inter" w:hAnsi="Inter" w:eastAsia="Inter"/>
          <w:color w:val="182026"/>
          <w:sz w:val="18"/>
        </w:rPr>
        <w:t>interne Eigenleistung,</w:t>
      </w:r>
    </w:p>
    <w:p>
      <w:pPr>
        <w:pStyle w:val="ListBullet"/>
        <w:widowControl/>
        <w:spacing w:after="50" w:line="259" w:lineRule="auto"/>
        <w:ind w:left="369" w:hanging="170"/>
      </w:pPr>
      <w:r>
        <w:rPr>
          <w:rFonts w:ascii="Inter" w:hAnsi="Inter" w:eastAsia="Inter"/>
          <w:color w:val="182026"/>
          <w:sz w:val="18"/>
        </w:rPr>
        <w:t>Verschiebung um einen definierten Zeitraum,</w:t>
      </w:r>
    </w:p>
    <w:p>
      <w:pPr>
        <w:pStyle w:val="ListBullet"/>
        <w:widowControl/>
        <w:spacing w:after="50" w:line="259" w:lineRule="auto"/>
        <w:ind w:left="369" w:hanging="170"/>
      </w:pPr>
      <w:r>
        <w:rPr>
          <w:rFonts w:ascii="Inter" w:hAnsi="Inter" w:eastAsia="Inter"/>
          <w:color w:val="182026"/>
          <w:sz w:val="18"/>
        </w:rPr>
        <w:t>Wettbewerbsangebot,</w:t>
      </w:r>
    </w:p>
    <w:p>
      <w:pPr>
        <w:pStyle w:val="ListBullet"/>
        <w:widowControl/>
        <w:spacing w:after="50" w:line="259" w:lineRule="auto"/>
        <w:ind w:left="369" w:hanging="170"/>
      </w:pPr>
      <w:r>
        <w:rPr>
          <w:rFonts w:ascii="Inter" w:hAnsi="Inter" w:eastAsia="Inter"/>
          <w:color w:val="182026"/>
          <w:sz w:val="18"/>
        </w:rPr>
        <w:t>vereinfachte Mindestlösung,</w:t>
      </w:r>
    </w:p>
    <w:p>
      <w:pPr>
        <w:pStyle w:val="ListBullet"/>
        <w:widowControl/>
        <w:spacing w:after="50" w:line="259" w:lineRule="auto"/>
        <w:ind w:left="369" w:hanging="170"/>
      </w:pPr>
      <w:r>
        <w:rPr>
          <w:rFonts w:ascii="Inter" w:hAnsi="Inter" w:eastAsia="Inter"/>
          <w:color w:val="182026"/>
          <w:sz w:val="18"/>
        </w:rPr>
        <w:t>vollständiger Verzicht,</w:t>
      </w:r>
    </w:p>
    <w:p>
      <w:pPr>
        <w:pStyle w:val="ListBullet"/>
        <w:widowControl/>
        <w:spacing w:after="50" w:line="259" w:lineRule="auto"/>
        <w:ind w:left="369" w:hanging="170"/>
      </w:pPr>
      <w:r>
        <w:rPr>
          <w:rFonts w:ascii="Inter" w:hAnsi="Inter" w:eastAsia="Inter"/>
          <w:color w:val="182026"/>
          <w:sz w:val="18"/>
        </w:rPr>
        <w:t>anderer Transformationspfad.</w:t>
      </w:r>
    </w:p>
    <w:p>
      <w:pPr>
        <w:pStyle w:val="BodyText"/>
        <w:widowControl/>
        <w:spacing w:after="110" w:line="278" w:lineRule="auto"/>
        <w:ind w:firstLine="255"/>
      </w:pPr>
      <w:r>
        <w:rPr>
          <w:rFonts w:ascii="Inter" w:hAnsi="Inter" w:eastAsia="Inter"/>
          <w:color w:val="182026"/>
          <w:sz w:val="19"/>
        </w:rPr>
        <w:t>Die Alternative wird dokumentiert und mit einer Plausibilitätsklasse versehen. Bei hoher Unsicherheit werden mehrere Szenarien verwendet. Die Value-Pricing-Praxis spricht häufig vom Preis der nächstbesten Alternative plus Differenzwert. WVP ergänzt die dynamische Baseline: Auch Nichtstun hat einen Verlauf und oft steigende Folgekosten.</w:t>
      </w:r>
    </w:p>
    <w:p>
      <w:pPr>
        <w:pStyle w:val="Heading2"/>
        <w:widowControl/>
      </w:pPr>
      <w:r>
        <w:t>5.4 Schritt 3: Wertpfade modellieren</w:t>
      </w:r>
    </w:p>
    <w:p>
      <w:pPr>
        <w:pStyle w:val="BodyText"/>
        <w:widowControl/>
        <w:spacing w:after="110" w:line="278" w:lineRule="auto"/>
        <w:ind w:firstLine="255"/>
      </w:pPr>
      <w:r>
        <w:rPr>
          <w:rFonts w:ascii="Inter" w:hAnsi="Inter" w:eastAsia="Inter"/>
          <w:color w:val="182026"/>
          <w:sz w:val="19"/>
        </w:rPr>
        <w:t>Ein Wertpfad beschreibt, wie die Leistung zu wirtschaftlichem Nutzen führen soll. Er verbindet Input, Aktivität, Output, Outcome und wirtschaftliche Folge. Für jede wesentliche Wertkomponente wird ein eigener Pfad formuliert.</w:t>
      </w:r>
    </w:p>
    <w:p>
      <w:pPr>
        <w:pStyle w:val="BodyText"/>
        <w:widowControl/>
        <w:spacing w:after="110" w:line="278" w:lineRule="auto"/>
        <w:ind w:firstLine="255"/>
      </w:pPr>
      <w:r>
        <w:rPr>
          <w:rFonts w:ascii="Inter" w:hAnsi="Inter" w:eastAsia="Inter"/>
          <w:color w:val="182026"/>
          <w:sz w:val="19"/>
        </w:rPr>
        <w:t>Beispiel:</w:t>
      </w:r>
    </w:p>
    <w:p>
      <w:pPr>
        <w:spacing w:before="120" w:after="140"/>
        <w:ind w:left="340" w:right="227"/>
        <w:shd w:fill="DDEDEA"/>
        <w:widowControl/>
        <w:pBdr>
          <w:left w:val="single" w:sz="8" w:space="4" w:color="163F3D"/>
        </w:pBdr>
      </w:pPr>
      <w:r>
        <w:rPr>
          <w:rFonts w:ascii="Inter" w:hAnsi="Inter" w:eastAsia="Inter"/>
          <w:color w:val="163F3D"/>
          <w:sz w:val="20"/>
        </w:rPr>
        <w:t>Analyse und Neugestaltung des Freigabeprozesses → weniger Übergaben und klarere Entscheidungskriterien → kürzere Durchlaufzeit → frühere Markteinführung → zusätzlicher Deckungsbeitrag.</w:t>
      </w:r>
    </w:p>
    <w:p>
      <w:pPr>
        <w:pStyle w:val="BodyText"/>
        <w:widowControl/>
        <w:spacing w:after="110" w:line="278" w:lineRule="auto"/>
        <w:ind w:firstLine="255"/>
      </w:pPr>
      <w:r>
        <w:rPr>
          <w:rFonts w:ascii="Inter" w:hAnsi="Inter" w:eastAsia="Inter"/>
          <w:color w:val="182026"/>
          <w:sz w:val="19"/>
        </w:rPr>
        <w:t>Ein zweiter Pfad kann lauten:</w:t>
      </w:r>
    </w:p>
    <w:p>
      <w:pPr>
        <w:spacing w:before="120" w:after="140"/>
        <w:ind w:left="340" w:right="227"/>
        <w:shd w:fill="DDEDEA"/>
        <w:widowControl/>
        <w:pBdr>
          <w:left w:val="single" w:sz="8" w:space="4" w:color="163F3D"/>
        </w:pBdr>
      </w:pPr>
      <w:r>
        <w:rPr>
          <w:rFonts w:ascii="Inter" w:hAnsi="Inter" w:eastAsia="Inter"/>
          <w:color w:val="163F3D"/>
          <w:sz w:val="20"/>
        </w:rPr>
        <w:t>Datenbereinigung und Verantwortungsmodell → weniger fehlerhafte Freigaben → weniger Nacharbeit und Rückrufe → vermiedene Kosten und geringeres Haftungsrisiko.</w:t>
      </w:r>
    </w:p>
    <w:p>
      <w:pPr>
        <w:pStyle w:val="BodyText"/>
        <w:widowControl/>
        <w:spacing w:after="110" w:line="278" w:lineRule="auto"/>
        <w:ind w:firstLine="255"/>
      </w:pPr>
      <w:r>
        <w:rPr>
          <w:rFonts w:ascii="Inter" w:hAnsi="Inter" w:eastAsia="Inter"/>
          <w:color w:val="182026"/>
          <w:sz w:val="19"/>
        </w:rPr>
        <w:t>Die Pfade verhindern Doppelzählung. Wenn kürzere Durchlaufzeit bereits als früherer Deckungsbeitrag monetarisiert wird, darf derselbe Zeitgewinn nicht zusätzlich als pauschaler Produktivitätswert gerechnet werden.</w:t>
      </w:r>
    </w:p>
    <w:p>
      <w:pPr>
        <w:pStyle w:val="Heading2"/>
        <w:widowControl/>
      </w:pPr>
      <w:r>
        <w:t>5.5 Schritt 4: Wertkomponenten bestimmen</w:t>
      </w:r>
    </w:p>
    <w:p>
      <w:pPr>
        <w:pStyle w:val="BodyText"/>
        <w:widowControl/>
        <w:spacing w:after="110" w:line="278" w:lineRule="auto"/>
        <w:ind w:firstLine="255"/>
      </w:pPr>
      <w:r>
        <w:rPr>
          <w:rFonts w:ascii="Inter" w:hAnsi="Inter" w:eastAsia="Inter"/>
          <w:color w:val="182026"/>
          <w:sz w:val="19"/>
        </w:rPr>
        <w:t>WVP unterscheidet sieben typische Kategorien des Kundenwerts.</w:t>
      </w:r>
    </w:p>
    <w:p>
      <w:pPr>
        <w:pStyle w:val="Heading3"/>
        <w:widowControl/>
      </w:pPr>
      <w:r>
        <w:t>A. Erlös- und Margenwert</w:t>
      </w:r>
    </w:p>
    <w:p>
      <w:pPr>
        <w:pStyle w:val="BodyText"/>
        <w:widowControl/>
        <w:spacing w:after="110" w:line="278" w:lineRule="auto"/>
        <w:ind w:firstLine="255"/>
      </w:pPr>
      <w:r>
        <w:rPr>
          <w:rFonts w:ascii="Inter" w:hAnsi="Inter" w:eastAsia="Inter"/>
          <w:color w:val="182026"/>
          <w:sz w:val="19"/>
        </w:rPr>
        <w:t>Dazu gehören zusätzliche Absatzmengen, bessere Preise, höhere Konversion, geringere Abwanderung oder frühere Markteinführung. Maßgeblich ist nicht zusätzlicher Umsatz, sondern der relevante zusätzliche Deckungsbeitrag nach variablen Kosten und Kannibalisierung.</w:t>
      </w:r>
    </w:p>
    <w:p>
      <w:pPr>
        <w:pStyle w:val="Heading3"/>
        <w:widowControl/>
      </w:pPr>
      <w:r>
        <w:t>B. Kostenwert</w:t>
      </w:r>
    </w:p>
    <w:p>
      <w:pPr>
        <w:pStyle w:val="BodyText"/>
        <w:widowControl/>
        <w:spacing w:after="110" w:line="278" w:lineRule="auto"/>
        <w:ind w:firstLine="255"/>
      </w:pPr>
      <w:r>
        <w:rPr>
          <w:rFonts w:ascii="Inter" w:hAnsi="Inter" w:eastAsia="Inter"/>
          <w:color w:val="182026"/>
          <w:sz w:val="19"/>
        </w:rPr>
        <w:t>Hierzu zählen vermiedene Personal-, Material-, Energie-, Fehler-, Ausfall-, Transaktions-, Prüf-, Lager- oder externe Dienstleistungskosten. Kosten werden nur dann als Wert anerkannt, wenn sie tatsächlich vermieden, reduziert oder für andere Zwecke frei werden. Reine „Stundenersparnis“ ohne Kapazitätseffekt ist zunächst ein Zeit- oder Optionswert, keine sichere Kostensenkung.</w:t>
      </w:r>
    </w:p>
    <w:p>
      <w:pPr>
        <w:pStyle w:val="Heading3"/>
        <w:widowControl/>
      </w:pPr>
      <w:r>
        <w:t>C. Risikowert</w:t>
      </w:r>
    </w:p>
    <w:p>
      <w:pPr>
        <w:pStyle w:val="BodyText"/>
        <w:widowControl/>
        <w:spacing w:after="110" w:line="278" w:lineRule="auto"/>
        <w:ind w:firstLine="255"/>
      </w:pPr>
      <w:r>
        <w:rPr>
          <w:rFonts w:ascii="Inter" w:hAnsi="Inter" w:eastAsia="Inter"/>
          <w:color w:val="182026"/>
          <w:sz w:val="19"/>
        </w:rPr>
        <w:t>Risikoreduktion wird als Veränderung des erwarteten Schadens betrachtet:</w:t>
      </w:r>
    </w:p>
    <w:p>
      <w:pPr>
        <w:pStyle w:val="BodyText"/>
        <w:widowControl/>
        <w:spacing w:after="110" w:line="278" w:lineRule="auto"/>
        <w:ind w:firstLine="255"/>
      </w:pPr>
      <w:r>
        <w:rPr>
          <w:rFonts w:ascii="Inter" w:hAnsi="Inter" w:eastAsia="Inter"/>
          <w:b/>
          <w:color w:val="182026"/>
          <w:sz w:val="19"/>
        </w:rPr>
        <w:t>Risikowert = (Eintrittswahrscheinlichkeit vorher × Schadenshöhe vorher) - (Eintrittswahrscheinlichkeit nachher × Schadenshöhe nachher)</w:t>
      </w:r>
    </w:p>
    <w:p>
      <w:pPr>
        <w:pStyle w:val="BodyText"/>
        <w:widowControl/>
        <w:spacing w:after="110" w:line="278" w:lineRule="auto"/>
        <w:ind w:firstLine="255"/>
      </w:pPr>
      <w:r>
        <w:rPr>
          <w:rFonts w:ascii="Inter" w:hAnsi="Inter" w:eastAsia="Inter"/>
          <w:color w:val="182026"/>
          <w:sz w:val="19"/>
        </w:rPr>
        <w:t>Die Rechnung muss Abhängigkeiten, Versicherbarkeit, Risikokorrelationen und Datenqualität berücksichtigen. Seltene Großschäden dürfen nicht mit willkürlichen Wahrscheinlichkeiten aufgeblasen werden.</w:t>
      </w:r>
    </w:p>
    <w:p>
      <w:pPr>
        <w:pStyle w:val="Heading3"/>
        <w:widowControl/>
      </w:pPr>
      <w:r>
        <w:t>D. Kapital- und Liquiditätswert</w:t>
      </w:r>
    </w:p>
    <w:p>
      <w:pPr>
        <w:pStyle w:val="BodyText"/>
        <w:widowControl/>
        <w:spacing w:after="110" w:line="278" w:lineRule="auto"/>
        <w:ind w:firstLine="255"/>
      </w:pPr>
      <w:r>
        <w:rPr>
          <w:rFonts w:ascii="Inter" w:hAnsi="Inter" w:eastAsia="Inter"/>
          <w:color w:val="182026"/>
          <w:sz w:val="19"/>
        </w:rPr>
        <w:t>Geringere Bestände, schnellere Rechnungsstellung, weniger Forderungsausfälle, bessere Finanzierungskonditionen oder geringere Kapitalbindung schaffen Wert. Ein einmalig freigesetzter Kapitalbetrag ist nicht automatisch gleich einem jährlichen Ergebnisbeitrag. Zu unterscheiden sind Liquiditätseffekt, Finanzierungskosten und dauerhafte Ergebniswirkung.</w:t>
      </w:r>
    </w:p>
    <w:p>
      <w:pPr>
        <w:pStyle w:val="Heading3"/>
        <w:widowControl/>
      </w:pPr>
      <w:r>
        <w:t>E. Qualitäts- und Sicherheitswert</w:t>
      </w:r>
    </w:p>
    <w:p>
      <w:pPr>
        <w:pStyle w:val="BodyText"/>
        <w:widowControl/>
        <w:spacing w:after="110" w:line="278" w:lineRule="auto"/>
        <w:ind w:firstLine="255"/>
      </w:pPr>
      <w:r>
        <w:rPr>
          <w:rFonts w:ascii="Inter" w:hAnsi="Inter" w:eastAsia="Inter"/>
          <w:color w:val="182026"/>
          <w:sz w:val="19"/>
        </w:rPr>
        <w:t>Höhere Zuverlässigkeit, bessere Datenqualität, weniger Reklamationen, höhere Produktsicherheit oder geringere Compliancebelastung können wirtschaftlich relevant sein. Wo keine belastbare Monetarisierung möglich ist, werden qualitative Kennzahlen separat geführt.</w:t>
      </w:r>
    </w:p>
    <w:p>
      <w:pPr>
        <w:pStyle w:val="Heading3"/>
        <w:widowControl/>
      </w:pPr>
      <w:r>
        <w:t>F. Zeit- und Optionswert</w:t>
      </w:r>
    </w:p>
    <w:p>
      <w:pPr>
        <w:pStyle w:val="BodyText"/>
        <w:widowControl/>
        <w:spacing w:after="110" w:line="278" w:lineRule="auto"/>
        <w:ind w:firstLine="255"/>
      </w:pPr>
      <w:r>
        <w:rPr>
          <w:rFonts w:ascii="Inter" w:hAnsi="Inter" w:eastAsia="Inter"/>
          <w:color w:val="182026"/>
          <w:sz w:val="19"/>
        </w:rPr>
        <w:t>Schnellere Entscheidungen, frühere Lernzyklen, vermiedene Lock-ins und erhaltene strategische Optionen können erheblichen Wert schaffen. Optionswert ist besonders bei Forschung und Innovation wichtig. Er darf jedoch nicht als garantierter späterer Gewinn dargestellt werden. Sinnvoll sind Szenarien mit Wahrscheinlichkeiten, Entscheidungspunkten und Abbruchoptionen.</w:t>
      </w:r>
    </w:p>
    <w:p>
      <w:pPr>
        <w:pStyle w:val="Heading3"/>
        <w:widowControl/>
      </w:pPr>
      <w:r>
        <w:t>G. Fähigkeits- und Infrastrukturwert</w:t>
      </w:r>
    </w:p>
    <w:p>
      <w:pPr>
        <w:pStyle w:val="BodyText"/>
        <w:widowControl/>
        <w:spacing w:after="110" w:line="278" w:lineRule="auto"/>
        <w:ind w:firstLine="255"/>
      </w:pPr>
      <w:r>
        <w:rPr>
          <w:rFonts w:ascii="Inter" w:hAnsi="Inter" w:eastAsia="Inter"/>
          <w:color w:val="182026"/>
          <w:sz w:val="19"/>
        </w:rPr>
        <w:t>Wissen, Datenmodelle, Standards, Methoden, Netzwerke und interne Fähigkeiten können wiederholt genutzt werden. Ihr Wert liegt nicht nur im aktuellen Projekt. Er wird über Nutzungsfälle, Wiederverwendbarkeit, vermiedene Folgekosten und strategische Handlungsfähigkeit beschrieben. Ein pauschaler „Know-how-Wert“ ohne Nutzungspfad reicht nicht.</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1655"/>
            <w:shd w:fill="163F3D"/>
            <w:tcMar>
              <w:top w:w="100" w:type="dxa"/>
              <w:start w:w="100" w:type="dxa"/>
              <w:bottom w:w="100" w:type="dxa"/>
              <w:end w:w="100" w:type="dxa"/>
            </w:tcMar>
          </w:tcPr>
          <w:p>
            <w:pPr>
              <w:widowControl/>
              <w:jc w:val="left"/>
            </w:pPr>
            <w:r>
              <w:rPr>
                <w:rFonts w:ascii="Inter" w:hAnsi="Inter" w:eastAsia="Inter"/>
                <w:b/>
                <w:color w:val="FFFFFF"/>
                <w:sz w:val="15"/>
              </w:rPr>
              <w:t>Wertkategorie</w:t>
            </w:r>
          </w:p>
        </w:tc>
        <w:tc>
          <w:tcPr>
            <w:tcW w:type="dxa" w:w="2736"/>
            <w:shd w:fill="163F3D"/>
            <w:tcMar>
              <w:top w:w="100" w:type="dxa"/>
              <w:start w:w="100" w:type="dxa"/>
              <w:bottom w:w="100" w:type="dxa"/>
              <w:end w:w="100" w:type="dxa"/>
            </w:tcMar>
          </w:tcPr>
          <w:p>
            <w:pPr>
              <w:widowControl/>
              <w:jc w:val="left"/>
            </w:pPr>
            <w:r>
              <w:rPr>
                <w:rFonts w:ascii="Inter" w:hAnsi="Inter" w:eastAsia="Inter"/>
                <w:b/>
                <w:color w:val="FFFFFF"/>
                <w:sz w:val="15"/>
              </w:rPr>
              <w:t>Typische Messgrößen</w:t>
            </w:r>
          </w:p>
        </w:tc>
        <w:tc>
          <w:tcPr>
            <w:tcW w:type="dxa" w:w="2520"/>
            <w:shd w:fill="163F3D"/>
            <w:tcMar>
              <w:top w:w="100" w:type="dxa"/>
              <w:start w:w="100" w:type="dxa"/>
              <w:bottom w:w="100" w:type="dxa"/>
              <w:end w:w="100" w:type="dxa"/>
            </w:tcMar>
          </w:tcPr>
          <w:p>
            <w:pPr>
              <w:widowControl/>
              <w:jc w:val="left"/>
            </w:pPr>
            <w:r>
              <w:rPr>
                <w:rFonts w:ascii="Inter" w:hAnsi="Inter" w:eastAsia="Inter"/>
                <w:b/>
                <w:color w:val="FFFFFF"/>
                <w:sz w:val="15"/>
              </w:rPr>
              <w:t>Monetarisierung</w:t>
            </w:r>
          </w:p>
        </w:tc>
        <w:tc>
          <w:tcPr>
            <w:tcW w:type="dxa" w:w="2808"/>
            <w:shd w:fill="163F3D"/>
            <w:tcMar>
              <w:top w:w="100" w:type="dxa"/>
              <w:start w:w="100" w:type="dxa"/>
              <w:bottom w:w="100" w:type="dxa"/>
              <w:end w:w="100" w:type="dxa"/>
            </w:tcMar>
          </w:tcPr>
          <w:p>
            <w:pPr>
              <w:widowControl/>
              <w:jc w:val="left"/>
            </w:pPr>
            <w:r>
              <w:rPr>
                <w:rFonts w:ascii="Inter" w:hAnsi="Inter" w:eastAsia="Inter"/>
                <w:b/>
                <w:color w:val="FFFFFF"/>
                <w:sz w:val="15"/>
              </w:rPr>
              <w:t>Häufiger Fehler</w:t>
            </w:r>
          </w:p>
        </w:tc>
      </w:tr>
      <w:tr>
        <w:trPr>
          <w:cantSplit/>
        </w:trPr>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Erlös / Marge</w:t>
            </w:r>
          </w:p>
        </w:tc>
        <w:tc>
          <w:tcPr>
            <w:tcW w:type="dxa" w:w="27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Absatz, Preis, Konversion, Retention, Time-to-market</w:t>
            </w:r>
          </w:p>
        </w:tc>
        <w:tc>
          <w:tcPr>
            <w:tcW w:type="dxa" w:w="252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zusätzlicher Deckungsbeitrag</w:t>
            </w:r>
          </w:p>
        </w:tc>
        <w:tc>
          <w:tcPr>
            <w:tcW w:type="dxa" w:w="280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Umsatz statt Ergebnis zählen</w:t>
            </w:r>
          </w:p>
        </w:tc>
      </w:tr>
      <w:tr>
        <w:trPr>
          <w:cantSplit/>
        </w:trPr>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Kosten</w:t>
            </w:r>
          </w:p>
        </w:tc>
        <w:tc>
          <w:tcPr>
            <w:tcW w:type="dxa" w:w="27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Material, Energie, Fehler, Personal, Ausfall</w:t>
            </w:r>
          </w:p>
        </w:tc>
        <w:tc>
          <w:tcPr>
            <w:tcW w:type="dxa" w:w="252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tatsächlich vermiedene oder frei werdende Kosten</w:t>
            </w:r>
          </w:p>
        </w:tc>
        <w:tc>
          <w:tcPr>
            <w:tcW w:type="dxa" w:w="280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Zeitersparnis automatisch als Lohnkosten rechnen</w:t>
            </w:r>
          </w:p>
        </w:tc>
      </w:tr>
      <w:tr>
        <w:trPr>
          <w:cantSplit/>
        </w:trPr>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Risiko</w:t>
            </w:r>
          </w:p>
        </w:tc>
        <w:tc>
          <w:tcPr>
            <w:tcW w:type="dxa" w:w="27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Wahrscheinlichkeit, Schadenshöhe, Volatilität</w:t>
            </w:r>
          </w:p>
        </w:tc>
        <w:tc>
          <w:tcPr>
            <w:tcW w:type="dxa" w:w="252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Veränderung des erwarteten Schadens</w:t>
            </w:r>
          </w:p>
        </w:tc>
        <w:tc>
          <w:tcPr>
            <w:tcW w:type="dxa" w:w="280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seltene Großschäden mit Wunschwerten aufblasen</w:t>
            </w:r>
          </w:p>
        </w:tc>
      </w:tr>
      <w:tr>
        <w:trPr>
          <w:cantSplit/>
        </w:trPr>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Kapital / Liquidität</w:t>
            </w:r>
          </w:p>
        </w:tc>
        <w:tc>
          <w:tcPr>
            <w:tcW w:type="dxa" w:w="27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Bestände, Forderungen, Finanzierung, Working Capital</w:t>
            </w:r>
          </w:p>
        </w:tc>
        <w:tc>
          <w:tcPr>
            <w:tcW w:type="dxa" w:w="252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Liquiditäts- und Finanzierungseffekt getrennt</w:t>
            </w:r>
          </w:p>
        </w:tc>
        <w:tc>
          <w:tcPr>
            <w:tcW w:type="dxa" w:w="280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einmalige Freisetzung als jährlichen Gewinn behandeln</w:t>
            </w:r>
          </w:p>
        </w:tc>
      </w:tr>
      <w:tr>
        <w:trPr>
          <w:cantSplit/>
        </w:trPr>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Qualität / Sicherheit</w:t>
            </w:r>
          </w:p>
        </w:tc>
        <w:tc>
          <w:tcPr>
            <w:tcW w:type="dxa" w:w="27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Reklamation, Ausfall, Datenqualität, Compliance</w:t>
            </w:r>
          </w:p>
        </w:tc>
        <w:tc>
          <w:tcPr>
            <w:tcW w:type="dxa" w:w="252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vermiedene Fehler- und Haftungskosten</w:t>
            </w:r>
          </w:p>
        </w:tc>
        <w:tc>
          <w:tcPr>
            <w:tcW w:type="dxa" w:w="280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weiche Vorteile doppelt monetarisieren</w:t>
            </w:r>
          </w:p>
        </w:tc>
      </w:tr>
      <w:tr>
        <w:trPr>
          <w:cantSplit/>
        </w:trPr>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Zeit / Option</w:t>
            </w:r>
          </w:p>
        </w:tc>
        <w:tc>
          <w:tcPr>
            <w:tcW w:type="dxa" w:w="27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Entscheidungszeit, Abbruchfähigkeit, Flexibilität</w:t>
            </w:r>
          </w:p>
        </w:tc>
        <w:tc>
          <w:tcPr>
            <w:tcW w:type="dxa" w:w="252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früherer Nutzen oder Optionswert als Szenario</w:t>
            </w:r>
          </w:p>
        </w:tc>
        <w:tc>
          <w:tcPr>
            <w:tcW w:type="dxa" w:w="280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potenziellen Erfolg als sicher darstellen</w:t>
            </w:r>
          </w:p>
        </w:tc>
      </w:tr>
      <w:tr>
        <w:trPr>
          <w:cantSplit/>
        </w:trPr>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Fähigkeit / Infrastruktur</w:t>
            </w:r>
          </w:p>
        </w:tc>
        <w:tc>
          <w:tcPr>
            <w:tcW w:type="dxa" w:w="27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Wissen, Daten, Standards, Netzwerke</w:t>
            </w:r>
          </w:p>
        </w:tc>
        <w:tc>
          <w:tcPr>
            <w:tcW w:type="dxa" w:w="252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Wiederverwendung und vermiedene Folgekosten</w:t>
            </w:r>
          </w:p>
        </w:tc>
        <w:tc>
          <w:tcPr>
            <w:tcW w:type="dxa" w:w="280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pauschalen Know-how-Aufschlag ansetzen</w:t>
            </w:r>
          </w:p>
        </w:tc>
      </w:tr>
    </w:tbl>
    <w:p>
      <w:pPr>
        <w:widowControl/>
        <w:spacing w:after="0"/>
      </w:pPr>
    </w:p>
    <w:p>
      <w:pPr>
        <w:widowControl/>
      </w:pPr>
      <w:r>
        <w:br w:type="page"/>
      </w:r>
    </w:p>
    <w:p>
      <w:pPr>
        <w:pStyle w:val="Heading2"/>
        <w:widowControl/>
      </w:pPr>
      <w:r>
        <w:t>5.6 Schritt 5: Brutto- und Nettokundenwert berechnen</w:t>
      </w:r>
    </w:p>
    <w:p>
      <w:pPr>
        <w:pStyle w:val="BodyText"/>
        <w:widowControl/>
        <w:spacing w:after="110" w:line="278" w:lineRule="auto"/>
        <w:ind w:firstLine="255"/>
      </w:pPr>
      <w:r>
        <w:rPr>
          <w:rFonts w:ascii="Inter" w:hAnsi="Inter" w:eastAsia="Inter"/>
          <w:color w:val="182026"/>
          <w:sz w:val="19"/>
        </w:rPr>
        <w:t>Die Kundenwertrechnung wird komponentenweise geführt. Eine vereinfachte Darstellung lautet:</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V_K,brutto = Summe der diskontierten wirtschaftlichen Vorteile gegenüber der Referenzalternative</w:t>
            </w:r>
          </w:p>
        </w:tc>
      </w:tr>
    </w:tbl>
    <w:p>
      <w:pPr>
        <w:widowControl/>
        <w:spacing w:after="0"/>
      </w:pP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V_K,netto = V_K,brutto - Kundenkosten - negative Kundeneffekte</w:t>
            </w:r>
          </w:p>
        </w:tc>
      </w:tr>
    </w:tbl>
    <w:p>
      <w:pPr>
        <w:widowControl/>
        <w:spacing w:after="0"/>
      </w:pPr>
    </w:p>
    <w:p>
      <w:pPr>
        <w:pStyle w:val="BodyText"/>
        <w:widowControl/>
        <w:spacing w:after="110" w:line="278" w:lineRule="auto"/>
        <w:ind w:firstLine="255"/>
      </w:pPr>
      <w:r>
        <w:rPr>
          <w:rFonts w:ascii="Inter" w:hAnsi="Inter" w:eastAsia="Inter"/>
          <w:color w:val="182026"/>
          <w:sz w:val="19"/>
        </w:rPr>
        <w:t>Für jede Wertkomponente j und Periode t kann genauer gerechnet werden:</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V_attr = Σ_t Σ_j [V_j,t × A_j,t × Q_j,t / (1+r)^t] - Σ_t [K_impl,t + N_kunde,t] / (1+r)^t</w:t>
            </w:r>
          </w:p>
        </w:tc>
      </w:tr>
    </w:tbl>
    <w:p>
      <w:pPr>
        <w:widowControl/>
        <w:spacing w:after="0"/>
      </w:pPr>
    </w:p>
    <w:p>
      <w:pPr>
        <w:pStyle w:val="BodyText"/>
        <w:widowControl/>
        <w:spacing w:after="110" w:line="278" w:lineRule="auto"/>
        <w:ind w:firstLine="255"/>
      </w:pPr>
      <w:r>
        <w:rPr>
          <w:rFonts w:ascii="Inter" w:hAnsi="Inter" w:eastAsia="Inter"/>
          <w:color w:val="182026"/>
          <w:sz w:val="19"/>
        </w:rPr>
        <w:t>Dabei bedeuten:</w:t>
      </w:r>
    </w:p>
    <w:p>
      <w:pPr>
        <w:pStyle w:val="ListBullet"/>
        <w:widowControl/>
        <w:spacing w:after="50" w:line="259" w:lineRule="auto"/>
        <w:ind w:left="369" w:hanging="170"/>
      </w:pPr>
      <w:r>
        <w:rPr>
          <w:rFonts w:ascii="Inter" w:hAnsi="Inter" w:eastAsia="Inter"/>
          <w:b/>
          <w:color w:val="182026"/>
          <w:sz w:val="18"/>
        </w:rPr>
        <w:t>V_j,t:</w:t>
      </w:r>
      <w:r>
        <w:rPr>
          <w:rFonts w:ascii="Inter" w:hAnsi="Inter" w:eastAsia="Inter"/>
          <w:color w:val="182026"/>
          <w:sz w:val="18"/>
        </w:rPr>
        <w:t xml:space="preserve"> beobachteter oder modellierter Bruttowert der Komponente,</w:t>
      </w:r>
    </w:p>
    <w:p>
      <w:pPr>
        <w:pStyle w:val="ListBullet"/>
        <w:widowControl/>
        <w:spacing w:after="50" w:line="259" w:lineRule="auto"/>
        <w:ind w:left="369" w:hanging="170"/>
      </w:pPr>
      <w:r>
        <w:rPr>
          <w:rFonts w:ascii="Inter" w:hAnsi="Inter" w:eastAsia="Inter"/>
          <w:b/>
          <w:color w:val="182026"/>
          <w:sz w:val="18"/>
        </w:rPr>
        <w:t>A_j,t:</w:t>
      </w:r>
      <w:r>
        <w:rPr>
          <w:rFonts w:ascii="Inter" w:hAnsi="Inter" w:eastAsia="Inter"/>
          <w:color w:val="182026"/>
          <w:sz w:val="18"/>
        </w:rPr>
        <w:t xml:space="preserve"> zurechenbarer Anbieterbeitrag oder Attributionsanteil,</w:t>
      </w:r>
    </w:p>
    <w:p>
      <w:pPr>
        <w:pStyle w:val="ListBullet"/>
        <w:widowControl/>
        <w:spacing w:after="50" w:line="259" w:lineRule="auto"/>
        <w:ind w:left="369" w:hanging="170"/>
      </w:pPr>
      <w:r>
        <w:rPr>
          <w:rFonts w:ascii="Inter" w:hAnsi="Inter" w:eastAsia="Inter"/>
          <w:b/>
          <w:color w:val="182026"/>
          <w:sz w:val="18"/>
        </w:rPr>
        <w:t>Q_j,t:</w:t>
      </w:r>
      <w:r>
        <w:rPr>
          <w:rFonts w:ascii="Inter" w:hAnsi="Inter" w:eastAsia="Inter"/>
          <w:color w:val="182026"/>
          <w:sz w:val="18"/>
        </w:rPr>
        <w:t xml:space="preserve"> Evidenz- und Unsicherheitsfaktor,</w:t>
      </w:r>
    </w:p>
    <w:p>
      <w:pPr>
        <w:pStyle w:val="ListBullet"/>
        <w:widowControl/>
        <w:spacing w:after="50" w:line="259" w:lineRule="auto"/>
        <w:ind w:left="369" w:hanging="170"/>
      </w:pPr>
      <w:r>
        <w:rPr>
          <w:rFonts w:ascii="Inter" w:hAnsi="Inter" w:eastAsia="Inter"/>
          <w:b/>
          <w:color w:val="182026"/>
          <w:sz w:val="18"/>
        </w:rPr>
        <w:t>r:</w:t>
      </w:r>
      <w:r>
        <w:rPr>
          <w:rFonts w:ascii="Inter" w:hAnsi="Inter" w:eastAsia="Inter"/>
          <w:color w:val="182026"/>
          <w:sz w:val="18"/>
        </w:rPr>
        <w:t xml:space="preserve"> angemessener Diskontsatz,</w:t>
      </w:r>
    </w:p>
    <w:p>
      <w:pPr>
        <w:pStyle w:val="ListBullet"/>
        <w:widowControl/>
        <w:spacing w:after="50" w:line="259" w:lineRule="auto"/>
        <w:ind w:left="369" w:hanging="170"/>
      </w:pPr>
      <w:r>
        <w:rPr>
          <w:rFonts w:ascii="Inter" w:hAnsi="Inter" w:eastAsia="Inter"/>
          <w:b/>
          <w:color w:val="182026"/>
          <w:sz w:val="18"/>
        </w:rPr>
        <w:t>K_impl,t:</w:t>
      </w:r>
      <w:r>
        <w:rPr>
          <w:rFonts w:ascii="Inter" w:hAnsi="Inter" w:eastAsia="Inter"/>
          <w:color w:val="182026"/>
          <w:sz w:val="18"/>
        </w:rPr>
        <w:t xml:space="preserve"> kundenseitige Implementierungs- und Betriebskosten,</w:t>
      </w:r>
    </w:p>
    <w:p>
      <w:pPr>
        <w:pStyle w:val="ListBullet"/>
        <w:widowControl/>
        <w:spacing w:after="50" w:line="259" w:lineRule="auto"/>
        <w:ind w:left="369" w:hanging="170"/>
      </w:pPr>
      <w:r>
        <w:rPr>
          <w:rFonts w:ascii="Inter" w:hAnsi="Inter" w:eastAsia="Inter"/>
          <w:b/>
          <w:color w:val="182026"/>
          <w:sz w:val="18"/>
        </w:rPr>
        <w:t>N_kunde,t:</w:t>
      </w:r>
      <w:r>
        <w:rPr>
          <w:rFonts w:ascii="Inter" w:hAnsi="Inter" w:eastAsia="Inter"/>
          <w:color w:val="182026"/>
          <w:sz w:val="18"/>
        </w:rPr>
        <w:t xml:space="preserve"> negative wirtschaftliche Nebenwirkungen beim Kunden.</w:t>
      </w:r>
    </w:p>
    <w:p>
      <w:pPr>
        <w:pStyle w:val="BodyText"/>
        <w:widowControl/>
        <w:spacing w:after="110" w:line="278" w:lineRule="auto"/>
        <w:ind w:firstLine="255"/>
      </w:pPr>
      <w:r>
        <w:rPr>
          <w:rFonts w:ascii="Inter" w:hAnsi="Inter" w:eastAsia="Inter"/>
          <w:color w:val="182026"/>
          <w:sz w:val="19"/>
        </w:rPr>
        <w:t>Die Formel ist kein Zwang zu einem einzigen Faktor. In vielen Fällen ist eine getrennte Rechnung je Wertpfad besser. Ein pauschaler Attributionsfaktor kann wesentliche Unterschiede verdecken.</w:t>
      </w:r>
    </w:p>
    <w:p>
      <w:pPr>
        <w:pStyle w:val="Heading2"/>
        <w:widowControl/>
      </w:pPr>
      <w:r>
        <w:t>5.7 Schritt 6: Zurechnung bestimmen</w:t>
      </w:r>
    </w:p>
    <w:p>
      <w:pPr>
        <w:pStyle w:val="BodyText"/>
        <w:widowControl/>
        <w:spacing w:after="110" w:line="278" w:lineRule="auto"/>
        <w:ind w:firstLine="255"/>
      </w:pPr>
      <w:r>
        <w:rPr>
          <w:rFonts w:ascii="Inter" w:hAnsi="Inter" w:eastAsia="Inter"/>
          <w:color w:val="182026"/>
          <w:sz w:val="19"/>
        </w:rPr>
        <w:t>Zurechnung ist der sensibelste Teil der Kundenwertmessung. WVP verwendet eine Evidenzhierarchie.</w:t>
      </w:r>
    </w:p>
    <w:p>
      <w:pPr>
        <w:pStyle w:val="Heading3"/>
        <w:widowControl/>
      </w:pPr>
      <w:r>
        <w:t>Direkte Attribution</w:t>
      </w:r>
    </w:p>
    <w:p>
      <w:pPr>
        <w:pStyle w:val="BodyText"/>
        <w:widowControl/>
        <w:spacing w:after="110" w:line="278" w:lineRule="auto"/>
        <w:ind w:firstLine="255"/>
      </w:pPr>
      <w:r>
        <w:rPr>
          <w:rFonts w:ascii="Inter" w:hAnsi="Inter" w:eastAsia="Inter"/>
          <w:color w:val="182026"/>
          <w:sz w:val="19"/>
        </w:rPr>
        <w:t>Sie ist möglich, wenn ein klarer kausaler Mechanismus, kontrollierbare Bedingungen und belastbare Vergleichsdaten vorliegen. Beispiele sind technisch gemessene Energieeinsparungen nach einer klar abgegrenzten Optimierung oder nachweisbar vermiedene Lizenzkosten.</w:t>
      </w:r>
    </w:p>
    <w:p>
      <w:pPr>
        <w:pStyle w:val="Heading3"/>
        <w:widowControl/>
      </w:pPr>
      <w:r>
        <w:t>Quasi-experimentelle oder kontrollierte Vergleiche</w:t>
      </w:r>
    </w:p>
    <w:p>
      <w:pPr>
        <w:pStyle w:val="BodyText"/>
        <w:widowControl/>
        <w:spacing w:after="110" w:line="278" w:lineRule="auto"/>
        <w:ind w:firstLine="255"/>
      </w:pPr>
      <w:r>
        <w:rPr>
          <w:rFonts w:ascii="Inter" w:hAnsi="Inter" w:eastAsia="Inter"/>
          <w:color w:val="182026"/>
          <w:sz w:val="19"/>
        </w:rPr>
        <w:t>Pilotgruppen, Vorher-Nachher-Vergleiche mit Kontrollgruppe, gestaffelte Einführung oder Zeitreihen können Zurechnung stärken. Die Methode muss zum Fall passen; nicht jedes Beratungsprojekt braucht ein Forschungsdesign.</w:t>
      </w:r>
    </w:p>
    <w:p>
      <w:pPr>
        <w:pStyle w:val="Heading3"/>
        <w:widowControl/>
      </w:pPr>
      <w:r>
        <w:t>Contribution Analysis</w:t>
      </w:r>
    </w:p>
    <w:p>
      <w:pPr>
        <w:pStyle w:val="BodyText"/>
        <w:widowControl/>
        <w:spacing w:after="110" w:line="278" w:lineRule="auto"/>
        <w:ind w:firstLine="255"/>
      </w:pPr>
      <w:r>
        <w:rPr>
          <w:rFonts w:ascii="Inter" w:hAnsi="Inter" w:eastAsia="Inter"/>
          <w:color w:val="182026"/>
          <w:sz w:val="19"/>
        </w:rPr>
        <w:t>Bei komplexen Interventionen wird eine begründete Beitragsgeschichte aufgebaut: Wirkungslogik, alternative Erklärungen, Datenquellen, Stakeholdereinschätzungen und Widersprüche werden trianguliert. Das Ergebnis ist keine absolute Kausalität, sondern eine evidenzgestützte Aussage über den Beitrag.</w:t>
      </w:r>
    </w:p>
    <w:p>
      <w:pPr>
        <w:pStyle w:val="Heading3"/>
        <w:widowControl/>
      </w:pPr>
      <w:r>
        <w:t>Gemeinsame Zurechnung</w:t>
      </w:r>
    </w:p>
    <w:p>
      <w:pPr>
        <w:pStyle w:val="BodyText"/>
        <w:widowControl/>
        <w:spacing w:after="110" w:line="278" w:lineRule="auto"/>
        <w:ind w:firstLine="255"/>
      </w:pPr>
      <w:r>
        <w:rPr>
          <w:rFonts w:ascii="Inter" w:hAnsi="Inter" w:eastAsia="Inter"/>
          <w:color w:val="182026"/>
          <w:sz w:val="19"/>
        </w:rPr>
        <w:t>Viele Werte werden co-produziert. Dann wird nicht gefragt, wer „den Wert geschaffen“ hat, sondern welche Beiträge unverzichtbar, ergänzend oder unterstützend waren. Die Zurechnung kann nach Entscheidungseinfluss, gelieferten Assets, Risikotragung, Implementierungsanteil oder Evidenz gewichtet werden.</w:t>
      </w:r>
    </w:p>
    <w:p>
      <w:pPr>
        <w:pStyle w:val="Heading3"/>
        <w:widowControl/>
      </w:pPr>
      <w:r>
        <w:t>Keine belastbare Zurechnung</w:t>
      </w:r>
    </w:p>
    <w:p>
      <w:pPr>
        <w:pStyle w:val="BodyText"/>
        <w:widowControl/>
        <w:spacing w:after="110" w:line="278" w:lineRule="auto"/>
        <w:ind w:firstLine="255"/>
      </w:pPr>
      <w:r>
        <w:rPr>
          <w:rFonts w:ascii="Inter" w:hAnsi="Inter" w:eastAsia="Inter"/>
          <w:color w:val="182026"/>
          <w:sz w:val="19"/>
        </w:rPr>
        <w:t>Wenn nur eine plausible Wirkungshypothese vorliegt, wird kein hoher variabler Preisanteil vereinbart. Der Wert kann die Angebotsgestaltung und den Festpreis begründen, aber nicht nachträglich als gesicherter Erfolg abgerechnet werden.</w:t>
      </w:r>
    </w:p>
    <w:p>
      <w:pPr>
        <w:widowControl/>
        <w:spacing w:before="100" w:after="40"/>
        <w:jc w:val="center"/>
      </w:pPr>
      <w:r>
        <w:drawing>
          <wp:inline xmlns:a="http://schemas.openxmlformats.org/drawingml/2006/main" xmlns:pic="http://schemas.openxmlformats.org/drawingml/2006/picture">
            <wp:extent cx="6080760" cy="3425445"/>
            <wp:docPr id="4" name="Picture 4" descr="Abbildung 3: Die Evidenzanforderung steigt mit der Höhe des behaupteten und vergüteten Erfolgsanteils." title="Abbildung 3: Die Evidenzanforderung steigt mit der Höhe des behaupteten und vergüteten Erfolgsanteils."/>
            <wp:cNvGraphicFramePr>
              <a:graphicFrameLocks noChangeAspect="1"/>
            </wp:cNvGraphicFramePr>
            <a:graphic>
              <a:graphicData uri="http://schemas.openxmlformats.org/drawingml/2006/picture">
                <pic:pic>
                  <pic:nvPicPr>
                    <pic:cNvPr id="0" name="fig_evidence_ladder.png"/>
                    <pic:cNvPicPr/>
                  </pic:nvPicPr>
                  <pic:blipFill>
                    <a:blip r:embed="rId14"/>
                    <a:stretch>
                      <a:fillRect/>
                    </a:stretch>
                  </pic:blipFill>
                  <pic:spPr>
                    <a:xfrm>
                      <a:off x="0" y="0"/>
                      <a:ext cx="6080760" cy="3425445"/>
                    </a:xfrm>
                    <a:prstGeom prst="rect"/>
                  </pic:spPr>
                </pic:pic>
              </a:graphicData>
            </a:graphic>
          </wp:inline>
        </w:drawing>
      </w:r>
    </w:p>
    <w:p>
      <w:pPr>
        <w:widowControl/>
        <w:spacing w:after="160"/>
        <w:jc w:val="center"/>
      </w:pPr>
      <w:r>
        <w:rPr>
          <w:rFonts w:ascii="Inter" w:hAnsi="Inter" w:eastAsia="Inter"/>
          <w:i/>
          <w:color w:val="5B6670"/>
          <w:sz w:val="16"/>
        </w:rPr>
        <w:t>Abbildung 3: Die Evidenzanforderung steigt mit der Höhe des behaupteten und vergüteten Erfolgsanteils.</w:t>
      </w:r>
    </w:p>
    <w:p>
      <w:pPr>
        <w:pStyle w:val="Heading2"/>
        <w:widowControl/>
      </w:pPr>
      <w:r>
        <w:t>5.8 Evidenz- und Unsicherheitsklassen</w:t>
      </w:r>
    </w:p>
    <w:p>
      <w:pPr>
        <w:pStyle w:val="BodyText"/>
        <w:widowControl/>
        <w:spacing w:after="110" w:line="278" w:lineRule="auto"/>
        <w:ind w:firstLine="255"/>
      </w:pPr>
      <w:r>
        <w:rPr>
          <w:rFonts w:ascii="Inter" w:hAnsi="Inter" w:eastAsia="Inter"/>
          <w:color w:val="182026"/>
          <w:sz w:val="19"/>
        </w:rPr>
        <w:t>WVP verwendet fünf Evidenzklassen:</w:t>
      </w:r>
    </w:p>
    <w:p>
      <w:pPr>
        <w:pStyle w:val="ListBullet"/>
        <w:widowControl/>
        <w:spacing w:after="50" w:line="259" w:lineRule="auto"/>
        <w:ind w:left="369" w:hanging="170"/>
      </w:pPr>
      <w:r>
        <w:rPr>
          <w:rFonts w:ascii="Inter" w:hAnsi="Inter" w:eastAsia="Inter"/>
          <w:b/>
          <w:color w:val="182026"/>
          <w:sz w:val="18"/>
        </w:rPr>
        <w:t>E0 - Behauptung:</w:t>
      </w:r>
      <w:r>
        <w:rPr>
          <w:rFonts w:ascii="Inter" w:hAnsi="Inter" w:eastAsia="Inter"/>
          <w:color w:val="182026"/>
          <w:sz w:val="18"/>
        </w:rPr>
        <w:t xml:space="preserve"> keine belastbare Grundlage; nicht preiswirksam.</w:t>
      </w:r>
    </w:p>
    <w:p>
      <w:pPr>
        <w:pStyle w:val="ListBullet"/>
        <w:widowControl/>
        <w:spacing w:after="50" w:line="259" w:lineRule="auto"/>
        <w:ind w:left="369" w:hanging="170"/>
      </w:pPr>
      <w:r>
        <w:rPr>
          <w:rFonts w:ascii="Inter" w:hAnsi="Inter" w:eastAsia="Inter"/>
          <w:b/>
          <w:color w:val="182026"/>
          <w:sz w:val="18"/>
        </w:rPr>
        <w:t>E1 - Plausibilität:</w:t>
      </w:r>
      <w:r>
        <w:rPr>
          <w:rFonts w:ascii="Inter" w:hAnsi="Inter" w:eastAsia="Inter"/>
          <w:color w:val="182026"/>
          <w:sz w:val="18"/>
        </w:rPr>
        <w:t xml:space="preserve"> dokumentierter Wertpfad, Expert:innenurteil oder Branchenwert; geeignet für Hypothesen und Szenarien.</w:t>
      </w:r>
    </w:p>
    <w:p>
      <w:pPr>
        <w:pStyle w:val="ListBullet"/>
        <w:widowControl/>
        <w:spacing w:after="50" w:line="259" w:lineRule="auto"/>
        <w:ind w:left="369" w:hanging="170"/>
      </w:pPr>
      <w:r>
        <w:rPr>
          <w:rFonts w:ascii="Inter" w:hAnsi="Inter" w:eastAsia="Inter"/>
          <w:b/>
          <w:color w:val="182026"/>
          <w:sz w:val="18"/>
        </w:rPr>
        <w:t>E2 - Messung:</w:t>
      </w:r>
      <w:r>
        <w:rPr>
          <w:rFonts w:ascii="Inter" w:hAnsi="Inter" w:eastAsia="Inter"/>
          <w:color w:val="182026"/>
          <w:sz w:val="18"/>
        </w:rPr>
        <w:t xml:space="preserve"> Baseline und beobachtete Veränderung liegen vor; Zurechnung noch begrenzt.</w:t>
      </w:r>
    </w:p>
    <w:p>
      <w:pPr>
        <w:pStyle w:val="ListBullet"/>
        <w:widowControl/>
        <w:spacing w:after="50" w:line="259" w:lineRule="auto"/>
        <w:ind w:left="369" w:hanging="170"/>
      </w:pPr>
      <w:r>
        <w:rPr>
          <w:rFonts w:ascii="Inter" w:hAnsi="Inter" w:eastAsia="Inter"/>
          <w:b/>
          <w:color w:val="182026"/>
          <w:sz w:val="18"/>
        </w:rPr>
        <w:t>E3 - Zurechnung:</w:t>
      </w:r>
      <w:r>
        <w:rPr>
          <w:rFonts w:ascii="Inter" w:hAnsi="Inter" w:eastAsia="Inter"/>
          <w:color w:val="182026"/>
          <w:sz w:val="18"/>
        </w:rPr>
        <w:t xml:space="preserve"> Counterfactual oder Beitrag sind durch mehrere Quellen plausibilisiert.</w:t>
      </w:r>
    </w:p>
    <w:p>
      <w:pPr>
        <w:pStyle w:val="ListBullet"/>
        <w:widowControl/>
        <w:spacing w:after="50" w:line="259" w:lineRule="auto"/>
        <w:ind w:left="369" w:hanging="170"/>
      </w:pPr>
      <w:r>
        <w:rPr>
          <w:rFonts w:ascii="Inter" w:hAnsi="Inter" w:eastAsia="Inter"/>
          <w:b/>
          <w:color w:val="182026"/>
          <w:sz w:val="18"/>
        </w:rPr>
        <w:t>E4 - Verifikation:</w:t>
      </w:r>
      <w:r>
        <w:rPr>
          <w:rFonts w:ascii="Inter" w:hAnsi="Inter" w:eastAsia="Inter"/>
          <w:color w:val="182026"/>
          <w:sz w:val="18"/>
        </w:rPr>
        <w:t xml:space="preserve"> unabhängige Prüfung, reproduzierbare Messung oder auditfähiger Nachweis.</w:t>
      </w:r>
    </w:p>
    <w:p>
      <w:pPr>
        <w:pStyle w:val="BodyText"/>
        <w:widowControl/>
        <w:spacing w:after="110" w:line="278" w:lineRule="auto"/>
        <w:ind w:firstLine="255"/>
      </w:pPr>
      <w:r>
        <w:rPr>
          <w:rFonts w:ascii="Inter" w:hAnsi="Inter" w:eastAsia="Inter"/>
          <w:color w:val="182026"/>
          <w:sz w:val="19"/>
        </w:rPr>
        <w:t>Für jede Wertkomponente wird zusätzlich die Richtung der Unsicherheit angegeben. Konservative Annahmen sind nicht immer niedrige Annahmen. Bei Schäden oder Risiken kann Vorsorge bedeuten, höhere Belastungen anzusetzen. Wichtig ist, Unsicherheit nicht zugunsten des Anbieters zu verstecken.</w:t>
      </w:r>
    </w:p>
    <w:p>
      <w:pPr>
        <w:pStyle w:val="Heading2"/>
        <w:widowControl/>
      </w:pPr>
      <w:r>
        <w:t>5.9 Szenarien statt Scheingenauigkeit</w:t>
      </w:r>
    </w:p>
    <w:p>
      <w:pPr>
        <w:pStyle w:val="BodyText"/>
        <w:widowControl/>
        <w:spacing w:after="110" w:line="278" w:lineRule="auto"/>
        <w:ind w:firstLine="255"/>
      </w:pPr>
      <w:r>
        <w:rPr>
          <w:rFonts w:ascii="Inter" w:hAnsi="Inter" w:eastAsia="Inter"/>
          <w:color w:val="182026"/>
          <w:sz w:val="19"/>
        </w:rPr>
        <w:t>Bei hoher Unsicherheit werden mindestens drei Szenarien verwendet:</w:t>
      </w:r>
    </w:p>
    <w:p>
      <w:pPr>
        <w:pStyle w:val="ListBullet"/>
        <w:widowControl/>
        <w:spacing w:after="50" w:line="259" w:lineRule="auto"/>
        <w:ind w:left="369" w:hanging="170"/>
      </w:pPr>
      <w:r>
        <w:rPr>
          <w:rFonts w:ascii="Inter" w:hAnsi="Inter" w:eastAsia="Inter"/>
          <w:b/>
          <w:color w:val="182026"/>
          <w:sz w:val="18"/>
        </w:rPr>
        <w:t>Low Case:</w:t>
      </w:r>
      <w:r>
        <w:rPr>
          <w:rFonts w:ascii="Inter" w:hAnsi="Inter" w:eastAsia="Inter"/>
          <w:color w:val="182026"/>
          <w:sz w:val="18"/>
        </w:rPr>
        <w:t xml:space="preserve"> konservativer Nutzen, hohe Gegenentwicklung, niedrige Zurechnung.</w:t>
      </w:r>
    </w:p>
    <w:p>
      <w:pPr>
        <w:pStyle w:val="ListBullet"/>
        <w:widowControl/>
        <w:spacing w:after="50" w:line="259" w:lineRule="auto"/>
        <w:ind w:left="369" w:hanging="170"/>
      </w:pPr>
      <w:r>
        <w:rPr>
          <w:rFonts w:ascii="Inter" w:hAnsi="Inter" w:eastAsia="Inter"/>
          <w:b/>
          <w:color w:val="182026"/>
          <w:sz w:val="18"/>
        </w:rPr>
        <w:t>Base Case:</w:t>
      </w:r>
      <w:r>
        <w:rPr>
          <w:rFonts w:ascii="Inter" w:hAnsi="Inter" w:eastAsia="Inter"/>
          <w:color w:val="182026"/>
          <w:sz w:val="18"/>
        </w:rPr>
        <w:t xml:space="preserve"> plausibelster Verlauf auf Basis verfügbarer Evidenz.</w:t>
      </w:r>
    </w:p>
    <w:p>
      <w:pPr>
        <w:pStyle w:val="ListBullet"/>
        <w:widowControl/>
        <w:spacing w:after="50" w:line="259" w:lineRule="auto"/>
        <w:ind w:left="369" w:hanging="170"/>
      </w:pPr>
      <w:r>
        <w:rPr>
          <w:rFonts w:ascii="Inter" w:hAnsi="Inter" w:eastAsia="Inter"/>
          <w:b/>
          <w:color w:val="182026"/>
          <w:sz w:val="18"/>
        </w:rPr>
        <w:t>High Case:</w:t>
      </w:r>
      <w:r>
        <w:rPr>
          <w:rFonts w:ascii="Inter" w:hAnsi="Inter" w:eastAsia="Inter"/>
          <w:color w:val="182026"/>
          <w:sz w:val="18"/>
        </w:rPr>
        <w:t xml:space="preserve"> günstiger Verlauf, jedoch keine reine Wunschprojektion.</w:t>
      </w:r>
    </w:p>
    <w:p>
      <w:pPr>
        <w:pStyle w:val="BodyText"/>
        <w:widowControl/>
        <w:spacing w:after="110" w:line="278" w:lineRule="auto"/>
        <w:ind w:firstLine="255"/>
      </w:pPr>
      <w:r>
        <w:rPr>
          <w:rFonts w:ascii="Inter" w:hAnsi="Inter" w:eastAsia="Inter"/>
          <w:color w:val="182026"/>
          <w:sz w:val="19"/>
        </w:rPr>
        <w:t>Der Preis darf nicht automatisch am High Case ausgerichtet werden. Ein sinnvoller Zielpreis basiert häufig auf einem konservativen oder gewichteten Wert, während variable Komponenten einen Teil des Upsides teilen.</w:t>
      </w:r>
    </w:p>
    <w:p>
      <w:pPr>
        <w:pStyle w:val="Heading2"/>
        <w:widowControl/>
      </w:pPr>
      <w:r>
        <w:t>5.10 Der Kundenwertbericht</w:t>
      </w:r>
    </w:p>
    <w:p>
      <w:pPr>
        <w:pStyle w:val="BodyText"/>
        <w:widowControl/>
        <w:spacing w:after="110" w:line="278" w:lineRule="auto"/>
        <w:ind w:firstLine="255"/>
      </w:pPr>
      <w:r>
        <w:rPr>
          <w:rFonts w:ascii="Inter" w:hAnsi="Inter" w:eastAsia="Inter"/>
          <w:color w:val="182026"/>
          <w:sz w:val="19"/>
        </w:rPr>
        <w:t>Das Ergebnis der Messung ist kein Werbeprospekt, sondern ein kurzer prüfbarer Kundenwertbericht. Er enthält:</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Entscheidung und Systemgrenze,</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Baseline und Referenzalternative,</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Wertpfade,</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Wertkomponenten und Einheiten,</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Datenquellen,</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color w:val="182026"/>
          <w:sz w:val="18"/>
        </w:rPr>
        <w:t>Zurechnungslogik,</w:t>
      </w:r>
    </w:p>
    <w:p>
      <w:pPr>
        <w:pStyle w:val="BodyText"/>
        <w:widowControl/>
        <w:spacing w:after="50" w:line="259" w:lineRule="auto"/>
        <w:ind w:left="408" w:hanging="272"/>
      </w:pPr>
      <w:r>
        <w:rPr>
          <w:rFonts w:ascii="Inter" w:hAnsi="Inter" w:eastAsia="Inter"/>
          <w:b/>
          <w:color w:val="2D625F"/>
          <w:sz w:val="18"/>
        </w:rPr>
        <w:t xml:space="preserve">7.  </w:t>
      </w:r>
      <w:r>
        <w:rPr>
          <w:rFonts w:ascii="Inter" w:hAnsi="Inter" w:eastAsia="Inter"/>
          <w:color w:val="182026"/>
          <w:sz w:val="18"/>
        </w:rPr>
        <w:t>Low-, Base- und High-Case,</w:t>
      </w:r>
    </w:p>
    <w:p>
      <w:pPr>
        <w:pStyle w:val="BodyText"/>
        <w:widowControl/>
        <w:spacing w:after="50" w:line="259" w:lineRule="auto"/>
        <w:ind w:left="408" w:hanging="272"/>
      </w:pPr>
      <w:r>
        <w:rPr>
          <w:rFonts w:ascii="Inter" w:hAnsi="Inter" w:eastAsia="Inter"/>
          <w:b/>
          <w:color w:val="2D625F"/>
          <w:sz w:val="18"/>
        </w:rPr>
        <w:t xml:space="preserve">8.  </w:t>
      </w:r>
      <w:r>
        <w:rPr>
          <w:rFonts w:ascii="Inter" w:hAnsi="Inter" w:eastAsia="Inter"/>
          <w:color w:val="182026"/>
          <w:sz w:val="18"/>
        </w:rPr>
        <w:t>kundenseitige Kosten und negative Effekte,</w:t>
      </w:r>
    </w:p>
    <w:p>
      <w:pPr>
        <w:pStyle w:val="BodyText"/>
        <w:widowControl/>
        <w:spacing w:after="50" w:line="259" w:lineRule="auto"/>
        <w:ind w:left="408" w:hanging="272"/>
      </w:pPr>
      <w:r>
        <w:rPr>
          <w:rFonts w:ascii="Inter" w:hAnsi="Inter" w:eastAsia="Inter"/>
          <w:b/>
          <w:color w:val="2D625F"/>
          <w:sz w:val="18"/>
        </w:rPr>
        <w:t xml:space="preserve">9.  </w:t>
      </w:r>
      <w:r>
        <w:rPr>
          <w:rFonts w:ascii="Inter" w:hAnsi="Inter" w:eastAsia="Inter"/>
          <w:color w:val="182026"/>
          <w:sz w:val="18"/>
        </w:rPr>
        <w:t>offene Annahmen und Review-Zeitpunkte,</w:t>
      </w:r>
    </w:p>
    <w:p>
      <w:pPr>
        <w:pStyle w:val="BodyText"/>
        <w:widowControl/>
        <w:spacing w:after="50" w:line="259" w:lineRule="auto"/>
        <w:ind w:left="408" w:hanging="272"/>
      </w:pPr>
      <w:r>
        <w:rPr>
          <w:rFonts w:ascii="Inter" w:hAnsi="Inter" w:eastAsia="Inter"/>
          <w:b/>
          <w:color w:val="2D625F"/>
          <w:sz w:val="18"/>
        </w:rPr>
        <w:t xml:space="preserve">10.  </w:t>
      </w:r>
      <w:r>
        <w:rPr>
          <w:rFonts w:ascii="Inter" w:hAnsi="Inter" w:eastAsia="Inter"/>
          <w:color w:val="182026"/>
          <w:sz w:val="18"/>
        </w:rPr>
        <w:t>Konsequenz für Preis und Vertrag.</w:t>
      </w:r>
    </w:p>
    <w:p>
      <w:pPr>
        <w:pStyle w:val="BodyText"/>
        <w:widowControl/>
        <w:spacing w:after="110" w:line="278" w:lineRule="auto"/>
        <w:ind w:firstLine="255"/>
      </w:pPr>
      <w:r>
        <w:rPr>
          <w:rFonts w:ascii="Inter" w:hAnsi="Inter" w:eastAsia="Inter"/>
          <w:color w:val="182026"/>
          <w:sz w:val="19"/>
        </w:rPr>
        <w:t>Der Bericht kann je nach Projekt zwei Seiten oder ein ausführliches Dossier umfassen. Verhältnismäßigkeit ist Teil der Methode.</w:t>
      </w:r>
    </w:p>
    <w:p>
      <w:pPr>
        <w:pStyle w:val="Heading1"/>
        <w:widowControl/>
        <w:pBdr>
          <w:bottom w:val="single" w:sz="10" w:space="6" w:color="C99A43"/>
        </w:pBdr>
      </w:pPr>
      <w:r>
        <w:t>6 Wirkung messen, bewerten und schützen</w:t>
      </w:r>
    </w:p>
    <w:p>
      <w:pPr>
        <w:pStyle w:val="Heading2"/>
        <w:widowControl/>
      </w:pPr>
      <w:r>
        <w:t>6.1 Warum eine zweite Messarchitektur notwendig ist</w:t>
      </w:r>
    </w:p>
    <w:p>
      <w:pPr>
        <w:pStyle w:val="BodyText"/>
        <w:widowControl/>
        <w:spacing w:after="110" w:line="278" w:lineRule="auto"/>
        <w:ind w:firstLine="255"/>
      </w:pPr>
      <w:r>
        <w:rPr>
          <w:rFonts w:ascii="Inter" w:hAnsi="Inter" w:eastAsia="Inter"/>
          <w:color w:val="182026"/>
          <w:sz w:val="19"/>
        </w:rPr>
        <w:t>Kundenwert misst, was eine Leistung für den Auftraggeber wirtschaftlich bewirkt. Die Wirkungsrechnung erweitert den Blick auf Beschäftigte, Nutzer:innen, Lieferketten, Umwelt, Öffentlichkeit, Institutionen und zukünftige Generationen. Sie ist keine Ergänzung zur Verkaufsargumentation, sondern eine eigene Prüfung.</w:t>
      </w:r>
    </w:p>
    <w:p>
      <w:pPr>
        <w:pStyle w:val="BodyText"/>
        <w:widowControl/>
        <w:spacing w:after="110" w:line="278" w:lineRule="auto"/>
        <w:ind w:firstLine="255"/>
      </w:pPr>
      <w:r>
        <w:rPr>
          <w:rFonts w:ascii="Inter" w:hAnsi="Inter" w:eastAsia="Inter"/>
          <w:color w:val="182026"/>
          <w:sz w:val="19"/>
        </w:rPr>
        <w:t>Wirkungscontrolling der WÖk ersetzt klassisches Controlling nicht. Es ergänzt finanzielle Kennzahlen durch Informationen darüber, welche Zustände ein Unternehmen, ein Projekt oder eine Dienstleistung verändert. Dafür verbindet es WÖk-IDs, Scorecards, NWI, IOI, T-SROI, Benchmarks, Datenqualität und Wirkungsdatenräume (Weber 2026a, Kap. 44; Wirkungsökonomie 2026c).</w:t>
      </w:r>
    </w:p>
    <w:p>
      <w:pPr>
        <w:pStyle w:val="Heading2"/>
        <w:widowControl/>
      </w:pPr>
      <w:r>
        <w:t>6.2 Wirkungsraum und Wirkungsempfänger</w:t>
      </w:r>
    </w:p>
    <w:p>
      <w:pPr>
        <w:pStyle w:val="BodyText"/>
        <w:widowControl/>
        <w:spacing w:after="110" w:line="278" w:lineRule="auto"/>
        <w:ind w:firstLine="255"/>
      </w:pPr>
      <w:r>
        <w:rPr>
          <w:rFonts w:ascii="Inter" w:hAnsi="Inter" w:eastAsia="Inter"/>
          <w:color w:val="182026"/>
          <w:sz w:val="19"/>
        </w:rPr>
        <w:t>Vor der Indikatorauswahl wird der Wirkungsraum festgelegt. Für Dienstleistungen sind mindestens folgende Ebenen zu prüfen:</w:t>
      </w:r>
    </w:p>
    <w:p>
      <w:pPr>
        <w:pStyle w:val="ListBullet"/>
        <w:widowControl/>
        <w:spacing w:after="50" w:line="259" w:lineRule="auto"/>
        <w:ind w:left="369" w:hanging="170"/>
      </w:pPr>
      <w:r>
        <w:rPr>
          <w:rFonts w:ascii="Inter" w:hAnsi="Inter" w:eastAsia="Inter"/>
          <w:color w:val="182026"/>
          <w:sz w:val="18"/>
        </w:rPr>
        <w:t>direkte Beschäftigte des Anbieters,</w:t>
      </w:r>
    </w:p>
    <w:p>
      <w:pPr>
        <w:pStyle w:val="ListBullet"/>
        <w:widowControl/>
        <w:spacing w:after="50" w:line="259" w:lineRule="auto"/>
        <w:ind w:left="369" w:hanging="170"/>
      </w:pPr>
      <w:r>
        <w:rPr>
          <w:rFonts w:ascii="Inter" w:hAnsi="Inter" w:eastAsia="Inter"/>
          <w:color w:val="182026"/>
          <w:sz w:val="18"/>
        </w:rPr>
        <w:t>Beschäftigte und Nutzer:innen beim Kunden,</w:t>
      </w:r>
    </w:p>
    <w:p>
      <w:pPr>
        <w:pStyle w:val="ListBullet"/>
        <w:widowControl/>
        <w:spacing w:after="50" w:line="259" w:lineRule="auto"/>
        <w:ind w:left="369" w:hanging="170"/>
      </w:pPr>
      <w:r>
        <w:rPr>
          <w:rFonts w:ascii="Inter" w:hAnsi="Inter" w:eastAsia="Inter"/>
          <w:color w:val="182026"/>
          <w:sz w:val="18"/>
        </w:rPr>
        <w:t>betroffene Dritte und vulnerable Gruppen,</w:t>
      </w:r>
    </w:p>
    <w:p>
      <w:pPr>
        <w:pStyle w:val="ListBullet"/>
        <w:widowControl/>
        <w:spacing w:after="50" w:line="259" w:lineRule="auto"/>
        <w:ind w:left="369" w:hanging="170"/>
      </w:pPr>
      <w:r>
        <w:rPr>
          <w:rFonts w:ascii="Inter" w:hAnsi="Inter" w:eastAsia="Inter"/>
          <w:color w:val="182026"/>
          <w:sz w:val="18"/>
        </w:rPr>
        <w:t>Lieferanten und Subdienstleister,</w:t>
      </w:r>
    </w:p>
    <w:p>
      <w:pPr>
        <w:pStyle w:val="ListBullet"/>
        <w:widowControl/>
        <w:spacing w:after="50" w:line="259" w:lineRule="auto"/>
        <w:ind w:left="369" w:hanging="170"/>
      </w:pPr>
      <w:r>
        <w:rPr>
          <w:rFonts w:ascii="Inter" w:hAnsi="Inter" w:eastAsia="Inter"/>
          <w:color w:val="182026"/>
          <w:sz w:val="18"/>
        </w:rPr>
        <w:t>ökologische Systeme und Ressourcen,</w:t>
      </w:r>
    </w:p>
    <w:p>
      <w:pPr>
        <w:pStyle w:val="ListBullet"/>
        <w:widowControl/>
        <w:spacing w:after="50" w:line="259" w:lineRule="auto"/>
        <w:ind w:left="369" w:hanging="170"/>
      </w:pPr>
      <w:r>
        <w:rPr>
          <w:rFonts w:ascii="Inter" w:hAnsi="Inter" w:eastAsia="Inter"/>
          <w:color w:val="182026"/>
          <w:sz w:val="18"/>
        </w:rPr>
        <w:t>Daten- und Informationsräume,</w:t>
      </w:r>
    </w:p>
    <w:p>
      <w:pPr>
        <w:pStyle w:val="ListBullet"/>
        <w:widowControl/>
        <w:spacing w:after="50" w:line="259" w:lineRule="auto"/>
        <w:ind w:left="369" w:hanging="170"/>
      </w:pPr>
      <w:r>
        <w:rPr>
          <w:rFonts w:ascii="Inter" w:hAnsi="Inter" w:eastAsia="Inter"/>
          <w:color w:val="182026"/>
          <w:sz w:val="18"/>
        </w:rPr>
        <w:t>Institutionen, Öffentlichkeit und Demokratie,</w:t>
      </w:r>
    </w:p>
    <w:p>
      <w:pPr>
        <w:pStyle w:val="ListBullet"/>
        <w:widowControl/>
        <w:spacing w:after="50" w:line="259" w:lineRule="auto"/>
        <w:ind w:left="369" w:hanging="170"/>
      </w:pPr>
      <w:r>
        <w:rPr>
          <w:rFonts w:ascii="Inter" w:hAnsi="Inter" w:eastAsia="Inter"/>
          <w:color w:val="182026"/>
          <w:sz w:val="18"/>
        </w:rPr>
        <w:t>zukünftige Wirkungen und Lock-ins.</w:t>
      </w:r>
    </w:p>
    <w:p>
      <w:pPr>
        <w:pStyle w:val="BodyText"/>
        <w:widowControl/>
        <w:spacing w:after="110" w:line="278" w:lineRule="auto"/>
        <w:ind w:firstLine="255"/>
      </w:pPr>
      <w:r>
        <w:rPr>
          <w:rFonts w:ascii="Inter" w:hAnsi="Inter" w:eastAsia="Inter"/>
          <w:color w:val="182026"/>
          <w:sz w:val="19"/>
        </w:rPr>
        <w:t>Nicht jede Ebene ist in jedem Projekt wesentlich. Die Auswahl erfolgt nach Relevanz, Schwere, Wahrscheinlichkeit und Steuerbarkeit. Die doppelte Wesentlichkeit kann als Brücke dienen: Welche Wirkung erzeugt die Leistung nach außen, und welche Wirkungsrisiken kehren finanziell oder strategisch zum Unternehmen zurück?</w:t>
      </w:r>
    </w:p>
    <w:p>
      <w:pPr>
        <w:pStyle w:val="Heading2"/>
        <w:widowControl/>
      </w:pPr>
      <w:r>
        <w:t>6.3 Referenzrahmen: SDGs und SDG+</w:t>
      </w:r>
    </w:p>
    <w:p>
      <w:pPr>
        <w:pStyle w:val="BodyText"/>
        <w:widowControl/>
        <w:spacing w:after="110" w:line="278" w:lineRule="auto"/>
        <w:ind w:firstLine="255"/>
      </w:pPr>
      <w:r>
        <w:rPr>
          <w:rFonts w:ascii="Inter" w:hAnsi="Inter" w:eastAsia="Inter"/>
          <w:color w:val="182026"/>
          <w:sz w:val="19"/>
        </w:rPr>
        <w:t>Die 17 SDGs und ihre Unterziele bilden den globalen Referenzrahmen. Die Wirkungsökonomie ergänzt SDG+ für demokratische und systemische Voraussetzungen wie Rechtsstaatlichkeit, Medien- und Informationsqualität, Diskursfähigkeit, institutionelles Vertrauen, gesellschaftlichen Zusammenhalt und digitale Selbstbestimmung. SDG+ ist keine offizielle UN-Kategorie, sondern eine transparente WÖk-Erweiterung.</w:t>
      </w:r>
    </w:p>
    <w:p>
      <w:pPr>
        <w:pStyle w:val="BodyText"/>
        <w:widowControl/>
        <w:spacing w:after="110" w:line="278" w:lineRule="auto"/>
        <w:ind w:firstLine="255"/>
      </w:pPr>
      <w:r>
        <w:rPr>
          <w:rFonts w:ascii="Inter" w:hAnsi="Inter" w:eastAsia="Inter"/>
          <w:color w:val="182026"/>
          <w:sz w:val="19"/>
        </w:rPr>
        <w:t>Die Referenz verhindert private Moralsetzung. Sie ersetzt aber kein Urteil. Ein Projekt kann zu mehreren Zielen beitragen und gleichzeitig Konflikte erzeugen. Die Wirkungsbewertung muss diese Spannungen offenlegen.</w:t>
      </w:r>
    </w:p>
    <w:p>
      <w:pPr>
        <w:pStyle w:val="Heading2"/>
        <w:widowControl/>
      </w:pPr>
      <w:r>
        <w:t>6.4 WÖk-IDs und Key Impact Indicators</w:t>
      </w:r>
    </w:p>
    <w:p>
      <w:pPr>
        <w:pStyle w:val="BodyText"/>
        <w:widowControl/>
        <w:spacing w:after="110" w:line="278" w:lineRule="auto"/>
        <w:ind w:firstLine="255"/>
      </w:pPr>
      <w:r>
        <w:rPr>
          <w:rFonts w:ascii="Inter" w:hAnsi="Inter" w:eastAsia="Inter"/>
          <w:color w:val="182026"/>
          <w:sz w:val="19"/>
        </w:rPr>
        <w:t>WÖk-IDs verbinden einen Wirkungsaspekt mit Definition, Einheit, Datenquelle, Systemgrenze, Benchmark, Bewertungslogik, Datenqualität und Version. KIIs machen Zustandsveränderungen sichtbar. Für Dienstleistungen können je nach Kontext beispielsweise relevant sein:</w:t>
      </w:r>
    </w:p>
    <w:p>
      <w:pPr>
        <w:pStyle w:val="ListBullet"/>
        <w:widowControl/>
        <w:spacing w:after="50" w:line="259" w:lineRule="auto"/>
        <w:ind w:left="369" w:hanging="170"/>
      </w:pPr>
      <w:r>
        <w:rPr>
          <w:rFonts w:ascii="Inter" w:hAnsi="Inter" w:eastAsia="Inter"/>
          <w:color w:val="182026"/>
          <w:sz w:val="18"/>
        </w:rPr>
        <w:t>Arbeitsbelastung, psychische Sicherheit und Qualifizierungswirkung,</w:t>
      </w:r>
    </w:p>
    <w:p>
      <w:pPr>
        <w:pStyle w:val="ListBullet"/>
        <w:widowControl/>
        <w:spacing w:after="50" w:line="259" w:lineRule="auto"/>
        <w:ind w:left="369" w:hanging="170"/>
      </w:pPr>
      <w:r>
        <w:rPr>
          <w:rFonts w:ascii="Inter" w:hAnsi="Inter" w:eastAsia="Inter"/>
          <w:color w:val="182026"/>
          <w:sz w:val="18"/>
        </w:rPr>
        <w:t>Zugänglichkeit und Teilhabe,</w:t>
      </w:r>
    </w:p>
    <w:p>
      <w:pPr>
        <w:pStyle w:val="ListBullet"/>
        <w:widowControl/>
        <w:spacing w:after="50" w:line="259" w:lineRule="auto"/>
        <w:ind w:left="369" w:hanging="170"/>
      </w:pPr>
      <w:r>
        <w:rPr>
          <w:rFonts w:ascii="Inter" w:hAnsi="Inter" w:eastAsia="Inter"/>
          <w:color w:val="182026"/>
          <w:sz w:val="18"/>
        </w:rPr>
        <w:t>Energie-, Reise- oder Datenintensität,</w:t>
      </w:r>
    </w:p>
    <w:p>
      <w:pPr>
        <w:pStyle w:val="ListBullet"/>
        <w:widowControl/>
        <w:spacing w:after="50" w:line="259" w:lineRule="auto"/>
        <w:ind w:left="369" w:hanging="170"/>
      </w:pPr>
      <w:r>
        <w:rPr>
          <w:rFonts w:ascii="Inter" w:hAnsi="Inter" w:eastAsia="Inter"/>
          <w:color w:val="182026"/>
          <w:sz w:val="18"/>
        </w:rPr>
        <w:t>Datenschutz- und Sicherheitsvorfälle,</w:t>
      </w:r>
    </w:p>
    <w:p>
      <w:pPr>
        <w:pStyle w:val="ListBullet"/>
        <w:widowControl/>
        <w:spacing w:after="50" w:line="259" w:lineRule="auto"/>
        <w:ind w:left="369" w:hanging="170"/>
      </w:pPr>
      <w:r>
        <w:rPr>
          <w:rFonts w:ascii="Inter" w:hAnsi="Inter" w:eastAsia="Inter"/>
          <w:color w:val="182026"/>
          <w:sz w:val="18"/>
        </w:rPr>
        <w:t>Bias- und Diskriminierungsrisiken,</w:t>
      </w:r>
    </w:p>
    <w:p>
      <w:pPr>
        <w:pStyle w:val="ListBullet"/>
        <w:widowControl/>
        <w:spacing w:after="50" w:line="259" w:lineRule="auto"/>
        <w:ind w:left="369" w:hanging="170"/>
      </w:pPr>
      <w:r>
        <w:rPr>
          <w:rFonts w:ascii="Inter" w:hAnsi="Inter" w:eastAsia="Inter"/>
          <w:color w:val="182026"/>
          <w:sz w:val="18"/>
        </w:rPr>
        <w:t>Open-Access- oder Wissenstransferquote,</w:t>
      </w:r>
    </w:p>
    <w:p>
      <w:pPr>
        <w:pStyle w:val="ListBullet"/>
        <w:widowControl/>
        <w:spacing w:after="50" w:line="259" w:lineRule="auto"/>
        <w:ind w:left="369" w:hanging="170"/>
      </w:pPr>
      <w:r>
        <w:rPr>
          <w:rFonts w:ascii="Inter" w:hAnsi="Inter" w:eastAsia="Inter"/>
          <w:color w:val="182026"/>
          <w:sz w:val="18"/>
        </w:rPr>
        <w:t>Resilienz- und Redundanzgewinn,</w:t>
      </w:r>
    </w:p>
    <w:p>
      <w:pPr>
        <w:pStyle w:val="ListBullet"/>
        <w:widowControl/>
        <w:spacing w:after="50" w:line="259" w:lineRule="auto"/>
        <w:ind w:left="369" w:hanging="170"/>
      </w:pPr>
      <w:r>
        <w:rPr>
          <w:rFonts w:ascii="Inter" w:hAnsi="Inter" w:eastAsia="Inter"/>
          <w:color w:val="182026"/>
          <w:sz w:val="18"/>
        </w:rPr>
        <w:t>Beschwerde- und Abhilfewirksamkeit,</w:t>
      </w:r>
    </w:p>
    <w:p>
      <w:pPr>
        <w:pStyle w:val="ListBullet"/>
        <w:widowControl/>
        <w:spacing w:after="50" w:line="259" w:lineRule="auto"/>
        <w:ind w:left="369" w:hanging="170"/>
      </w:pPr>
      <w:r>
        <w:rPr>
          <w:rFonts w:ascii="Inter" w:hAnsi="Inter" w:eastAsia="Inter"/>
          <w:color w:val="182026"/>
          <w:sz w:val="18"/>
        </w:rPr>
        <w:t>Transparenz, Nachvollziehbarkeit und Rechenschaft,</w:t>
      </w:r>
    </w:p>
    <w:p>
      <w:pPr>
        <w:pStyle w:val="ListBullet"/>
        <w:widowControl/>
        <w:spacing w:after="50" w:line="259" w:lineRule="auto"/>
        <w:ind w:left="369" w:hanging="170"/>
      </w:pPr>
      <w:r>
        <w:rPr>
          <w:rFonts w:ascii="Inter" w:hAnsi="Inter" w:eastAsia="Inter"/>
          <w:color w:val="182026"/>
          <w:sz w:val="18"/>
        </w:rPr>
        <w:t>systemische Kooperation und Lieferantenentwicklung.</w:t>
      </w:r>
    </w:p>
    <w:p>
      <w:pPr>
        <w:pStyle w:val="BodyText"/>
        <w:widowControl/>
        <w:spacing w:after="110" w:line="278" w:lineRule="auto"/>
        <w:ind w:firstLine="255"/>
      </w:pPr>
      <w:r>
        <w:rPr>
          <w:rFonts w:ascii="Inter" w:hAnsi="Inter" w:eastAsia="Inter"/>
          <w:color w:val="182026"/>
          <w:sz w:val="19"/>
        </w:rPr>
        <w:t>KIIs ersetzen KPIs nicht. Ein Projekt braucht weiterhin Kosten-, Termin-, Qualitäts- und Lieferkennzahlen. Der Unterschied besteht darin, dass KII nicht nur fragt, ob eine Leistung effizient erbracht wurde, sondern welche Zustände sich verändert haben.</w:t>
      </w:r>
    </w:p>
    <w:p>
      <w:pPr>
        <w:pStyle w:val="Heading2"/>
        <w:widowControl/>
      </w:pPr>
      <w:r>
        <w:t>6.5 KI-spezifische Wirkungsprüfung</w:t>
      </w:r>
    </w:p>
    <w:p>
      <w:pPr>
        <w:pStyle w:val="BodyText"/>
        <w:widowControl/>
        <w:spacing w:after="110" w:line="276" w:lineRule="auto"/>
        <w:ind w:firstLine="255"/>
      </w:pPr>
      <w:r>
        <w:rPr>
          <w:rFonts w:ascii="Inter" w:hAnsi="Inter" w:eastAsia="Inter"/>
          <w:color w:val="182026"/>
          <w:sz w:val="19"/>
        </w:rPr>
        <w:t>Bei KI-gestützten Dienstleistungen ist zusätzlich zu prüfen:</w:t>
      </w:r>
    </w:p>
    <w:p>
      <w:pPr>
        <w:pStyle w:val="ListBullet"/>
        <w:widowControl/>
        <w:spacing w:after="50" w:line="259" w:lineRule="auto"/>
        <w:ind w:left="369" w:hanging="170"/>
      </w:pPr>
      <w:r>
        <w:rPr>
          <w:rFonts w:ascii="Inter" w:hAnsi="Inter" w:eastAsia="Inter"/>
          <w:color w:val="182026"/>
          <w:sz w:val="18"/>
        </w:rPr>
        <w:t>Welche Daten und Modelle werden verwendet?</w:t>
      </w:r>
    </w:p>
    <w:p>
      <w:pPr>
        <w:pStyle w:val="ListBullet"/>
        <w:widowControl/>
        <w:spacing w:after="50" w:line="259" w:lineRule="auto"/>
        <w:ind w:left="369" w:hanging="170"/>
      </w:pPr>
      <w:r>
        <w:rPr>
          <w:rFonts w:ascii="Inter" w:hAnsi="Inter" w:eastAsia="Inter"/>
          <w:color w:val="182026"/>
          <w:sz w:val="18"/>
        </w:rPr>
        <w:t>Sind Herkunft, Rechte und Verarbeitung transparent?</w:t>
      </w:r>
    </w:p>
    <w:p>
      <w:pPr>
        <w:pStyle w:val="ListBullet"/>
        <w:widowControl/>
        <w:spacing w:after="50" w:line="259" w:lineRule="auto"/>
        <w:ind w:left="369" w:hanging="170"/>
      </w:pPr>
      <w:r>
        <w:rPr>
          <w:rFonts w:ascii="Inter" w:hAnsi="Inter" w:eastAsia="Inter"/>
          <w:color w:val="182026"/>
          <w:sz w:val="18"/>
        </w:rPr>
        <w:t>Welche menschliche Prüfung bleibt notwendig?</w:t>
      </w:r>
    </w:p>
    <w:p>
      <w:pPr>
        <w:pStyle w:val="ListBullet"/>
        <w:widowControl/>
        <w:spacing w:after="50" w:line="259" w:lineRule="auto"/>
        <w:ind w:left="369" w:hanging="170"/>
      </w:pPr>
      <w:r>
        <w:rPr>
          <w:rFonts w:ascii="Inter" w:hAnsi="Inter" w:eastAsia="Inter"/>
          <w:color w:val="182026"/>
          <w:sz w:val="18"/>
        </w:rPr>
        <w:t>Welche Fehler- und Biasrisiken bestehen?</w:t>
      </w:r>
    </w:p>
    <w:p>
      <w:pPr>
        <w:pStyle w:val="ListBullet"/>
        <w:widowControl/>
        <w:spacing w:after="50" w:line="259" w:lineRule="auto"/>
        <w:ind w:left="369" w:hanging="170"/>
      </w:pPr>
      <w:r>
        <w:rPr>
          <w:rFonts w:ascii="Inter" w:hAnsi="Inter" w:eastAsia="Inter"/>
          <w:color w:val="182026"/>
          <w:sz w:val="18"/>
        </w:rPr>
        <w:t>Verändert KI die Arbeitsbelastung oder Qualifikationsstruktur?</w:t>
      </w:r>
    </w:p>
    <w:p>
      <w:pPr>
        <w:pStyle w:val="ListBullet"/>
        <w:widowControl/>
        <w:spacing w:after="50" w:line="259" w:lineRule="auto"/>
        <w:ind w:left="369" w:hanging="170"/>
      </w:pPr>
      <w:r>
        <w:rPr>
          <w:rFonts w:ascii="Inter" w:hAnsi="Inter" w:eastAsia="Inter"/>
          <w:color w:val="182026"/>
          <w:sz w:val="18"/>
        </w:rPr>
        <w:t>Werden sensible Daten oder Geschäftsgeheimnisse geschützt?</w:t>
      </w:r>
    </w:p>
    <w:p>
      <w:pPr>
        <w:pStyle w:val="ListBullet"/>
        <w:widowControl/>
        <w:spacing w:after="50" w:line="259" w:lineRule="auto"/>
        <w:ind w:left="369" w:hanging="170"/>
      </w:pPr>
      <w:r>
        <w:rPr>
          <w:rFonts w:ascii="Inter" w:hAnsi="Inter" w:eastAsia="Inter"/>
          <w:color w:val="182026"/>
          <w:sz w:val="18"/>
        </w:rPr>
        <w:t>Ist die Leistung reproduzierbar und nachvollziehbar?</w:t>
      </w:r>
    </w:p>
    <w:p>
      <w:pPr>
        <w:pStyle w:val="ListBullet"/>
        <w:widowControl/>
        <w:spacing w:after="50" w:line="259" w:lineRule="auto"/>
        <w:ind w:left="369" w:hanging="170"/>
      </w:pPr>
      <w:r>
        <w:rPr>
          <w:rFonts w:ascii="Inter" w:hAnsi="Inter" w:eastAsia="Inter"/>
          <w:color w:val="182026"/>
          <w:sz w:val="18"/>
        </w:rPr>
        <w:t>Entstehen Abhängigkeiten von einzelnen Plattformen oder Anbietern?</w:t>
      </w:r>
    </w:p>
    <w:p>
      <w:pPr>
        <w:pStyle w:val="ListBullet"/>
        <w:widowControl/>
        <w:spacing w:after="50" w:line="259" w:lineRule="auto"/>
        <w:ind w:left="369" w:hanging="170"/>
      </w:pPr>
      <w:r>
        <w:rPr>
          <w:rFonts w:ascii="Inter" w:hAnsi="Inter" w:eastAsia="Inter"/>
          <w:color w:val="182026"/>
          <w:sz w:val="18"/>
        </w:rPr>
        <w:t>Werden Effizienzgewinne in Arbeitsverdichtung oder Stellenabbau übersetzt?</w:t>
      </w:r>
    </w:p>
    <w:p>
      <w:pPr>
        <w:pStyle w:val="BodyText"/>
        <w:widowControl/>
        <w:spacing w:after="110" w:line="276" w:lineRule="auto"/>
        <w:ind w:firstLine="255"/>
      </w:pPr>
      <w:r>
        <w:rPr>
          <w:rFonts w:ascii="Inter" w:hAnsi="Inter" w:eastAsia="Inter"/>
          <w:color w:val="182026"/>
          <w:sz w:val="19"/>
        </w:rPr>
        <w:t>Eine KI-gestützte Leistung kann hohen Kundenwert und positive Wirkung erzeugen. Sie kann ebenso neue Risiken schaffen. Der Einsatz von KI ist deshalb weder positiver Impact noch Qualitätsnachweis an sich.</w:t>
      </w:r>
    </w:p>
    <w:p>
      <w:pPr>
        <w:pStyle w:val="Heading2"/>
        <w:widowControl/>
      </w:pPr>
      <w:r>
        <w:t>6.6 Scorecard und Benchmarks</w:t>
      </w:r>
    </w:p>
    <w:p>
      <w:pPr>
        <w:pStyle w:val="BodyText"/>
        <w:widowControl/>
        <w:spacing w:after="110" w:line="278" w:lineRule="auto"/>
        <w:ind w:firstLine="255"/>
      </w:pPr>
      <w:r>
        <w:rPr>
          <w:rFonts w:ascii="Inter" w:hAnsi="Inter" w:eastAsia="Inter"/>
          <w:color w:val="182026"/>
          <w:sz w:val="19"/>
        </w:rPr>
        <w:t>Die Wirkungs-Scorecard ordnet Messwerte Wirkungsfeldern zu. Sie enthält mindestens:</w:t>
      </w:r>
    </w:p>
    <w:p>
      <w:pPr>
        <w:pStyle w:val="ListBullet"/>
        <w:widowControl/>
        <w:spacing w:after="50" w:line="259" w:lineRule="auto"/>
        <w:ind w:left="369" w:hanging="170"/>
      </w:pPr>
      <w:r>
        <w:rPr>
          <w:rFonts w:ascii="Inter" w:hAnsi="Inter" w:eastAsia="Inter"/>
          <w:color w:val="182026"/>
          <w:sz w:val="18"/>
        </w:rPr>
        <w:t>Indikator oder WÖk-ID,</w:t>
      </w:r>
    </w:p>
    <w:p>
      <w:pPr>
        <w:pStyle w:val="ListBullet"/>
        <w:widowControl/>
        <w:spacing w:after="50" w:line="259" w:lineRule="auto"/>
        <w:ind w:left="369" w:hanging="170"/>
      </w:pPr>
      <w:r>
        <w:rPr>
          <w:rFonts w:ascii="Inter" w:hAnsi="Inter" w:eastAsia="Inter"/>
          <w:color w:val="182026"/>
          <w:sz w:val="18"/>
        </w:rPr>
        <w:t>Wirkungsempfänger und Systemgrenze,</w:t>
      </w:r>
    </w:p>
    <w:p>
      <w:pPr>
        <w:pStyle w:val="ListBullet"/>
        <w:widowControl/>
        <w:spacing w:after="50" w:line="259" w:lineRule="auto"/>
        <w:ind w:left="369" w:hanging="170"/>
      </w:pPr>
      <w:r>
        <w:rPr>
          <w:rFonts w:ascii="Inter" w:hAnsi="Inter" w:eastAsia="Inter"/>
          <w:color w:val="182026"/>
          <w:sz w:val="18"/>
        </w:rPr>
        <w:t>Einheit und Bewertungsrichtung,</w:t>
      </w:r>
    </w:p>
    <w:p>
      <w:pPr>
        <w:pStyle w:val="ListBullet"/>
        <w:widowControl/>
        <w:spacing w:after="50" w:line="259" w:lineRule="auto"/>
        <w:ind w:left="369" w:hanging="170"/>
      </w:pPr>
      <w:r>
        <w:rPr>
          <w:rFonts w:ascii="Inter" w:hAnsi="Inter" w:eastAsia="Inter"/>
          <w:color w:val="182026"/>
          <w:sz w:val="18"/>
        </w:rPr>
        <w:t>Baseline und Messzeitraum,</w:t>
      </w:r>
    </w:p>
    <w:p>
      <w:pPr>
        <w:pStyle w:val="ListBullet"/>
        <w:widowControl/>
        <w:spacing w:after="50" w:line="259" w:lineRule="auto"/>
        <w:ind w:left="369" w:hanging="170"/>
      </w:pPr>
      <w:r>
        <w:rPr>
          <w:rFonts w:ascii="Inter" w:hAnsi="Inter" w:eastAsia="Inter"/>
          <w:color w:val="182026"/>
          <w:sz w:val="18"/>
        </w:rPr>
        <w:t>Benchmark oder Schwellenwert,</w:t>
      </w:r>
    </w:p>
    <w:p>
      <w:pPr>
        <w:pStyle w:val="ListBullet"/>
        <w:widowControl/>
        <w:spacing w:after="50" w:line="259" w:lineRule="auto"/>
        <w:ind w:left="369" w:hanging="170"/>
      </w:pPr>
      <w:r>
        <w:rPr>
          <w:rFonts w:ascii="Inter" w:hAnsi="Inter" w:eastAsia="Inter"/>
          <w:color w:val="182026"/>
          <w:sz w:val="18"/>
        </w:rPr>
        <w:t>Messwert und Score,</w:t>
      </w:r>
    </w:p>
    <w:p>
      <w:pPr>
        <w:pStyle w:val="ListBullet"/>
        <w:widowControl/>
        <w:spacing w:after="50" w:line="259" w:lineRule="auto"/>
        <w:ind w:left="369" w:hanging="170"/>
      </w:pPr>
      <w:r>
        <w:rPr>
          <w:rFonts w:ascii="Inter" w:hAnsi="Inter" w:eastAsia="Inter"/>
          <w:color w:val="182026"/>
          <w:sz w:val="18"/>
        </w:rPr>
        <w:t>Datenquelle und Datenqualität,</w:t>
      </w:r>
    </w:p>
    <w:p>
      <w:pPr>
        <w:pStyle w:val="ListBullet"/>
        <w:widowControl/>
        <w:spacing w:after="50" w:line="259" w:lineRule="auto"/>
        <w:ind w:left="369" w:hanging="170"/>
      </w:pPr>
      <w:r>
        <w:rPr>
          <w:rFonts w:ascii="Inter" w:hAnsi="Inter" w:eastAsia="Inter"/>
          <w:color w:val="182026"/>
          <w:sz w:val="18"/>
        </w:rPr>
        <w:t>Ausschlussindikator oder rote Linie,</w:t>
      </w:r>
    </w:p>
    <w:p>
      <w:pPr>
        <w:pStyle w:val="ListBullet"/>
        <w:widowControl/>
        <w:spacing w:after="50" w:line="259" w:lineRule="auto"/>
        <w:ind w:left="369" w:hanging="170"/>
      </w:pPr>
      <w:r>
        <w:rPr>
          <w:rFonts w:ascii="Inter" w:hAnsi="Inter" w:eastAsia="Inter"/>
          <w:color w:val="182026"/>
          <w:sz w:val="18"/>
        </w:rPr>
        <w:t>Annahmen, Unsicherheit und Prüfstatus,</w:t>
      </w:r>
    </w:p>
    <w:p>
      <w:pPr>
        <w:pStyle w:val="ListBullet"/>
        <w:widowControl/>
        <w:spacing w:after="50" w:line="259" w:lineRule="auto"/>
        <w:ind w:left="369" w:hanging="170"/>
      </w:pPr>
      <w:r>
        <w:rPr>
          <w:rFonts w:ascii="Inter" w:hAnsi="Inter" w:eastAsia="Inter"/>
          <w:color w:val="182026"/>
          <w:sz w:val="18"/>
        </w:rPr>
        <w:t>Verantwortliche Stelle und Folgemaßnahme.</w:t>
      </w:r>
    </w:p>
    <w:p>
      <w:pPr>
        <w:pStyle w:val="BodyText"/>
        <w:widowControl/>
        <w:spacing w:after="110" w:line="278" w:lineRule="auto"/>
        <w:ind w:firstLine="255"/>
      </w:pPr>
      <w:r>
        <w:rPr>
          <w:rFonts w:ascii="Inter" w:hAnsi="Inter" w:eastAsia="Inter"/>
          <w:color w:val="182026"/>
          <w:sz w:val="19"/>
        </w:rPr>
        <w:t>Benchmarks können rechtliche Mindestwerte, wissenschaftliche Zielwerte, Branchenwerte, Best Available Techniques, organisationsspezifische Ziele oder transformatorische Schwellen sein. Ein bloßer Durchschnitt ist kein positiver Wirkungsmaßstab. Er kann nur Vergleichspunkt sein.</w:t>
      </w:r>
    </w:p>
    <w:p>
      <w:pPr>
        <w:pStyle w:val="Heading2"/>
        <w:widowControl/>
      </w:pPr>
      <w:r>
        <w:t>6.7 Reverse Merit Order und Schutz-Gate</w:t>
      </w:r>
    </w:p>
    <w:p>
      <w:pPr>
        <w:pStyle w:val="BodyText"/>
        <w:widowControl/>
        <w:spacing w:after="110" w:line="278" w:lineRule="auto"/>
        <w:ind w:firstLine="255"/>
      </w:pPr>
      <w:r>
        <w:rPr>
          <w:rFonts w:ascii="Inter" w:hAnsi="Inter" w:eastAsia="Inter"/>
          <w:color w:val="182026"/>
          <w:sz w:val="19"/>
        </w:rPr>
        <w:t xml:space="preserve">Die Reverse Merit Order bedeutet, dass das schwächste kritische Wirkungsfeld die Gesamtbewertung begrenzt. Für WVP wird daraus ein </w:t>
      </w:r>
      <w:r>
        <w:rPr>
          <w:rFonts w:ascii="Inter" w:hAnsi="Inter" w:eastAsia="Inter"/>
          <w:b/>
          <w:color w:val="182026"/>
          <w:sz w:val="19"/>
        </w:rPr>
        <w:t>Schutz-Gate</w:t>
      </w:r>
      <w:r>
        <w:rPr>
          <w:rFonts w:ascii="Inter" w:hAnsi="Inter" w:eastAsia="Inter"/>
          <w:color w:val="182026"/>
          <w:sz w:val="19"/>
        </w:rPr>
        <w:t xml:space="preserve"> vor Wirkungskomponenten und Wirkungsclaims.</w:t>
      </w:r>
    </w:p>
    <w:p>
      <w:pPr>
        <w:pStyle w:val="BodyText"/>
        <w:widowControl/>
        <w:spacing w:after="110" w:line="278" w:lineRule="auto"/>
        <w:ind w:firstLine="255"/>
      </w:pPr>
      <w:r>
        <w:rPr>
          <w:rFonts w:ascii="Inter" w:hAnsi="Inter" w:eastAsia="Inter"/>
          <w:color w:val="182026"/>
          <w:sz w:val="19"/>
        </w:rPr>
        <w:t>Das Gate prüft:</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Gibt es eine rote Linie oder einen Ausschlussindikator?</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Liegt ein kritisches Feld unter der Mindestschwelle?</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Werden negative Wirkungen nur kommunikativ kompensiert?</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Ist die Datenqualität für die behauptete Wirkung ausreichend?</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Gibt es unverhältnismäßige Belastungen vulnerabler Gruppen?</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color w:val="182026"/>
          <w:sz w:val="18"/>
        </w:rPr>
        <w:t>Sind Abhilfe, Beschwerde und Korrektur geregelt?</w:t>
      </w:r>
    </w:p>
    <w:p>
      <w:pPr>
        <w:pStyle w:val="BodyText"/>
        <w:widowControl/>
        <w:spacing w:after="110" w:line="278" w:lineRule="auto"/>
        <w:ind w:firstLine="255"/>
      </w:pPr>
      <w:r>
        <w:rPr>
          <w:rFonts w:ascii="Inter" w:hAnsi="Inter" w:eastAsia="Inter"/>
          <w:color w:val="182026"/>
          <w:sz w:val="19"/>
        </w:rPr>
        <w:t>Erst wenn das Schutz-Gate bestanden ist, kann positive Netto-Wirkung preis-, bonus-, beschaffungs- oder finanzierungsrelevant werden. Bei negativem Ergebnis lautet die Folge nicht automatisch Vertragsabbruch. Möglich sind Redesign, Auflagen, begrenzter Pilot, Remediation oder ein bewusst neutraler Preis ohne Wirkungsclaim.</w:t>
      </w:r>
    </w:p>
    <w:p>
      <w:pPr>
        <w:pStyle w:val="Heading2"/>
        <w:widowControl/>
      </w:pPr>
      <w:r>
        <w:t>6.8 Netto-Wirkungs-Index</w:t>
      </w:r>
    </w:p>
    <w:p>
      <w:pPr>
        <w:pStyle w:val="BodyText"/>
        <w:widowControl/>
        <w:spacing w:after="110" w:line="278" w:lineRule="auto"/>
        <w:ind w:firstLine="255"/>
      </w:pPr>
      <w:r>
        <w:rPr>
          <w:rFonts w:ascii="Inter" w:hAnsi="Inter" w:eastAsia="Inter"/>
          <w:color w:val="182026"/>
          <w:sz w:val="19"/>
        </w:rPr>
        <w:t>Der NWI ist die operative WÖk-Kennzahl zur Einordnung von Netto-Wirkung. Er bündelt die bewertete Gesamtwirkung eines definierten Gegenstands, berücksichtigt positive und negative Wirkungen, Mindestbedingungen, Datenqualität, Unsicherheit, Zeit und Systemkontext und hält die Nichtkompensation aufrecht.</w:t>
      </w:r>
    </w:p>
    <w:p>
      <w:pPr>
        <w:pStyle w:val="BodyText"/>
        <w:widowControl/>
        <w:spacing w:after="110" w:line="278" w:lineRule="auto"/>
        <w:ind w:firstLine="255"/>
      </w:pPr>
      <w:r>
        <w:rPr>
          <w:rFonts w:ascii="Inter" w:hAnsi="Inter" w:eastAsia="Inter"/>
          <w:color w:val="182026"/>
          <w:sz w:val="19"/>
        </w:rPr>
        <w:t>Für WVP hat der NWI drei Funktionen:</w:t>
      </w:r>
    </w:p>
    <w:p>
      <w:pPr>
        <w:pStyle w:val="ListBullet"/>
        <w:widowControl/>
        <w:spacing w:after="50" w:line="259" w:lineRule="auto"/>
        <w:ind w:left="369" w:hanging="170"/>
      </w:pPr>
      <w:r>
        <w:rPr>
          <w:rFonts w:ascii="Inter" w:hAnsi="Inter" w:eastAsia="Inter"/>
          <w:b/>
          <w:color w:val="182026"/>
          <w:sz w:val="18"/>
        </w:rPr>
        <w:t>Freigabe:</w:t>
      </w:r>
      <w:r>
        <w:rPr>
          <w:rFonts w:ascii="Inter" w:hAnsi="Inter" w:eastAsia="Inter"/>
          <w:color w:val="182026"/>
          <w:sz w:val="18"/>
        </w:rPr>
        <w:t xml:space="preserve"> Darf die Leistung als positiv wirksam eingeordnet werden?</w:t>
      </w:r>
    </w:p>
    <w:p>
      <w:pPr>
        <w:pStyle w:val="ListBullet"/>
        <w:widowControl/>
        <w:spacing w:after="50" w:line="259" w:lineRule="auto"/>
        <w:ind w:left="369" w:hanging="170"/>
      </w:pPr>
      <w:r>
        <w:rPr>
          <w:rFonts w:ascii="Inter" w:hAnsi="Inter" w:eastAsia="Inter"/>
          <w:b/>
          <w:color w:val="182026"/>
          <w:sz w:val="18"/>
        </w:rPr>
        <w:t>Vergleich:</w:t>
      </w:r>
      <w:r>
        <w:rPr>
          <w:rFonts w:ascii="Inter" w:hAnsi="Inter" w:eastAsia="Inter"/>
          <w:color w:val="182026"/>
          <w:sz w:val="18"/>
        </w:rPr>
        <w:t xml:space="preserve"> Welche Angebots- oder Ausführungsvariante hat die bessere Netto-Wirkung?</w:t>
      </w:r>
    </w:p>
    <w:p>
      <w:pPr>
        <w:pStyle w:val="ListBullet"/>
        <w:widowControl/>
        <w:spacing w:after="50" w:line="259" w:lineRule="auto"/>
        <w:ind w:left="369" w:hanging="170"/>
      </w:pPr>
      <w:r>
        <w:rPr>
          <w:rFonts w:ascii="Inter" w:hAnsi="Inter" w:eastAsia="Inter"/>
          <w:b/>
          <w:color w:val="182026"/>
          <w:sz w:val="18"/>
        </w:rPr>
        <w:t>Rückkopplung:</w:t>
      </w:r>
      <w:r>
        <w:rPr>
          <w:rFonts w:ascii="Inter" w:hAnsi="Inter" w:eastAsia="Inter"/>
          <w:color w:val="182026"/>
          <w:sz w:val="18"/>
        </w:rPr>
        <w:t xml:space="preserve"> Welche Verbesserungen müssen in Scope, Vertrag, Preis oder Liefermodell eingehen?</w:t>
      </w:r>
    </w:p>
    <w:p>
      <w:pPr>
        <w:pStyle w:val="BodyText"/>
        <w:widowControl/>
        <w:spacing w:after="110" w:line="278" w:lineRule="auto"/>
        <w:ind w:firstLine="255"/>
      </w:pPr>
      <w:r>
        <w:rPr>
          <w:rFonts w:ascii="Inter" w:hAnsi="Inter" w:eastAsia="Inter"/>
          <w:color w:val="182026"/>
          <w:sz w:val="19"/>
        </w:rPr>
        <w:t>Der NWI wird nicht in Euro umgerechnet. Er ist eine Bewertungskennzahl, keine Zahlungsgröße.</w:t>
      </w:r>
    </w:p>
    <w:p>
      <w:pPr>
        <w:pStyle w:val="Heading2"/>
        <w:widowControl/>
      </w:pPr>
      <w:r>
        <w:t>6.9 IOI und T-SROI</w:t>
      </w:r>
    </w:p>
    <w:p>
      <w:pPr>
        <w:pStyle w:val="BodyText"/>
        <w:widowControl/>
        <w:spacing w:after="110" w:line="278" w:lineRule="auto"/>
        <w:ind w:firstLine="255"/>
      </w:pPr>
      <w:r>
        <w:rPr>
          <w:rFonts w:ascii="Inter" w:hAnsi="Inter" w:eastAsia="Inter"/>
          <w:color w:val="182026"/>
          <w:sz w:val="19"/>
        </w:rPr>
        <w:t>Der Impact-of-Investment setzt direkt monetarisierten, kausal begrenzten Nettonutzen in Euro ins Verhältnis zu Investition und inkrementellen Kosten. Er ist besonders relevant, wenn die Dienstleistung Teil einer Transformationsinvestition ist. IOI darf keine NWI-Punkte monetarisieren und keine negativen Wirkungen verdecken.</w:t>
      </w:r>
    </w:p>
    <w:p>
      <w:pPr>
        <w:pStyle w:val="BodyText"/>
        <w:widowControl/>
        <w:spacing w:after="110" w:line="278" w:lineRule="auto"/>
        <w:ind w:firstLine="255"/>
      </w:pPr>
      <w:r>
        <w:rPr>
          <w:rFonts w:ascii="Inter" w:hAnsi="Inter" w:eastAsia="Inter"/>
          <w:color w:val="182026"/>
          <w:sz w:val="19"/>
        </w:rPr>
        <w:t>Der aktuelle T-SROI-Rechenstandard baut darauf auf. Er trennt:</w:t>
      </w:r>
    </w:p>
    <w:p>
      <w:pPr>
        <w:pStyle w:val="ListBullet"/>
        <w:widowControl/>
        <w:spacing w:after="50" w:line="259" w:lineRule="auto"/>
        <w:ind w:left="369" w:hanging="170"/>
      </w:pPr>
      <w:r>
        <w:rPr>
          <w:rFonts w:ascii="Inter" w:hAnsi="Inter" w:eastAsia="Inter"/>
          <w:color w:val="182026"/>
          <w:sz w:val="18"/>
        </w:rPr>
        <w:t>direkte Nutzenströme,</w:t>
      </w:r>
    </w:p>
    <w:p>
      <w:pPr>
        <w:pStyle w:val="ListBullet"/>
        <w:widowControl/>
        <w:spacing w:after="50" w:line="259" w:lineRule="auto"/>
        <w:ind w:left="369" w:hanging="170"/>
      </w:pPr>
      <w:r>
        <w:rPr>
          <w:rFonts w:ascii="Inter" w:hAnsi="Inter" w:eastAsia="Inter"/>
          <w:color w:val="182026"/>
          <w:sz w:val="18"/>
        </w:rPr>
        <w:t>separat belegte transformative Nutzenströme,</w:t>
      </w:r>
    </w:p>
    <w:p>
      <w:pPr>
        <w:pStyle w:val="ListBullet"/>
        <w:widowControl/>
        <w:spacing w:after="50" w:line="259" w:lineRule="auto"/>
        <w:ind w:left="369" w:hanging="170"/>
      </w:pPr>
      <w:r>
        <w:rPr>
          <w:rFonts w:ascii="Inter" w:hAnsi="Inter" w:eastAsia="Inter"/>
          <w:color w:val="182026"/>
          <w:sz w:val="18"/>
        </w:rPr>
        <w:t>Schäden und negative Wirkungen,</w:t>
      </w:r>
    </w:p>
    <w:p>
      <w:pPr>
        <w:pStyle w:val="ListBullet"/>
        <w:widowControl/>
        <w:spacing w:after="50" w:line="259" w:lineRule="auto"/>
        <w:ind w:left="369" w:hanging="170"/>
      </w:pPr>
      <w:r>
        <w:rPr>
          <w:rFonts w:ascii="Inter" w:hAnsi="Inter" w:eastAsia="Inter"/>
          <w:color w:val="182026"/>
          <w:sz w:val="18"/>
        </w:rPr>
        <w:t>zusätzliche Betriebs- und Implementierungskosten,</w:t>
      </w:r>
    </w:p>
    <w:p>
      <w:pPr>
        <w:pStyle w:val="ListBullet"/>
        <w:widowControl/>
        <w:spacing w:after="50" w:line="259" w:lineRule="auto"/>
        <w:ind w:left="369" w:hanging="170"/>
      </w:pPr>
      <w:r>
        <w:rPr>
          <w:rFonts w:ascii="Inter" w:hAnsi="Inter" w:eastAsia="Inter"/>
          <w:color w:val="182026"/>
          <w:sz w:val="18"/>
        </w:rPr>
        <w:t>Zurechnung, Counterfactual und Displacement,</w:t>
      </w:r>
    </w:p>
    <w:p>
      <w:pPr>
        <w:pStyle w:val="ListBullet"/>
        <w:widowControl/>
        <w:spacing w:after="50" w:line="259" w:lineRule="auto"/>
        <w:ind w:left="369" w:hanging="170"/>
      </w:pPr>
      <w:r>
        <w:rPr>
          <w:rFonts w:ascii="Inter" w:hAnsi="Inter" w:eastAsia="Inter"/>
          <w:color w:val="182026"/>
          <w:sz w:val="18"/>
        </w:rPr>
        <w:t>Diskontierung und Zeitwirkung,</w:t>
      </w:r>
    </w:p>
    <w:p>
      <w:pPr>
        <w:pStyle w:val="ListBullet"/>
        <w:widowControl/>
        <w:spacing w:after="50" w:line="259" w:lineRule="auto"/>
        <w:ind w:left="369" w:hanging="170"/>
      </w:pPr>
      <w:r>
        <w:rPr>
          <w:rFonts w:ascii="Inter" w:hAnsi="Inter" w:eastAsia="Inter"/>
          <w:color w:val="182026"/>
          <w:sz w:val="18"/>
        </w:rPr>
        <w:t>Datenqualität und Schutz-Gate.</w:t>
      </w:r>
    </w:p>
    <w:p>
      <w:pPr>
        <w:pStyle w:val="BodyText"/>
        <w:widowControl/>
        <w:spacing w:after="110" w:line="278" w:lineRule="auto"/>
        <w:ind w:firstLine="255"/>
      </w:pPr>
      <w:r>
        <w:rPr>
          <w:rFonts w:ascii="Inter" w:hAnsi="Inter" w:eastAsia="Inter"/>
          <w:color w:val="182026"/>
          <w:sz w:val="19"/>
        </w:rPr>
        <w:t>Für WVP gilt: T-SROI ist keine Methode, den Beratungspreis hochzurechnen. Er kann zeigen, dass eine Intervention über den Kunden hinaus einen monetarisierbaren Transformationsnutzen erzeugt. Daraus kann eine zusätzliche Finanzierung durch Dritte, eine Förderlogik oder ein gesonderter Bonus entstehen - aber nur, wenn Nutzenempfänger, Finanzierungsmandat und Evidenz geklärt sind.</w:t>
      </w:r>
    </w:p>
    <w:p>
      <w:pPr>
        <w:pStyle w:val="Heading2"/>
        <w:widowControl/>
      </w:pPr>
      <w:r>
        <w:t>6.10 Datenqualität und Assurance</w:t>
      </w:r>
    </w:p>
    <w:p>
      <w:pPr>
        <w:pStyle w:val="BodyText"/>
        <w:widowControl/>
        <w:spacing w:after="110" w:line="278" w:lineRule="auto"/>
        <w:ind w:firstLine="255"/>
      </w:pPr>
      <w:r>
        <w:rPr>
          <w:rFonts w:ascii="Inter" w:hAnsi="Inter" w:eastAsia="Inter"/>
          <w:color w:val="182026"/>
          <w:sz w:val="19"/>
        </w:rPr>
        <w:t>Die Wirkungsrechnung verwendet analog zur Evidenzleiter transparente Datenqualitätsklassen. Mögliche Stufen sind:</w:t>
      </w:r>
    </w:p>
    <w:p>
      <w:pPr>
        <w:pStyle w:val="ListBullet"/>
        <w:widowControl/>
        <w:spacing w:after="50" w:line="259" w:lineRule="auto"/>
        <w:ind w:left="369" w:hanging="170"/>
      </w:pPr>
      <w:r>
        <w:rPr>
          <w:rFonts w:ascii="Inter" w:hAnsi="Inter" w:eastAsia="Inter"/>
          <w:color w:val="182026"/>
          <w:sz w:val="18"/>
        </w:rPr>
        <w:t>geprüft,</w:t>
      </w:r>
    </w:p>
    <w:p>
      <w:pPr>
        <w:pStyle w:val="ListBullet"/>
        <w:widowControl/>
        <w:spacing w:after="50" w:line="259" w:lineRule="auto"/>
        <w:ind w:left="369" w:hanging="170"/>
      </w:pPr>
      <w:r>
        <w:rPr>
          <w:rFonts w:ascii="Inter" w:hAnsi="Inter" w:eastAsia="Inter"/>
          <w:color w:val="182026"/>
          <w:sz w:val="18"/>
        </w:rPr>
        <w:t>plausibilisiert,</w:t>
      </w:r>
    </w:p>
    <w:p>
      <w:pPr>
        <w:pStyle w:val="ListBullet"/>
        <w:widowControl/>
        <w:spacing w:after="50" w:line="259" w:lineRule="auto"/>
        <w:ind w:left="369" w:hanging="170"/>
      </w:pPr>
      <w:r>
        <w:rPr>
          <w:rFonts w:ascii="Inter" w:hAnsi="Inter" w:eastAsia="Inter"/>
          <w:color w:val="182026"/>
          <w:sz w:val="18"/>
        </w:rPr>
        <w:t>gemessen, aber ungeprüft,</w:t>
      </w:r>
    </w:p>
    <w:p>
      <w:pPr>
        <w:pStyle w:val="ListBullet"/>
        <w:widowControl/>
        <w:spacing w:after="50" w:line="259" w:lineRule="auto"/>
        <w:ind w:left="369" w:hanging="170"/>
      </w:pPr>
      <w:r>
        <w:rPr>
          <w:rFonts w:ascii="Inter" w:hAnsi="Inter" w:eastAsia="Inter"/>
          <w:color w:val="182026"/>
          <w:sz w:val="18"/>
        </w:rPr>
        <w:t>geschätzt,</w:t>
      </w:r>
    </w:p>
    <w:p>
      <w:pPr>
        <w:pStyle w:val="ListBullet"/>
        <w:widowControl/>
        <w:spacing w:after="50" w:line="259" w:lineRule="auto"/>
        <w:ind w:left="369" w:hanging="170"/>
      </w:pPr>
      <w:r>
        <w:rPr>
          <w:rFonts w:ascii="Inter" w:hAnsi="Inter" w:eastAsia="Inter"/>
          <w:color w:val="182026"/>
          <w:sz w:val="18"/>
        </w:rPr>
        <w:t>Branchen- oder Standardwert,</w:t>
      </w:r>
    </w:p>
    <w:p>
      <w:pPr>
        <w:pStyle w:val="ListBullet"/>
        <w:widowControl/>
        <w:spacing w:after="50" w:line="259" w:lineRule="auto"/>
        <w:ind w:left="369" w:hanging="170"/>
      </w:pPr>
      <w:r>
        <w:rPr>
          <w:rFonts w:ascii="Inter" w:hAnsi="Inter" w:eastAsia="Inter"/>
          <w:color w:val="182026"/>
          <w:sz w:val="18"/>
        </w:rPr>
        <w:t>Datenlücke.</w:t>
      </w:r>
    </w:p>
    <w:p>
      <w:pPr>
        <w:pStyle w:val="BodyText"/>
        <w:widowControl/>
        <w:spacing w:after="110" w:line="278" w:lineRule="auto"/>
        <w:ind w:firstLine="255"/>
      </w:pPr>
      <w:r>
        <w:rPr>
          <w:rFonts w:ascii="Inter" w:hAnsi="Inter" w:eastAsia="Inter"/>
          <w:color w:val="182026"/>
          <w:sz w:val="19"/>
        </w:rPr>
        <w:t>Datenlücken dürfen nicht automatisch Vorteile erzeugen. Gleichzeitig müssen Anforderungen verhältnismäßig bleiben. Kleine Dienstleister brauchen vereinfachte Scorecards, Standardwerte, gemeinsame Datenräume und stufenweise Assurance. Betrug, Lücke und Überforderung sind unterschiedlich zu behandeln.</w:t>
      </w:r>
    </w:p>
    <w:p>
      <w:pPr>
        <w:pStyle w:val="BodyText"/>
        <w:widowControl/>
        <w:spacing w:after="110" w:line="278" w:lineRule="auto"/>
        <w:ind w:firstLine="255"/>
      </w:pPr>
      <w:r>
        <w:rPr>
          <w:rFonts w:ascii="Inter" w:hAnsi="Inter" w:eastAsia="Inter"/>
          <w:color w:val="182026"/>
          <w:sz w:val="19"/>
        </w:rPr>
        <w:t>Assurance kann intern, durch den Kunden, durch eine fachlich unabhängige Stelle oder extern erfolgen. Je höher die variable Vergütung oder der öffentliche Wirkungsclaim, desto unabhängiger sollte die Prüfung sein.</w:t>
      </w:r>
    </w:p>
    <w:p>
      <w:pPr>
        <w:pStyle w:val="Heading2"/>
        <w:widowControl/>
      </w:pPr>
      <w:r>
        <w:t>6.11 Wirkungsergebnis und Preisfolge</w:t>
      </w:r>
    </w:p>
    <w:p>
      <w:pPr>
        <w:pStyle w:val="BodyText"/>
        <w:widowControl/>
        <w:spacing w:after="110" w:line="278" w:lineRule="auto"/>
        <w:ind w:firstLine="255"/>
      </w:pPr>
      <w:r>
        <w:rPr>
          <w:rFonts w:ascii="Inter" w:hAnsi="Inter" w:eastAsia="Inter"/>
          <w:color w:val="182026"/>
          <w:sz w:val="19"/>
        </w:rPr>
        <w:t>Die Wirkungsrechnung führt nicht direkt zu „plus 10 Prozent Preis“. Sie führt zu einer der folgenden Folgen:</w:t>
      </w:r>
    </w:p>
    <w:p>
      <w:pPr>
        <w:pStyle w:val="ListBullet"/>
        <w:widowControl/>
        <w:spacing w:after="50" w:line="259" w:lineRule="auto"/>
        <w:ind w:left="369" w:hanging="170"/>
      </w:pPr>
      <w:r>
        <w:rPr>
          <w:rFonts w:ascii="Inter" w:hAnsi="Inter" w:eastAsia="Inter"/>
          <w:color w:val="182026"/>
          <w:sz w:val="18"/>
        </w:rPr>
        <w:t>Freigabe oder Blockierung eines Wirkungsclaims,</w:t>
      </w:r>
    </w:p>
    <w:p>
      <w:pPr>
        <w:pStyle w:val="ListBullet"/>
        <w:widowControl/>
        <w:spacing w:after="50" w:line="259" w:lineRule="auto"/>
        <w:ind w:left="369" w:hanging="170"/>
      </w:pPr>
      <w:r>
        <w:rPr>
          <w:rFonts w:ascii="Inter" w:hAnsi="Inter" w:eastAsia="Inter"/>
          <w:color w:val="182026"/>
          <w:sz w:val="18"/>
        </w:rPr>
        <w:t>Änderung von Scope, Methode oder Liefermodell,</w:t>
      </w:r>
    </w:p>
    <w:p>
      <w:pPr>
        <w:pStyle w:val="ListBullet"/>
        <w:widowControl/>
        <w:spacing w:after="50" w:line="259" w:lineRule="auto"/>
        <w:ind w:left="369" w:hanging="170"/>
      </w:pPr>
      <w:r>
        <w:rPr>
          <w:rFonts w:ascii="Inter" w:hAnsi="Inter" w:eastAsia="Inter"/>
          <w:color w:val="182026"/>
          <w:sz w:val="18"/>
        </w:rPr>
        <w:t>Definition einer Wirkungskomponente,</w:t>
      </w:r>
    </w:p>
    <w:p>
      <w:pPr>
        <w:pStyle w:val="ListBullet"/>
        <w:widowControl/>
        <w:spacing w:after="50" w:line="259" w:lineRule="auto"/>
        <w:ind w:left="369" w:hanging="170"/>
      </w:pPr>
      <w:r>
        <w:rPr>
          <w:rFonts w:ascii="Inter" w:hAnsi="Inter" w:eastAsia="Inter"/>
          <w:color w:val="182026"/>
          <w:sz w:val="18"/>
        </w:rPr>
        <w:t>Verringerung des Kundenpreises durch Drittfinanzierung,</w:t>
      </w:r>
    </w:p>
    <w:p>
      <w:pPr>
        <w:pStyle w:val="ListBullet"/>
        <w:widowControl/>
        <w:spacing w:after="50" w:line="259" w:lineRule="auto"/>
        <w:ind w:left="369" w:hanging="170"/>
      </w:pPr>
      <w:r>
        <w:rPr>
          <w:rFonts w:ascii="Inter" w:hAnsi="Inter" w:eastAsia="Inter"/>
          <w:color w:val="182026"/>
          <w:sz w:val="18"/>
        </w:rPr>
        <w:t>Präferenz in Beschaffung oder Portfolio,</w:t>
      </w:r>
    </w:p>
    <w:p>
      <w:pPr>
        <w:pStyle w:val="ListBullet"/>
        <w:widowControl/>
        <w:spacing w:after="50" w:line="259" w:lineRule="auto"/>
        <w:ind w:left="369" w:hanging="170"/>
      </w:pPr>
      <w:r>
        <w:rPr>
          <w:rFonts w:ascii="Inter" w:hAnsi="Inter" w:eastAsia="Inter"/>
          <w:color w:val="182026"/>
          <w:sz w:val="18"/>
        </w:rPr>
        <w:t>Bonus oder Malus innerhalb eines vereinbarten Rahmens,</w:t>
      </w:r>
    </w:p>
    <w:p>
      <w:pPr>
        <w:pStyle w:val="ListBullet"/>
        <w:widowControl/>
        <w:spacing w:after="50" w:line="259" w:lineRule="auto"/>
        <w:ind w:left="369" w:hanging="170"/>
      </w:pPr>
      <w:r>
        <w:rPr>
          <w:rFonts w:ascii="Inter" w:hAnsi="Inter" w:eastAsia="Inter"/>
          <w:color w:val="182026"/>
          <w:sz w:val="18"/>
        </w:rPr>
        <w:t>Verpflichtung zu Remediation und Nachmessung,</w:t>
      </w:r>
    </w:p>
    <w:p>
      <w:pPr>
        <w:pStyle w:val="ListBullet"/>
        <w:widowControl/>
        <w:spacing w:after="50" w:line="259" w:lineRule="auto"/>
        <w:ind w:left="369" w:hanging="170"/>
      </w:pPr>
      <w:r>
        <w:rPr>
          <w:rFonts w:ascii="Inter" w:hAnsi="Inter" w:eastAsia="Inter"/>
          <w:color w:val="182026"/>
          <w:sz w:val="18"/>
        </w:rPr>
        <w:t>Lern- und Innovationsbudget.</w:t>
      </w:r>
    </w:p>
    <w:p>
      <w:pPr>
        <w:pStyle w:val="BodyText"/>
        <w:widowControl/>
        <w:spacing w:after="110" w:line="278" w:lineRule="auto"/>
        <w:ind w:firstLine="255"/>
      </w:pPr>
      <w:r>
        <w:rPr>
          <w:rFonts w:ascii="Inter" w:hAnsi="Inter" w:eastAsia="Inter"/>
          <w:color w:val="182026"/>
          <w:sz w:val="19"/>
        </w:rPr>
        <w:t>Damit bleibt Wirkung Steuerungsinformation und wird nicht zum moralischen Etikett.</w:t>
      </w:r>
    </w:p>
    <w:p>
      <w:pPr>
        <w:pStyle w:val="Heading1"/>
        <w:widowControl/>
        <w:pBdr>
          <w:bottom w:val="single" w:sz="10" w:space="6" w:color="C99A43"/>
        </w:pBdr>
      </w:pPr>
      <w:r>
        <w:t>7 Vom Wert zum Preis: Preiskorridor und faire Teilung</w:t>
      </w:r>
    </w:p>
    <w:p>
      <w:pPr>
        <w:pStyle w:val="Heading2"/>
        <w:widowControl/>
      </w:pPr>
      <w:r>
        <w:t>7.1 Die Preisuntergrenze</w:t>
      </w:r>
    </w:p>
    <w:p>
      <w:pPr>
        <w:pStyle w:val="BodyText"/>
        <w:widowControl/>
        <w:spacing w:after="110" w:line="278" w:lineRule="auto"/>
        <w:ind w:firstLine="255"/>
      </w:pPr>
      <w:r>
        <w:rPr>
          <w:rFonts w:ascii="Inter" w:hAnsi="Inter" w:eastAsia="Inter"/>
          <w:color w:val="182026"/>
          <w:sz w:val="19"/>
        </w:rPr>
        <w:t>Die Untergrenze sichert die Lieferfähigkeit. Eine vereinfachte Formel lautet:</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P_min = Vollkosten + Risikoreserve + Mindestmarge</w:t>
            </w:r>
          </w:p>
        </w:tc>
      </w:tr>
    </w:tbl>
    <w:p>
      <w:pPr>
        <w:widowControl/>
        <w:spacing w:after="0"/>
      </w:pPr>
    </w:p>
    <w:p>
      <w:pPr>
        <w:pStyle w:val="BodyText"/>
        <w:widowControl/>
        <w:spacing w:after="110" w:line="278" w:lineRule="auto"/>
        <w:ind w:firstLine="255"/>
      </w:pPr>
      <w:r>
        <w:rPr>
          <w:rFonts w:ascii="Inter" w:hAnsi="Inter" w:eastAsia="Inter"/>
          <w:color w:val="182026"/>
          <w:sz w:val="19"/>
        </w:rPr>
        <w:t>Die Vollkosten müssen realistisch sein. Insbesondere bei wissensintensiven Dienstleistungen gehören nicht nur fakturierbare Stunden, sondern auch Forschung, Methodenpflege, Daten, Qualitätssicherung, Akquise, Ausfallzeiten und Verantwortung zum Geschäftsmodell. Die Risikoreserve wird nicht pauschal maximiert, sondern an konkret übernommene Risiken geknüpft.</w:t>
      </w:r>
    </w:p>
    <w:p>
      <w:pPr>
        <w:pStyle w:val="Heading2"/>
        <w:widowControl/>
      </w:pPr>
      <w:r>
        <w:t>7.2 Die Wertgrenze</w:t>
      </w:r>
    </w:p>
    <w:p>
      <w:pPr>
        <w:pStyle w:val="BodyText"/>
        <w:widowControl/>
        <w:spacing w:after="110" w:line="278" w:lineRule="auto"/>
        <w:ind w:firstLine="255"/>
      </w:pPr>
      <w:r>
        <w:rPr>
          <w:rFonts w:ascii="Inter" w:hAnsi="Inter" w:eastAsia="Inter"/>
          <w:color w:val="182026"/>
          <w:sz w:val="19"/>
        </w:rPr>
        <w:t>Der zurechenbare Nettokundenwert ist nicht automatisch der maximal zulässige Preis. Der Kunde benötigt einen eigenen Vorteil, sonst gibt es keinen wirtschaftlichen Grund zum Kauf. Daher wird ein Mindestkundensurplus berücksichtigt:</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P_wert = max(0, V_attr - S_kunde)</w:t>
            </w:r>
          </w:p>
        </w:tc>
      </w:tr>
    </w:tbl>
    <w:p>
      <w:pPr>
        <w:widowControl/>
        <w:spacing w:after="0"/>
      </w:pPr>
    </w:p>
    <w:p>
      <w:pPr>
        <w:pStyle w:val="BodyText"/>
        <w:widowControl/>
        <w:spacing w:after="110" w:line="278" w:lineRule="auto"/>
        <w:ind w:firstLine="255"/>
      </w:pPr>
      <w:r>
        <w:rPr>
          <w:rFonts w:ascii="Inter" w:hAnsi="Inter" w:eastAsia="Inter"/>
          <w:color w:val="182026"/>
          <w:sz w:val="19"/>
        </w:rPr>
        <w:t xml:space="preserve">Dabei ist </w:t>
      </w:r>
      <w:r>
        <w:rPr>
          <w:rFonts w:ascii="Inter" w:hAnsi="Inter" w:eastAsia="Inter"/>
          <w:b/>
          <w:color w:val="182026"/>
          <w:sz w:val="19"/>
        </w:rPr>
        <w:t>S_kunde</w:t>
      </w:r>
      <w:r>
        <w:rPr>
          <w:rFonts w:ascii="Inter" w:hAnsi="Inter" w:eastAsia="Inter"/>
          <w:color w:val="182026"/>
          <w:sz w:val="19"/>
        </w:rPr>
        <w:t xml:space="preserve"> der notwendige Kundenvorteil als absoluter Betrag oder Anteil. Zusätzlich können Budget-, Liquiditäts-, Beschaffungs- und Erschwinglichkeitsgrenzen gelten. Die Wertgrenze ist daher der niedrigste relevante Wert aus wirtschaftlicher Zahlungsgrenze, Referenzalternative und verantwortbarer Abschöpfung.</w:t>
      </w:r>
    </w:p>
    <w:p>
      <w:pPr>
        <w:pStyle w:val="Heading2"/>
        <w:widowControl/>
      </w:pPr>
      <w:r>
        <w:t>7.3 Der Zielpreis</w:t>
      </w:r>
    </w:p>
    <w:p>
      <w:pPr>
        <w:pStyle w:val="BodyText"/>
        <w:widowControl/>
        <w:spacing w:after="110" w:line="278" w:lineRule="auto"/>
        <w:ind w:firstLine="255"/>
      </w:pPr>
      <w:r>
        <w:rPr>
          <w:rFonts w:ascii="Inter" w:hAnsi="Inter" w:eastAsia="Inter"/>
          <w:color w:val="182026"/>
          <w:sz w:val="19"/>
        </w:rPr>
        <w:t>Liegt die Wertgrenze über der Untergrenze, entsteht ein verhandelbarer Korridor. Eine didaktische Formel lautet:</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P_ziel = P_min + s × (P_wert - P_min),  mit 0 ≤ s ≤ 1</w:t>
            </w:r>
          </w:p>
        </w:tc>
      </w:tr>
    </w:tbl>
    <w:p>
      <w:pPr>
        <w:widowControl/>
        <w:spacing w:after="0"/>
      </w:pPr>
    </w:p>
    <w:p>
      <w:pPr>
        <w:pStyle w:val="BodyText"/>
        <w:widowControl/>
        <w:spacing w:after="110" w:line="278" w:lineRule="auto"/>
        <w:ind w:firstLine="255"/>
      </w:pPr>
      <w:r>
        <w:rPr>
          <w:rFonts w:ascii="Inter" w:hAnsi="Inter" w:eastAsia="Inter"/>
          <w:color w:val="182026"/>
          <w:sz w:val="19"/>
        </w:rPr>
        <w:t xml:space="preserve">Der Faktor </w:t>
      </w:r>
      <w:r>
        <w:rPr>
          <w:rFonts w:ascii="Inter" w:hAnsi="Inter" w:eastAsia="Inter"/>
          <w:b/>
          <w:color w:val="182026"/>
          <w:sz w:val="19"/>
        </w:rPr>
        <w:t>s</w:t>
      </w:r>
      <w:r>
        <w:rPr>
          <w:rFonts w:ascii="Inter" w:hAnsi="Inter" w:eastAsia="Inter"/>
          <w:color w:val="182026"/>
          <w:sz w:val="19"/>
        </w:rPr>
        <w:t xml:space="preserve"> ist keine Standardquote. Er bildet die faire Wertteilung ab und wird beeinflusst durch:</w:t>
      </w:r>
    </w:p>
    <w:p>
      <w:pPr>
        <w:pStyle w:val="ListBullet"/>
        <w:widowControl/>
        <w:spacing w:after="50" w:line="259" w:lineRule="auto"/>
        <w:ind w:left="369" w:hanging="170"/>
      </w:pPr>
      <w:r>
        <w:rPr>
          <w:rFonts w:ascii="Inter" w:hAnsi="Inter" w:eastAsia="Inter"/>
          <w:color w:val="182026"/>
          <w:sz w:val="18"/>
        </w:rPr>
        <w:t>Einzigartigkeit und Differenzierungsgrad,</w:t>
      </w:r>
    </w:p>
    <w:p>
      <w:pPr>
        <w:pStyle w:val="ListBullet"/>
        <w:widowControl/>
        <w:spacing w:after="50" w:line="259" w:lineRule="auto"/>
        <w:ind w:left="369" w:hanging="170"/>
      </w:pPr>
      <w:r>
        <w:rPr>
          <w:rFonts w:ascii="Inter" w:hAnsi="Inter" w:eastAsia="Inter"/>
          <w:color w:val="182026"/>
          <w:sz w:val="18"/>
        </w:rPr>
        <w:t>Beitrag des Anbieters und Co-Creation des Kunden,</w:t>
      </w:r>
    </w:p>
    <w:p>
      <w:pPr>
        <w:pStyle w:val="ListBullet"/>
        <w:widowControl/>
        <w:spacing w:after="50" w:line="259" w:lineRule="auto"/>
        <w:ind w:left="369" w:hanging="170"/>
      </w:pPr>
      <w:r>
        <w:rPr>
          <w:rFonts w:ascii="Inter" w:hAnsi="Inter" w:eastAsia="Inter"/>
          <w:color w:val="182026"/>
          <w:sz w:val="18"/>
        </w:rPr>
        <w:t>Qualität der Evidenz,</w:t>
      </w:r>
    </w:p>
    <w:p>
      <w:pPr>
        <w:pStyle w:val="ListBullet"/>
        <w:widowControl/>
        <w:spacing w:after="50" w:line="259" w:lineRule="auto"/>
        <w:ind w:left="369" w:hanging="170"/>
      </w:pPr>
      <w:r>
        <w:rPr>
          <w:rFonts w:ascii="Inter" w:hAnsi="Inter" w:eastAsia="Inter"/>
          <w:color w:val="182026"/>
          <w:sz w:val="18"/>
        </w:rPr>
        <w:t>übernommene Liefer-, Daten- und Ergebnisrisiken,</w:t>
      </w:r>
    </w:p>
    <w:p>
      <w:pPr>
        <w:pStyle w:val="ListBullet"/>
        <w:widowControl/>
        <w:spacing w:after="50" w:line="259" w:lineRule="auto"/>
        <w:ind w:left="369" w:hanging="170"/>
      </w:pPr>
      <w:r>
        <w:rPr>
          <w:rFonts w:ascii="Inter" w:hAnsi="Inter" w:eastAsia="Inter"/>
          <w:color w:val="182026"/>
          <w:sz w:val="18"/>
        </w:rPr>
        <w:t>Dauer und Skalierbarkeit des Nutzens,</w:t>
      </w:r>
    </w:p>
    <w:p>
      <w:pPr>
        <w:pStyle w:val="ListBullet"/>
        <w:widowControl/>
        <w:spacing w:after="50" w:line="259" w:lineRule="auto"/>
        <w:ind w:left="369" w:hanging="170"/>
      </w:pPr>
      <w:r>
        <w:rPr>
          <w:rFonts w:ascii="Inter" w:hAnsi="Inter" w:eastAsia="Inter"/>
          <w:color w:val="182026"/>
          <w:sz w:val="18"/>
        </w:rPr>
        <w:t>Investitionen des Anbieters in wiederverwendbares Wissen,</w:t>
      </w:r>
    </w:p>
    <w:p>
      <w:pPr>
        <w:pStyle w:val="ListBullet"/>
      </w:pPr>
      <w:r>
        <w:rPr>
          <w:b w:val="0"/>
          <w:i w:val="0"/>
        </w:rPr>
        <w:t>durch Erfahrung, Standardisierung, Automatisierung oder KI erzielter Produktivitätsgewinn,</w:t>
      </w:r>
    </w:p>
    <w:p>
      <w:pPr>
        <w:pStyle w:val="ListBullet"/>
        <w:widowControl/>
        <w:spacing w:after="50" w:line="259" w:lineRule="auto"/>
        <w:ind w:left="369" w:hanging="170"/>
      </w:pPr>
      <w:r>
        <w:rPr>
          <w:rFonts w:ascii="Inter" w:hAnsi="Inter" w:eastAsia="Inter"/>
          <w:color w:val="182026"/>
          <w:sz w:val="18"/>
        </w:rPr>
        <w:t>Verhandlungsmacht und Abhängigkeit,</w:t>
      </w:r>
    </w:p>
    <w:p>
      <w:pPr>
        <w:pStyle w:val="ListBullet"/>
        <w:widowControl/>
        <w:spacing w:after="50" w:line="259" w:lineRule="auto"/>
        <w:ind w:left="369" w:hanging="170"/>
      </w:pPr>
      <w:r>
        <w:rPr>
          <w:rFonts w:ascii="Inter" w:hAnsi="Inter" w:eastAsia="Inter"/>
          <w:color w:val="182026"/>
          <w:sz w:val="18"/>
        </w:rPr>
        <w:t>Erschwinglichkeit und strategische Partnerschaft,</w:t>
      </w:r>
    </w:p>
    <w:p>
      <w:pPr>
        <w:pStyle w:val="ListBullet"/>
        <w:widowControl/>
        <w:spacing w:after="50" w:line="259" w:lineRule="auto"/>
        <w:ind w:left="369" w:hanging="170"/>
      </w:pPr>
      <w:r>
        <w:rPr>
          <w:rFonts w:ascii="Inter" w:hAnsi="Inter" w:eastAsia="Inter"/>
          <w:color w:val="182026"/>
          <w:sz w:val="18"/>
        </w:rPr>
        <w:t>Möglichkeit der Dritt- oder Gemeinschaftsfinanzierung.</w:t>
      </w:r>
    </w:p>
    <w:p>
      <w:pPr>
        <w:widowControl/>
        <w:spacing w:before="100" w:after="40"/>
        <w:jc w:val="center"/>
      </w:pPr>
      <w:r>
        <w:drawing>
          <wp:inline xmlns:a="http://schemas.openxmlformats.org/drawingml/2006/main" xmlns:pic="http://schemas.openxmlformats.org/drawingml/2006/picture">
            <wp:extent cx="6080760" cy="3086077"/>
            <wp:docPr id="5" name="Picture 5" descr="Abbildung 4: WVP begründet einen Preiskorridor zwischen Tragfähigkeit und zurechenbarem Wert." title="Abbildung 4: WVP begründet einen Preiskorridor zwischen Tragfähigkeit und zurechenbarem Wert."/>
            <wp:cNvGraphicFramePr>
              <a:graphicFrameLocks noChangeAspect="1"/>
            </wp:cNvGraphicFramePr>
            <a:graphic>
              <a:graphicData uri="http://schemas.openxmlformats.org/drawingml/2006/picture">
                <pic:pic>
                  <pic:nvPicPr>
                    <pic:cNvPr id="0" name="fig_price_corridor.png"/>
                    <pic:cNvPicPr/>
                  </pic:nvPicPr>
                  <pic:blipFill>
                    <a:blip r:embed="rId15"/>
                    <a:stretch>
                      <a:fillRect/>
                    </a:stretch>
                  </pic:blipFill>
                  <pic:spPr>
                    <a:xfrm>
                      <a:off x="0" y="0"/>
                      <a:ext cx="6080760" cy="3086077"/>
                    </a:xfrm>
                    <a:prstGeom prst="rect"/>
                  </pic:spPr>
                </pic:pic>
              </a:graphicData>
            </a:graphic>
          </wp:inline>
        </w:drawing>
      </w:r>
    </w:p>
    <w:p>
      <w:pPr>
        <w:widowControl/>
        <w:spacing w:after="160"/>
        <w:jc w:val="center"/>
      </w:pPr>
      <w:r>
        <w:rPr>
          <w:rFonts w:ascii="Inter" w:hAnsi="Inter" w:eastAsia="Inter"/>
          <w:i/>
          <w:color w:val="5B6670"/>
          <w:sz w:val="16"/>
        </w:rPr>
        <w:t>Abbildung 4: WVP begründet einen Preiskorridor zwischen Tragfähigkeit und zurechenbarem Wert.</w:t>
      </w:r>
    </w:p>
    <w:p>
      <w:pPr>
        <w:pStyle w:val="BodyText"/>
      </w:pPr>
      <w:r>
        <w:rPr>
          <w:b w:val="0"/>
          <w:i w:val="0"/>
        </w:rPr>
        <w:t>Weniger Bearbeitungszeit kann die Untergrenze verändern, nicht aber automatisch den Kundenwert. Der Zielpreis darf deshalb einen Teil des Produktivitätsgewinns beim Anbieter belassen und zugleich einen erkennbaren Vorteil an den Kunden weitergeben.</w:t>
      </w:r>
    </w:p>
    <w:p>
      <w:pPr>
        <w:pStyle w:val="Heading2"/>
        <w:widowControl/>
      </w:pPr>
      <w:r>
        <w:t>7.4 Beispiel: derselbe Wert, weniger Zeit</w:t>
      </w:r>
    </w:p>
    <w:p>
      <w:pPr>
        <w:pStyle w:val="BodyText"/>
        <w:widowControl/>
        <w:spacing w:after="110" w:line="276" w:lineRule="auto"/>
        <w:ind w:firstLine="255"/>
      </w:pPr>
      <w:r>
        <w:rPr>
          <w:rFonts w:ascii="Inter" w:hAnsi="Inter" w:eastAsia="Inter"/>
          <w:color w:val="182026"/>
          <w:sz w:val="19"/>
        </w:rPr>
        <w:t>Eine Leistung erzeugt beim Kunden einen konservativ zurechenbaren Wert von 100.000 Euro. Der Kunde soll mindestens 60.000 Euro Nettovorteil behalten. Die Wertgrenze liegt damit bei 40.000 Euro.</w:t>
      </w:r>
    </w:p>
    <w:p>
      <w:pPr>
        <w:pStyle w:val="BodyText"/>
        <w:widowControl/>
        <w:spacing w:after="110" w:line="276" w:lineRule="auto"/>
        <w:ind w:firstLine="255"/>
      </w:pPr>
      <w:r>
        <w:rPr>
          <w:rFonts w:ascii="Inter" w:hAnsi="Inter" w:eastAsia="Inter"/>
          <w:color w:val="182026"/>
          <w:sz w:val="19"/>
        </w:rPr>
        <w:t>Variante A - klassische Arbeitsweise:</w:t>
      </w:r>
    </w:p>
    <w:p>
      <w:pPr>
        <w:pStyle w:val="ListBullet"/>
        <w:widowControl/>
        <w:spacing w:after="50" w:line="259" w:lineRule="auto"/>
        <w:ind w:left="369" w:hanging="170"/>
      </w:pPr>
      <w:r>
        <w:rPr>
          <w:rFonts w:ascii="Inter" w:hAnsi="Inter" w:eastAsia="Inter"/>
          <w:color w:val="182026"/>
          <w:sz w:val="18"/>
        </w:rPr>
        <w:t>80 Stunden interner Aufwand,</w:t>
      </w:r>
    </w:p>
    <w:p>
      <w:pPr>
        <w:pStyle w:val="ListBullet"/>
        <w:widowControl/>
        <w:spacing w:after="50" w:line="259" w:lineRule="auto"/>
        <w:ind w:left="369" w:hanging="170"/>
      </w:pPr>
      <w:r>
        <w:rPr>
          <w:rFonts w:ascii="Inter" w:hAnsi="Inter" w:eastAsia="Inter"/>
          <w:color w:val="182026"/>
          <w:sz w:val="18"/>
        </w:rPr>
        <w:t>tragfähige Untergrenze 18.000 Euro,</w:t>
      </w:r>
    </w:p>
    <w:p>
      <w:pPr>
        <w:pStyle w:val="ListBullet"/>
        <w:widowControl/>
        <w:spacing w:after="50" w:line="259" w:lineRule="auto"/>
        <w:ind w:left="369" w:hanging="170"/>
      </w:pPr>
      <w:r>
        <w:rPr>
          <w:rFonts w:ascii="Inter" w:hAnsi="Inter" w:eastAsia="Inter"/>
          <w:color w:val="182026"/>
          <w:sz w:val="18"/>
        </w:rPr>
        <w:t>Zielpreis 30.000 Euro.</w:t>
      </w:r>
    </w:p>
    <w:p>
      <w:pPr>
        <w:pStyle w:val="BodyText"/>
        <w:widowControl/>
        <w:spacing w:after="110" w:line="276" w:lineRule="auto"/>
        <w:ind w:firstLine="255"/>
      </w:pPr>
      <w:r>
        <w:rPr>
          <w:rFonts w:ascii="Inter" w:hAnsi="Inter" w:eastAsia="Inter"/>
          <w:color w:val="182026"/>
          <w:sz w:val="19"/>
        </w:rPr>
        <w:t>Variante B - Erfahrung und KI:</w:t>
      </w:r>
    </w:p>
    <w:p>
      <w:pPr>
        <w:pStyle w:val="ListBullet"/>
        <w:widowControl/>
        <w:spacing w:after="50" w:line="259" w:lineRule="auto"/>
        <w:ind w:left="369" w:hanging="170"/>
      </w:pPr>
      <w:r>
        <w:rPr>
          <w:rFonts w:ascii="Inter" w:hAnsi="Inter" w:eastAsia="Inter"/>
          <w:color w:val="182026"/>
          <w:sz w:val="18"/>
        </w:rPr>
        <w:t>20 Stunden sichtbarer Projektaufwand,</w:t>
      </w:r>
    </w:p>
    <w:p>
      <w:pPr>
        <w:pStyle w:val="ListBullet"/>
        <w:widowControl/>
        <w:spacing w:after="50" w:line="259" w:lineRule="auto"/>
        <w:ind w:left="369" w:hanging="170"/>
      </w:pPr>
      <w:r>
        <w:rPr>
          <w:rFonts w:ascii="Inter" w:hAnsi="Inter" w:eastAsia="Inter"/>
          <w:color w:val="182026"/>
          <w:sz w:val="18"/>
        </w:rPr>
        <w:t>zusätzliche Methoden-, Daten- und Qualitätskosten,</w:t>
      </w:r>
    </w:p>
    <w:p>
      <w:pPr>
        <w:pStyle w:val="ListBullet"/>
        <w:widowControl/>
        <w:spacing w:after="50" w:line="259" w:lineRule="auto"/>
        <w:ind w:left="369" w:hanging="170"/>
      </w:pPr>
      <w:r>
        <w:rPr>
          <w:rFonts w:ascii="Inter" w:hAnsi="Inter" w:eastAsia="Inter"/>
          <w:color w:val="182026"/>
          <w:sz w:val="18"/>
        </w:rPr>
        <w:t>tragfähige Untergrenze 12.000 Euro,</w:t>
      </w:r>
    </w:p>
    <w:p>
      <w:pPr>
        <w:pStyle w:val="ListBullet"/>
        <w:widowControl/>
        <w:spacing w:after="50" w:line="259" w:lineRule="auto"/>
        <w:ind w:left="369" w:hanging="170"/>
      </w:pPr>
      <w:r>
        <w:rPr>
          <w:rFonts w:ascii="Inter" w:hAnsi="Inter" w:eastAsia="Inter"/>
          <w:color w:val="182026"/>
          <w:sz w:val="18"/>
        </w:rPr>
        <w:t>Kundenwert unverändert oder höher,</w:t>
      </w:r>
    </w:p>
    <w:p>
      <w:pPr>
        <w:pStyle w:val="ListBullet"/>
        <w:widowControl/>
        <w:spacing w:after="50" w:line="259" w:lineRule="auto"/>
        <w:ind w:left="369" w:hanging="170"/>
      </w:pPr>
      <w:r>
        <w:rPr>
          <w:rFonts w:ascii="Inter" w:hAnsi="Inter" w:eastAsia="Inter"/>
          <w:color w:val="182026"/>
          <w:sz w:val="18"/>
        </w:rPr>
        <w:t>Zielpreis beispielsweise 25.000 bis 30.000 Euro.</w:t>
      </w:r>
    </w:p>
    <w:p>
      <w:pPr>
        <w:pStyle w:val="BodyText"/>
        <w:widowControl/>
        <w:spacing w:after="110" w:line="276" w:lineRule="auto"/>
        <w:ind w:firstLine="255"/>
      </w:pPr>
      <w:r>
        <w:rPr>
          <w:rFonts w:ascii="Inter" w:hAnsi="Inter" w:eastAsia="Inter"/>
          <w:color w:val="182026"/>
          <w:sz w:val="19"/>
        </w:rPr>
        <w:t>Der Kunde profitiert von schnellerer Lieferung und einem weiterhin sehr hohen Wertüberschuss. Der Anbieter behält einen Teil des Produktivitätsgewinns. Ein Preis von nur 4.000 Euro, abgeleitet aus 20 Stunden, würde Erfahrung und Technologie bestrafen. Ein Preis von 40.000 Euro ohne nachvollziehbare Wertteilung könnte dagegen als vollständige Abschöpfung wirken.</w:t>
      </w:r>
    </w:p>
    <w:p>
      <w:pPr>
        <w:pStyle w:val="Heading2"/>
        <w:widowControl/>
      </w:pPr>
      <w:r>
        <w:t>7.5 Keine universelle Prozentregel</w:t>
      </w:r>
    </w:p>
    <w:p>
      <w:pPr>
        <w:pStyle w:val="BodyText"/>
        <w:widowControl/>
        <w:spacing w:after="110" w:line="278" w:lineRule="auto"/>
        <w:ind w:firstLine="255"/>
      </w:pPr>
      <w:r>
        <w:rPr>
          <w:rFonts w:ascii="Inter" w:hAnsi="Inter" w:eastAsia="Inter"/>
          <w:color w:val="182026"/>
          <w:sz w:val="19"/>
        </w:rPr>
        <w:t>Aussagen wie „Beratung erhält zehn Prozent des geschaffenen Werts“ sind als allgemeiner Standard ungeeignet. Der angemessene Anteil hängt vom Fall ab. Bei einer klaren, technisch zurechenbaren Einsparung kann ein höherer variabler Anteil fair sein. Bei einem komplexen Kulturwandel mit vielen Mitwirkenden wäre dieselbe Quote willkürlich. Bei sehr großen Kundennutzen kann selbst ein kleiner Anteil unangemessen hoch werden; Caps sind dann notwendig.</w:t>
      </w:r>
    </w:p>
    <w:p>
      <w:pPr>
        <w:pStyle w:val="Heading2"/>
        <w:widowControl/>
      </w:pPr>
      <w:r>
        <w:t>7.6 Feste und variable Komponenten</w:t>
      </w:r>
    </w:p>
    <w:p>
      <w:pPr>
        <w:pStyle w:val="BodyText"/>
        <w:widowControl/>
        <w:spacing w:after="110" w:line="278" w:lineRule="auto"/>
        <w:ind w:firstLine="255"/>
      </w:pPr>
      <w:r>
        <w:rPr>
          <w:rFonts w:ascii="Inter" w:hAnsi="Inter" w:eastAsia="Inter"/>
          <w:color w:val="182026"/>
          <w:sz w:val="19"/>
        </w:rPr>
        <w:t>Die robusteste WVP-Architektur ist häufig hybrid:</w:t>
      </w:r>
    </w:p>
    <w:tbl>
      <w:tblPr>
        <w:tblW w:type="auto" w:w="0"/>
        <w:jc w:val="center"/>
        <w:tblLayout w:type="fixed"/>
        <w:tblLook w:firstColumn="1" w:firstRow="1" w:lastColumn="0" w:lastRow="0" w:noHBand="0" w:noVBand="1" w:val="04A0"/>
      </w:tblPr>
      <w:tblGrid>
        <w:gridCol w:w="9858"/>
      </w:tblGrid>
      <w:tr>
        <w:trPr>
          <w:cantSplit/>
        </w:trPr>
        <w:tc>
          <w:tcPr>
            <w:tcW w:type="dxa" w:w="9000"/>
            <w:shd w:fill="F4F6F5"/>
            <w:tcMar>
              <w:top w:w="110" w:type="dxa"/>
              <w:start w:w="140" w:type="dxa"/>
              <w:bottom w:w="110" w:type="dxa"/>
              <w:end w:w="140" w:type="dxa"/>
            </w:tcMar>
          </w:tcPr>
          <w:p>
            <w:pPr>
              <w:keepLines/>
              <w:widowControl/>
              <w:jc w:val="center"/>
            </w:pPr>
            <w:r>
              <w:rPr>
                <w:rFonts w:ascii="DejaVu Sans Mono" w:hAnsi="DejaVu Sans Mono" w:eastAsia="DejaVu Sans Mono"/>
                <w:b/>
                <w:color w:val="233348"/>
                <w:sz w:val="19"/>
              </w:rPr>
              <w:t>R_gesamt = F + B_V + B_I</w:t>
            </w:r>
          </w:p>
        </w:tc>
      </w:tr>
    </w:tbl>
    <w:p>
      <w:pPr>
        <w:widowControl/>
        <w:spacing w:after="0"/>
      </w:pPr>
    </w:p>
    <w:p>
      <w:pPr>
        <w:pStyle w:val="ListBullet"/>
        <w:widowControl/>
        <w:spacing w:after="50" w:line="259" w:lineRule="auto"/>
        <w:ind w:left="369" w:hanging="170"/>
      </w:pPr>
      <w:r>
        <w:rPr>
          <w:rFonts w:ascii="Inter" w:hAnsi="Inter" w:eastAsia="Inter"/>
          <w:b/>
          <w:color w:val="182026"/>
          <w:sz w:val="18"/>
        </w:rPr>
        <w:t>F - Basisvergütung:</w:t>
      </w:r>
      <w:r>
        <w:rPr>
          <w:rFonts w:ascii="Inter" w:hAnsi="Inter" w:eastAsia="Inter"/>
          <w:color w:val="182026"/>
          <w:sz w:val="18"/>
        </w:rPr>
        <w:t xml:space="preserve"> deckt verbindliche Lieferung, Kapazität, Qualität und Mindesttragfähigkeit.</w:t>
      </w:r>
    </w:p>
    <w:p>
      <w:pPr>
        <w:pStyle w:val="ListBullet"/>
        <w:widowControl/>
        <w:spacing w:after="50" w:line="259" w:lineRule="auto"/>
        <w:ind w:left="369" w:hanging="170"/>
      </w:pPr>
      <w:r>
        <w:rPr>
          <w:rFonts w:ascii="Inter" w:hAnsi="Inter" w:eastAsia="Inter"/>
          <w:b/>
          <w:color w:val="182026"/>
          <w:sz w:val="18"/>
        </w:rPr>
        <w:t>B_V - Kundenwertkomponente:</w:t>
      </w:r>
      <w:r>
        <w:rPr>
          <w:rFonts w:ascii="Inter" w:hAnsi="Inter" w:eastAsia="Inter"/>
          <w:color w:val="182026"/>
          <w:sz w:val="18"/>
        </w:rPr>
        <w:t xml:space="preserve"> knüpft an einen verifizierten wirtschaftlichen Outcome an.</w:t>
      </w:r>
    </w:p>
    <w:p>
      <w:pPr>
        <w:pStyle w:val="ListBullet"/>
        <w:widowControl/>
        <w:spacing w:after="50" w:line="259" w:lineRule="auto"/>
        <w:ind w:left="369" w:hanging="170"/>
      </w:pPr>
      <w:r>
        <w:rPr>
          <w:rFonts w:ascii="Inter" w:hAnsi="Inter" w:eastAsia="Inter"/>
          <w:b/>
          <w:color w:val="182026"/>
          <w:sz w:val="18"/>
        </w:rPr>
        <w:t>B_I - Wirkungskomponente:</w:t>
      </w:r>
      <w:r>
        <w:rPr>
          <w:rFonts w:ascii="Inter" w:hAnsi="Inter" w:eastAsia="Inter"/>
          <w:color w:val="182026"/>
          <w:sz w:val="18"/>
        </w:rPr>
        <w:t xml:space="preserve"> knüpft an positive Netto- oder Transformationswirkung an und kann von einem anderen Nutzenempfänger finanziert werden.</w:t>
      </w:r>
    </w:p>
    <w:p>
      <w:pPr>
        <w:pStyle w:val="BodyText"/>
        <w:widowControl/>
        <w:spacing w:after="110" w:line="278" w:lineRule="auto"/>
        <w:ind w:firstLine="255"/>
      </w:pPr>
      <w:r>
        <w:rPr>
          <w:rFonts w:ascii="Inter" w:hAnsi="Inter" w:eastAsia="Inter"/>
          <w:color w:val="182026"/>
          <w:sz w:val="19"/>
        </w:rPr>
        <w:t>B_V und B_I müssen unterschiedliche Nutzenströme und Kriterien verwenden. Doppelzählung ist auszuschließen.</w:t>
      </w:r>
    </w:p>
    <w:p>
      <w:pPr>
        <w:widowControl/>
        <w:spacing w:before="100" w:after="40"/>
        <w:jc w:val="center"/>
      </w:pPr>
      <w:r>
        <w:drawing>
          <wp:inline xmlns:a="http://schemas.openxmlformats.org/drawingml/2006/main" xmlns:pic="http://schemas.openxmlformats.org/drawingml/2006/picture">
            <wp:extent cx="6080760" cy="3509537"/>
            <wp:docPr id="6" name="Picture 6" descr="Abbildung 5: Hybride Vergütung verteilt Risiko nach Steuerbarkeit und Nutzenempfang." title="Abbildung 5: Hybride Vergütung verteilt Risiko nach Steuerbarkeit und Nutzenempfang."/>
            <wp:cNvGraphicFramePr>
              <a:graphicFrameLocks noChangeAspect="1"/>
            </wp:cNvGraphicFramePr>
            <a:graphic>
              <a:graphicData uri="http://schemas.openxmlformats.org/drawingml/2006/picture">
                <pic:pic>
                  <pic:nvPicPr>
                    <pic:cNvPr id="0" name="fig_remuneration_architecture.png"/>
                    <pic:cNvPicPr/>
                  </pic:nvPicPr>
                  <pic:blipFill>
                    <a:blip r:embed="rId16"/>
                    <a:stretch>
                      <a:fillRect/>
                    </a:stretch>
                  </pic:blipFill>
                  <pic:spPr>
                    <a:xfrm>
                      <a:off x="0" y="0"/>
                      <a:ext cx="6080760" cy="3509537"/>
                    </a:xfrm>
                    <a:prstGeom prst="rect"/>
                  </pic:spPr>
                </pic:pic>
              </a:graphicData>
            </a:graphic>
          </wp:inline>
        </w:drawing>
      </w:r>
    </w:p>
    <w:p>
      <w:pPr>
        <w:widowControl/>
        <w:spacing w:after="160"/>
        <w:jc w:val="center"/>
      </w:pPr>
      <w:r>
        <w:rPr>
          <w:rFonts w:ascii="Inter" w:hAnsi="Inter" w:eastAsia="Inter"/>
          <w:i/>
          <w:color w:val="5B6670"/>
          <w:sz w:val="16"/>
        </w:rPr>
        <w:t>Abbildung 5: Hybride Vergütung verteilt Risiko nach Steuerbarkeit und Nutzenempfang.</w:t>
      </w:r>
    </w:p>
    <w:p>
      <w:pPr>
        <w:pStyle w:val="Heading2"/>
        <w:widowControl/>
      </w:pPr>
      <w:r>
        <w:t>7.7 Schutzregeln für variable Vergütung</w:t>
      </w:r>
    </w:p>
    <w:p>
      <w:pPr>
        <w:pStyle w:val="BodyText"/>
        <w:widowControl/>
        <w:spacing w:after="110" w:line="278" w:lineRule="auto"/>
        <w:ind w:firstLine="255"/>
      </w:pPr>
      <w:r>
        <w:rPr>
          <w:rFonts w:ascii="Inter" w:hAnsi="Inter" w:eastAsia="Inter"/>
          <w:color w:val="182026"/>
          <w:sz w:val="19"/>
        </w:rPr>
        <w:t>Variable Komponenten erhalten:</w:t>
      </w:r>
    </w:p>
    <w:p>
      <w:pPr>
        <w:pStyle w:val="ListBullet"/>
        <w:widowControl/>
        <w:spacing w:after="50" w:line="259" w:lineRule="auto"/>
        <w:ind w:left="369" w:hanging="170"/>
      </w:pPr>
      <w:r>
        <w:rPr>
          <w:rFonts w:ascii="Inter" w:hAnsi="Inter" w:eastAsia="Inter"/>
          <w:color w:val="182026"/>
          <w:sz w:val="18"/>
        </w:rPr>
        <w:t>eine klare Formel und Datenquelle,</w:t>
      </w:r>
    </w:p>
    <w:p>
      <w:pPr>
        <w:pStyle w:val="ListBullet"/>
        <w:widowControl/>
        <w:spacing w:after="50" w:line="259" w:lineRule="auto"/>
        <w:ind w:left="369" w:hanging="170"/>
      </w:pPr>
      <w:r>
        <w:rPr>
          <w:rFonts w:ascii="Inter" w:hAnsi="Inter" w:eastAsia="Inter"/>
          <w:color w:val="182026"/>
          <w:sz w:val="18"/>
        </w:rPr>
        <w:t>Baseline und Referenzalternative,</w:t>
      </w:r>
    </w:p>
    <w:p>
      <w:pPr>
        <w:pStyle w:val="ListBullet"/>
        <w:widowControl/>
        <w:spacing w:after="50" w:line="259" w:lineRule="auto"/>
        <w:ind w:left="369" w:hanging="170"/>
      </w:pPr>
      <w:r>
        <w:rPr>
          <w:rFonts w:ascii="Inter" w:hAnsi="Inter" w:eastAsia="Inter"/>
          <w:color w:val="182026"/>
          <w:sz w:val="18"/>
        </w:rPr>
        <w:t>Mindest- und Höchstbetrag,</w:t>
      </w:r>
    </w:p>
    <w:p>
      <w:pPr>
        <w:pStyle w:val="ListBullet"/>
        <w:widowControl/>
        <w:spacing w:after="50" w:line="259" w:lineRule="auto"/>
        <w:ind w:left="369" w:hanging="170"/>
      </w:pPr>
      <w:r>
        <w:rPr>
          <w:rFonts w:ascii="Inter" w:hAnsi="Inter" w:eastAsia="Inter"/>
          <w:color w:val="182026"/>
          <w:sz w:val="18"/>
        </w:rPr>
        <w:t>Zeitfenster und Abrechnungszeitpunkt,</w:t>
      </w:r>
    </w:p>
    <w:p>
      <w:pPr>
        <w:pStyle w:val="ListBullet"/>
        <w:widowControl/>
        <w:spacing w:after="50" w:line="259" w:lineRule="auto"/>
        <w:ind w:left="369" w:hanging="170"/>
      </w:pPr>
      <w:r>
        <w:rPr>
          <w:rFonts w:ascii="Inter" w:hAnsi="Inter" w:eastAsia="Inter"/>
          <w:color w:val="182026"/>
          <w:sz w:val="18"/>
        </w:rPr>
        <w:t>Regeln für externe Schocks,</w:t>
      </w:r>
    </w:p>
    <w:p>
      <w:pPr>
        <w:pStyle w:val="ListBullet"/>
        <w:widowControl/>
        <w:spacing w:after="50" w:line="259" w:lineRule="auto"/>
        <w:ind w:left="369" w:hanging="170"/>
      </w:pPr>
      <w:r>
        <w:rPr>
          <w:rFonts w:ascii="Inter" w:hAnsi="Inter" w:eastAsia="Inter"/>
          <w:color w:val="182026"/>
          <w:sz w:val="18"/>
        </w:rPr>
        <w:t>Zurechnung und Mitwirkungspflichten,</w:t>
      </w:r>
    </w:p>
    <w:p>
      <w:pPr>
        <w:pStyle w:val="ListBullet"/>
        <w:widowControl/>
        <w:spacing w:after="50" w:line="259" w:lineRule="auto"/>
        <w:ind w:left="369" w:hanging="170"/>
      </w:pPr>
      <w:r>
        <w:rPr>
          <w:rFonts w:ascii="Inter" w:hAnsi="Inter" w:eastAsia="Inter"/>
          <w:color w:val="182026"/>
          <w:sz w:val="18"/>
        </w:rPr>
        <w:t>Datenzugang und Prüfungsrecht,</w:t>
      </w:r>
    </w:p>
    <w:p>
      <w:pPr>
        <w:pStyle w:val="ListBullet"/>
        <w:widowControl/>
        <w:spacing w:after="50" w:line="259" w:lineRule="auto"/>
        <w:ind w:left="369" w:hanging="170"/>
      </w:pPr>
      <w:r>
        <w:rPr>
          <w:rFonts w:ascii="Inter" w:hAnsi="Inter" w:eastAsia="Inter"/>
          <w:color w:val="182026"/>
          <w:sz w:val="18"/>
        </w:rPr>
        <w:t>Behandlung von Datenlücken,</w:t>
      </w:r>
    </w:p>
    <w:p>
      <w:pPr>
        <w:pStyle w:val="ListBullet"/>
        <w:widowControl/>
        <w:spacing w:after="50" w:line="259" w:lineRule="auto"/>
        <w:ind w:left="369" w:hanging="170"/>
      </w:pPr>
      <w:r>
        <w:rPr>
          <w:rFonts w:ascii="Inter" w:hAnsi="Inter" w:eastAsia="Inter"/>
          <w:color w:val="182026"/>
          <w:sz w:val="18"/>
        </w:rPr>
        <w:t>Korrektur- und Streitverfahren,</w:t>
      </w:r>
    </w:p>
    <w:p>
      <w:pPr>
        <w:pStyle w:val="ListBullet"/>
        <w:widowControl/>
        <w:spacing w:after="50" w:line="259" w:lineRule="auto"/>
        <w:ind w:left="369" w:hanging="170"/>
      </w:pPr>
      <w:r>
        <w:rPr>
          <w:rFonts w:ascii="Inter" w:hAnsi="Inter" w:eastAsia="Inter"/>
          <w:color w:val="182026"/>
          <w:sz w:val="18"/>
        </w:rPr>
        <w:t>Clawback bei später festgestellter Fehlmessung oder negativer Wirkung.</w:t>
      </w:r>
    </w:p>
    <w:p>
      <w:pPr>
        <w:pStyle w:val="BodyText"/>
        <w:widowControl/>
        <w:spacing w:after="110" w:line="278" w:lineRule="auto"/>
        <w:ind w:firstLine="255"/>
      </w:pPr>
      <w:r>
        <w:rPr>
          <w:rFonts w:ascii="Inter" w:hAnsi="Inter" w:eastAsia="Inter"/>
          <w:color w:val="182026"/>
          <w:sz w:val="19"/>
        </w:rPr>
        <w:t>Der feste Anteil darf nicht so niedrig sein, dass der Anbieter unkontrollierbare Kunden- oder Umfeldrisiken finanziert. Outcome-Verträge sind keine Methode, Risiko an schwächere Partner auszulagern.</w:t>
      </w:r>
    </w:p>
    <w:p>
      <w:pPr>
        <w:pStyle w:val="Heading2"/>
        <w:widowControl/>
      </w:pPr>
      <w:r>
        <w:t>7.8 Wirkung ist kein automatischer Aufschlag</w:t>
      </w:r>
    </w:p>
    <w:p>
      <w:pPr>
        <w:pStyle w:val="BodyText"/>
        <w:widowControl/>
        <w:spacing w:after="110" w:line="278" w:lineRule="auto"/>
        <w:ind w:firstLine="255"/>
      </w:pPr>
      <w:r>
        <w:rPr>
          <w:rFonts w:ascii="Inter" w:hAnsi="Inter" w:eastAsia="Inter"/>
          <w:color w:val="182026"/>
          <w:sz w:val="19"/>
        </w:rPr>
        <w:t>Positive Netto-Wirkung kann verschiedene Preisfolgen haben:</w:t>
      </w:r>
    </w:p>
    <w:p>
      <w:pPr>
        <w:pStyle w:val="ListBullet"/>
        <w:widowControl/>
        <w:spacing w:after="50" w:line="259" w:lineRule="auto"/>
        <w:ind w:left="369" w:hanging="170"/>
      </w:pPr>
      <w:r>
        <w:rPr>
          <w:rFonts w:ascii="Inter" w:hAnsi="Inter" w:eastAsia="Inter"/>
          <w:color w:val="182026"/>
          <w:sz w:val="18"/>
        </w:rPr>
        <w:t>Sie kann einen Wirkungsbonus rechtfertigen, wenn ein entsprechendes Mandat und Budget bestehen.</w:t>
      </w:r>
    </w:p>
    <w:p>
      <w:pPr>
        <w:pStyle w:val="ListBullet"/>
        <w:widowControl/>
        <w:spacing w:after="50" w:line="259" w:lineRule="auto"/>
        <w:ind w:left="369" w:hanging="170"/>
      </w:pPr>
      <w:r>
        <w:rPr>
          <w:rFonts w:ascii="Inter" w:hAnsi="Inter" w:eastAsia="Inter"/>
          <w:color w:val="182026"/>
          <w:sz w:val="18"/>
        </w:rPr>
        <w:t>Sie kann Drittfinanzierung erschließen und dadurch den Kundenpreis senken.</w:t>
      </w:r>
    </w:p>
    <w:p>
      <w:pPr>
        <w:pStyle w:val="ListBullet"/>
        <w:widowControl/>
        <w:spacing w:after="50" w:line="259" w:lineRule="auto"/>
        <w:ind w:left="369" w:hanging="170"/>
      </w:pPr>
      <w:r>
        <w:rPr>
          <w:rFonts w:ascii="Inter" w:hAnsi="Inter" w:eastAsia="Inter"/>
          <w:color w:val="182026"/>
          <w:sz w:val="18"/>
        </w:rPr>
        <w:t>Sie kann eine Beschaffungspräferenz oder längere Vertragsdauer begründen.</w:t>
      </w:r>
    </w:p>
    <w:p>
      <w:pPr>
        <w:pStyle w:val="ListBullet"/>
        <w:widowControl/>
        <w:spacing w:after="50" w:line="259" w:lineRule="auto"/>
        <w:ind w:left="369" w:hanging="170"/>
      </w:pPr>
      <w:r>
        <w:rPr>
          <w:rFonts w:ascii="Inter" w:hAnsi="Inter" w:eastAsia="Inter"/>
          <w:color w:val="182026"/>
          <w:sz w:val="18"/>
        </w:rPr>
        <w:t>Sie kann eine geringere Risikoprämie rechtfertigen.</w:t>
      </w:r>
    </w:p>
    <w:p>
      <w:pPr>
        <w:pStyle w:val="ListBullet"/>
        <w:widowControl/>
        <w:spacing w:after="50" w:line="259" w:lineRule="auto"/>
        <w:ind w:left="369" w:hanging="170"/>
      </w:pPr>
      <w:r>
        <w:rPr>
          <w:rFonts w:ascii="Inter" w:hAnsi="Inter" w:eastAsia="Inter"/>
          <w:color w:val="182026"/>
          <w:sz w:val="18"/>
        </w:rPr>
        <w:t>Sie kann höhere Wirkungskosten des Anbieters transparent machen.</w:t>
      </w:r>
    </w:p>
    <w:p>
      <w:pPr>
        <w:pStyle w:val="ListBullet"/>
        <w:widowControl/>
        <w:spacing w:after="50" w:line="259" w:lineRule="auto"/>
        <w:ind w:left="369" w:hanging="170"/>
      </w:pPr>
      <w:r>
        <w:rPr>
          <w:rFonts w:ascii="Inter" w:hAnsi="Inter" w:eastAsia="Inter"/>
          <w:color w:val="182026"/>
          <w:sz w:val="18"/>
        </w:rPr>
        <w:t>Sie kann bewusst ohne Mehrpreis angeboten werden, wenn Wirkung Teil des Unternehmenszwecks ist.</w:t>
      </w:r>
    </w:p>
    <w:p>
      <w:pPr>
        <w:pStyle w:val="BodyText"/>
        <w:widowControl/>
        <w:spacing w:after="110" w:line="278" w:lineRule="auto"/>
        <w:ind w:firstLine="255"/>
      </w:pPr>
      <w:r>
        <w:rPr>
          <w:rFonts w:ascii="Inter" w:hAnsi="Inter" w:eastAsia="Inter"/>
          <w:color w:val="182026"/>
          <w:sz w:val="19"/>
        </w:rPr>
        <w:t>Der Grundsatz lautet:</w:t>
      </w:r>
    </w:p>
    <w:p>
      <w:pPr>
        <w:spacing w:before="120" w:after="140"/>
        <w:ind w:left="340" w:right="227"/>
        <w:shd w:fill="DDEDEA"/>
        <w:widowControl/>
        <w:pBdr>
          <w:left w:val="single" w:sz="8" w:space="4" w:color="163F3D"/>
        </w:pBdr>
      </w:pPr>
      <w:r>
        <w:rPr>
          <w:rFonts w:ascii="Inter" w:hAnsi="Inter" w:eastAsia="Inter"/>
          <w:b/>
          <w:color w:val="163F3D"/>
          <w:sz w:val="20"/>
        </w:rPr>
        <w:t>Wirkung verändert die Architektur des Preises, nicht automatisch seine Höhe.</w:t>
      </w:r>
    </w:p>
    <w:p>
      <w:pPr>
        <w:pStyle w:val="Heading2"/>
        <w:widowControl/>
      </w:pPr>
      <w:r>
        <w:t>7.9 Erschwinglichkeit und verteilte Nutzen</w:t>
      </w:r>
    </w:p>
    <w:p>
      <w:pPr>
        <w:pStyle w:val="BodyText"/>
        <w:widowControl/>
        <w:spacing w:after="110" w:line="278" w:lineRule="auto"/>
        <w:ind w:firstLine="255"/>
      </w:pPr>
      <w:r>
        <w:rPr>
          <w:rFonts w:ascii="Inter" w:hAnsi="Inter" w:eastAsia="Inter"/>
          <w:color w:val="182026"/>
          <w:sz w:val="19"/>
        </w:rPr>
        <w:t>Besonders bei Bildung, Gesundheit, Prävention, Klima, öffentlicher Forschung oder demokratischer Infrastruktur fällt Nutzen bei mehreren Akteuren an. Ein einzelner Auftraggeber kann den gesamten Wert weder appropriieren noch bezahlen. WVP macht diese Verteilung sichtbar und ermöglicht:</w:t>
      </w:r>
    </w:p>
    <w:p>
      <w:pPr>
        <w:pStyle w:val="ListBullet"/>
        <w:widowControl/>
        <w:spacing w:after="50" w:line="259" w:lineRule="auto"/>
        <w:ind w:left="369" w:hanging="170"/>
      </w:pPr>
      <w:r>
        <w:rPr>
          <w:rFonts w:ascii="Inter" w:hAnsi="Inter" w:eastAsia="Inter"/>
          <w:color w:val="182026"/>
          <w:sz w:val="18"/>
        </w:rPr>
        <w:t>Co-Finanzierung durch mehrere Unternehmen,</w:t>
      </w:r>
    </w:p>
    <w:p>
      <w:pPr>
        <w:pStyle w:val="ListBullet"/>
        <w:widowControl/>
        <w:spacing w:after="50" w:line="259" w:lineRule="auto"/>
        <w:ind w:left="369" w:hanging="170"/>
      </w:pPr>
      <w:r>
        <w:rPr>
          <w:rFonts w:ascii="Inter" w:hAnsi="Inter" w:eastAsia="Inter"/>
          <w:color w:val="182026"/>
          <w:sz w:val="18"/>
        </w:rPr>
        <w:t>öffentliche Beschaffung oder Outcome-Fonds,</w:t>
      </w:r>
    </w:p>
    <w:p>
      <w:pPr>
        <w:pStyle w:val="ListBullet"/>
        <w:widowControl/>
        <w:spacing w:after="50" w:line="259" w:lineRule="auto"/>
        <w:ind w:left="369" w:hanging="170"/>
      </w:pPr>
      <w:r>
        <w:rPr>
          <w:rFonts w:ascii="Inter" w:hAnsi="Inter" w:eastAsia="Inter"/>
          <w:color w:val="182026"/>
          <w:sz w:val="18"/>
        </w:rPr>
        <w:t>Versicherungs- oder Präventionsmodelle,</w:t>
      </w:r>
    </w:p>
    <w:p>
      <w:pPr>
        <w:pStyle w:val="ListBullet"/>
        <w:widowControl/>
        <w:spacing w:after="50" w:line="259" w:lineRule="auto"/>
        <w:ind w:left="369" w:hanging="170"/>
      </w:pPr>
      <w:r>
        <w:rPr>
          <w:rFonts w:ascii="Inter" w:hAnsi="Inter" w:eastAsia="Inter"/>
          <w:color w:val="182026"/>
          <w:sz w:val="18"/>
        </w:rPr>
        <w:t>Branchenumlagen und Verbundlösungen,</w:t>
      </w:r>
    </w:p>
    <w:p>
      <w:pPr>
        <w:pStyle w:val="ListBullet"/>
        <w:widowControl/>
        <w:spacing w:after="50" w:line="259" w:lineRule="auto"/>
        <w:ind w:left="369" w:hanging="170"/>
      </w:pPr>
      <w:r>
        <w:rPr>
          <w:rFonts w:ascii="Inter" w:hAnsi="Inter" w:eastAsia="Inter"/>
          <w:color w:val="182026"/>
          <w:sz w:val="18"/>
        </w:rPr>
        <w:t>philanthropische oder gemeinnützige Finanzierung,</w:t>
      </w:r>
    </w:p>
    <w:p>
      <w:pPr>
        <w:pStyle w:val="ListBullet"/>
        <w:widowControl/>
        <w:spacing w:after="50" w:line="259" w:lineRule="auto"/>
        <w:ind w:left="369" w:hanging="170"/>
      </w:pPr>
      <w:r>
        <w:rPr>
          <w:rFonts w:ascii="Inter" w:hAnsi="Inter" w:eastAsia="Inter"/>
          <w:color w:val="182026"/>
          <w:sz w:val="18"/>
        </w:rPr>
        <w:t>Cross-Subsidization innerhalb eines transparenten Portfolios.</w:t>
      </w:r>
    </w:p>
    <w:p>
      <w:pPr>
        <w:pStyle w:val="BodyText"/>
        <w:widowControl/>
        <w:spacing w:after="110" w:line="278" w:lineRule="auto"/>
        <w:ind w:firstLine="255"/>
      </w:pPr>
      <w:r>
        <w:rPr>
          <w:rFonts w:ascii="Inter" w:hAnsi="Inter" w:eastAsia="Inter"/>
          <w:color w:val="182026"/>
          <w:sz w:val="19"/>
        </w:rPr>
        <w:t>Der Kunde zahlt dann den privaten Nutzenanteil, während öffentliche oder systemische Nutzenströme aus anderen Quellen finanziert werden. So wird positive Wirkung nicht zur Luxusleistung.</w:t>
      </w:r>
    </w:p>
    <w:p>
      <w:pPr>
        <w:pStyle w:val="Heading1"/>
        <w:widowControl/>
        <w:pBdr>
          <w:bottom w:val="single" w:sz="10" w:space="6" w:color="C99A43"/>
        </w:pBdr>
      </w:pPr>
      <w:r>
        <w:t>8 Vertrags- und Geschäftsmodelle</w:t>
      </w:r>
    </w:p>
    <w:p>
      <w:pPr>
        <w:pStyle w:val="Heading2"/>
        <w:widowControl/>
      </w:pPr>
      <w:r>
        <w:t>8.1 Auswahlprinzip</w:t>
      </w:r>
    </w:p>
    <w:p>
      <w:pPr>
        <w:pStyle w:val="BodyText"/>
        <w:widowControl/>
        <w:spacing w:after="110" w:line="278" w:lineRule="auto"/>
        <w:ind w:firstLine="255"/>
      </w:pPr>
      <w:r>
        <w:rPr>
          <w:rFonts w:ascii="Inter" w:hAnsi="Inter" w:eastAsia="Inter"/>
          <w:color w:val="182026"/>
          <w:sz w:val="19"/>
        </w:rPr>
        <w:t>Das Vertragsmodell folgt nicht dem Marketingtrend, sondern vier Fragen: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Ist der relevante Outcome messbar?</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Ist er dem Anbieter zurechenbar?</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Kann der Anbieter ihn wesentlich steuern?</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Können beide Seiten das Risiko tragen?</w:t>
      </w:r>
    </w:p>
    <w:p>
      <w:pPr>
        <w:pStyle w:val="BodyText"/>
        <w:widowControl/>
        <w:spacing w:after="110" w:line="278" w:lineRule="auto"/>
        <w:ind w:firstLine="255"/>
      </w:pPr>
      <w:r>
        <w:rPr>
          <w:rFonts w:ascii="Inter" w:hAnsi="Inter" w:eastAsia="Inter"/>
          <w:color w:val="182026"/>
          <w:sz w:val="19"/>
        </w:rPr>
        <w:t>Je häufiger diese Fragen mit „nein“ beantwortet werden, desto höher muss der feste Anteil sein. Je klarer Outcome, Zurechnung und Steuerbarkeit, desto eher sind Gainsharing oder outcome-basierte Elemente möglich.</w:t>
      </w:r>
    </w:p>
    <w:p>
      <w:pPr>
        <w:widowControl/>
        <w:spacing w:before="100" w:after="40"/>
        <w:jc w:val="center"/>
      </w:pPr>
      <w:r>
        <w:drawing>
          <wp:inline xmlns:a="http://schemas.openxmlformats.org/drawingml/2006/main" xmlns:pic="http://schemas.openxmlformats.org/drawingml/2006/picture">
            <wp:extent cx="6080760" cy="3929950"/>
            <wp:docPr id="7" name="Picture 7" descr="Abbildung 6: Entscheidungsbaum für die Auswahl einer geeigneten Vertragslogik." title="Abbildung 6: Entscheidungsbaum für die Auswahl einer geeigneten Vertragslogik."/>
            <wp:cNvGraphicFramePr>
              <a:graphicFrameLocks noChangeAspect="1"/>
            </wp:cNvGraphicFramePr>
            <a:graphic>
              <a:graphicData uri="http://schemas.openxmlformats.org/drawingml/2006/picture">
                <pic:pic>
                  <pic:nvPicPr>
                    <pic:cNvPr id="0" name="fig_contract_selection.png"/>
                    <pic:cNvPicPr/>
                  </pic:nvPicPr>
                  <pic:blipFill>
                    <a:blip r:embed="rId17"/>
                    <a:stretch>
                      <a:fillRect/>
                    </a:stretch>
                  </pic:blipFill>
                  <pic:spPr>
                    <a:xfrm>
                      <a:off x="0" y="0"/>
                      <a:ext cx="6080760" cy="3929950"/>
                    </a:xfrm>
                    <a:prstGeom prst="rect"/>
                  </pic:spPr>
                </pic:pic>
              </a:graphicData>
            </a:graphic>
          </wp:inline>
        </w:drawing>
      </w:r>
    </w:p>
    <w:p>
      <w:pPr>
        <w:widowControl/>
        <w:spacing w:after="160"/>
        <w:jc w:val="center"/>
      </w:pPr>
      <w:r>
        <w:rPr>
          <w:rFonts w:ascii="Inter" w:hAnsi="Inter" w:eastAsia="Inter"/>
          <w:i/>
          <w:color w:val="5B6670"/>
          <w:sz w:val="16"/>
        </w:rPr>
        <w:t>Abbildung 6: Entscheidungsbaum für die Auswahl einer geeigneten Vertragslogik.</w:t>
      </w:r>
    </w:p>
    <w:p>
      <w:pPr>
        <w:pStyle w:val="Heading2"/>
        <w:widowControl/>
      </w:pPr>
      <w:r>
        <w:t>8.2 Modell 1: Wertbegründeter Festpreis</w:t>
      </w:r>
    </w:p>
    <w:p>
      <w:pPr>
        <w:pStyle w:val="BodyText"/>
        <w:widowControl/>
        <w:spacing w:after="110" w:line="278" w:lineRule="auto"/>
        <w:ind w:firstLine="255"/>
      </w:pPr>
      <w:r>
        <w:rPr>
          <w:rFonts w:ascii="Inter" w:hAnsi="Inter" w:eastAsia="Inter"/>
          <w:color w:val="182026"/>
          <w:sz w:val="19"/>
        </w:rPr>
        <w:t>Der Preis wird aus dem erwarteten Kundenwert und dem Preiskorridor begründet, bleibt aber unabhängig vom späteren Ergebnis fest. Dieses Modell eignet sich, wenn:</w:t>
      </w:r>
    </w:p>
    <w:p>
      <w:pPr>
        <w:pStyle w:val="ListBullet"/>
        <w:widowControl/>
        <w:spacing w:after="50" w:line="259" w:lineRule="auto"/>
        <w:ind w:left="369" w:hanging="170"/>
      </w:pPr>
      <w:r>
        <w:rPr>
          <w:rFonts w:ascii="Inter" w:hAnsi="Inter" w:eastAsia="Inter"/>
          <w:color w:val="182026"/>
          <w:sz w:val="18"/>
        </w:rPr>
        <w:t>der Wert plausibel, aber später schwer zurechenbar ist,</w:t>
      </w:r>
    </w:p>
    <w:p>
      <w:pPr>
        <w:pStyle w:val="ListBullet"/>
        <w:widowControl/>
        <w:spacing w:after="50" w:line="259" w:lineRule="auto"/>
        <w:ind w:left="369" w:hanging="170"/>
      </w:pPr>
      <w:r>
        <w:rPr>
          <w:rFonts w:ascii="Inter" w:hAnsi="Inter" w:eastAsia="Inter"/>
          <w:color w:val="182026"/>
          <w:sz w:val="18"/>
        </w:rPr>
        <w:t>der Kunde Budgetklarheit braucht,</w:t>
      </w:r>
    </w:p>
    <w:p>
      <w:pPr>
        <w:pStyle w:val="ListBullet"/>
        <w:widowControl/>
        <w:spacing w:after="50" w:line="259" w:lineRule="auto"/>
        <w:ind w:left="369" w:hanging="170"/>
      </w:pPr>
      <w:r>
        <w:rPr>
          <w:rFonts w:ascii="Inter" w:hAnsi="Inter" w:eastAsia="Inter"/>
          <w:color w:val="182026"/>
          <w:sz w:val="18"/>
        </w:rPr>
        <w:t>der Anbieter den Outcome nur teilweise steuert,</w:t>
      </w:r>
    </w:p>
    <w:p>
      <w:pPr>
        <w:pStyle w:val="ListBullet"/>
        <w:widowControl/>
        <w:spacing w:after="50" w:line="259" w:lineRule="auto"/>
        <w:ind w:left="369" w:hanging="170"/>
      </w:pPr>
      <w:r>
        <w:rPr>
          <w:rFonts w:ascii="Inter" w:hAnsi="Inter" w:eastAsia="Inter"/>
          <w:color w:val="182026"/>
          <w:sz w:val="18"/>
        </w:rPr>
        <w:t>Datenzugang oder Messkosten begrenzt sind,</w:t>
      </w:r>
    </w:p>
    <w:p>
      <w:pPr>
        <w:pStyle w:val="ListBullet"/>
        <w:widowControl/>
        <w:spacing w:after="50" w:line="259" w:lineRule="auto"/>
        <w:ind w:left="369" w:hanging="170"/>
      </w:pPr>
      <w:r>
        <w:rPr>
          <w:rFonts w:ascii="Inter" w:hAnsi="Inter" w:eastAsia="Inter"/>
          <w:color w:val="182026"/>
          <w:sz w:val="18"/>
        </w:rPr>
        <w:t>die Leistung klar abgegrenzt werden kann.</w:t>
      </w:r>
    </w:p>
    <w:p>
      <w:pPr>
        <w:pStyle w:val="BodyText"/>
        <w:widowControl/>
        <w:spacing w:after="110" w:line="278" w:lineRule="auto"/>
        <w:ind w:firstLine="255"/>
      </w:pPr>
      <w:r>
        <w:rPr>
          <w:rFonts w:ascii="Inter" w:hAnsi="Inter" w:eastAsia="Inter"/>
          <w:color w:val="182026"/>
          <w:sz w:val="19"/>
        </w:rPr>
        <w:t>Der Vertrag enthält dennoch Wertpfade, Erfolgskriterien und Review. Der Festpreis ist nicht blind; er verzichtet nur auf variable Abrechnung.</w:t>
      </w:r>
    </w:p>
    <w:p>
      <w:pPr>
        <w:pStyle w:val="Heading2"/>
        <w:widowControl/>
      </w:pPr>
      <w:r>
        <w:t>8.3 Modell 2: Basis plus Meilenstein</w:t>
      </w:r>
    </w:p>
    <w:p>
      <w:pPr>
        <w:pStyle w:val="BodyText"/>
        <w:widowControl/>
        <w:spacing w:after="110" w:line="278" w:lineRule="auto"/>
        <w:ind w:firstLine="255"/>
      </w:pPr>
      <w:r>
        <w:rPr>
          <w:rFonts w:ascii="Inter" w:hAnsi="Inter" w:eastAsia="Inter"/>
          <w:color w:val="182026"/>
          <w:sz w:val="19"/>
        </w:rPr>
        <w:t>Eine feste Basis wird durch Zahlungen für überprüfbare Meilensteine ergänzt. Meilensteine können Output oder frühe Outcome-Indikatoren sein, beispielsweise validierter Prototyp, bestandener Praxistest, Datenqualität, Übergabe einer funktionierenden Architektur oder geschulte interne Multiplikator:innen.</w:t>
      </w:r>
    </w:p>
    <w:p>
      <w:pPr>
        <w:pStyle w:val="BodyText"/>
        <w:widowControl/>
        <w:spacing w:after="110" w:line="278" w:lineRule="auto"/>
        <w:ind w:firstLine="255"/>
      </w:pPr>
      <w:r>
        <w:rPr>
          <w:rFonts w:ascii="Inter" w:hAnsi="Inter" w:eastAsia="Inter"/>
          <w:color w:val="182026"/>
          <w:sz w:val="19"/>
        </w:rPr>
        <w:t>Das Modell eignet sich bei langen Projekten, in denen Endwirkung spät eintritt. Es verteilt Liquidität und Leistungsrisiko, ohne den Anbieter für externe Endergebnisse haften zu lassen.</w:t>
      </w:r>
    </w:p>
    <w:p>
      <w:pPr>
        <w:pStyle w:val="Heading2"/>
        <w:widowControl/>
      </w:pPr>
      <w:r>
        <w:t>8.4 Modell 3: Shared Savings oder Gainsharing</w:t>
      </w:r>
    </w:p>
    <w:p>
      <w:pPr>
        <w:pStyle w:val="BodyText"/>
        <w:widowControl/>
        <w:spacing w:after="110" w:line="278" w:lineRule="auto"/>
        <w:ind w:firstLine="255"/>
      </w:pPr>
      <w:r>
        <w:rPr>
          <w:rFonts w:ascii="Inter" w:hAnsi="Inter" w:eastAsia="Inter"/>
          <w:color w:val="182026"/>
          <w:sz w:val="19"/>
        </w:rPr>
        <w:t>Der Anbieter erhält einen vereinbarten Anteil verifizierter Einsparungen oder zusätzlicher Wertströme. Geeignet ist das Modell bei:</w:t>
      </w:r>
    </w:p>
    <w:p>
      <w:pPr>
        <w:pStyle w:val="ListBullet"/>
        <w:widowControl/>
        <w:spacing w:after="50" w:line="259" w:lineRule="auto"/>
        <w:ind w:left="369" w:hanging="170"/>
      </w:pPr>
      <w:r>
        <w:rPr>
          <w:rFonts w:ascii="Inter" w:hAnsi="Inter" w:eastAsia="Inter"/>
          <w:color w:val="182026"/>
          <w:sz w:val="18"/>
        </w:rPr>
        <w:t>klarer Baseline,</w:t>
      </w:r>
    </w:p>
    <w:p>
      <w:pPr>
        <w:pStyle w:val="ListBullet"/>
        <w:widowControl/>
        <w:spacing w:after="50" w:line="259" w:lineRule="auto"/>
        <w:ind w:left="369" w:hanging="170"/>
      </w:pPr>
      <w:r>
        <w:rPr>
          <w:rFonts w:ascii="Inter" w:hAnsi="Inter" w:eastAsia="Inter"/>
          <w:color w:val="182026"/>
          <w:sz w:val="18"/>
        </w:rPr>
        <w:t>stabiler Messung,</w:t>
      </w:r>
    </w:p>
    <w:p>
      <w:pPr>
        <w:pStyle w:val="ListBullet"/>
        <w:widowControl/>
        <w:spacing w:after="50" w:line="259" w:lineRule="auto"/>
        <w:ind w:left="369" w:hanging="170"/>
      </w:pPr>
      <w:r>
        <w:rPr>
          <w:rFonts w:ascii="Inter" w:hAnsi="Inter" w:eastAsia="Inter"/>
          <w:color w:val="182026"/>
          <w:sz w:val="18"/>
        </w:rPr>
        <w:t>nachvollziehbarer Zurechnung,</w:t>
      </w:r>
    </w:p>
    <w:p>
      <w:pPr>
        <w:pStyle w:val="ListBullet"/>
        <w:widowControl/>
        <w:spacing w:after="50" w:line="259" w:lineRule="auto"/>
        <w:ind w:left="369" w:hanging="170"/>
      </w:pPr>
      <w:r>
        <w:rPr>
          <w:rFonts w:ascii="Inter" w:hAnsi="Inter" w:eastAsia="Inter"/>
          <w:color w:val="182026"/>
          <w:sz w:val="18"/>
        </w:rPr>
        <w:t>hoher Steuerbarkeit,</w:t>
      </w:r>
    </w:p>
    <w:p>
      <w:pPr>
        <w:pStyle w:val="ListBullet"/>
        <w:widowControl/>
        <w:spacing w:after="50" w:line="259" w:lineRule="auto"/>
        <w:ind w:left="369" w:hanging="170"/>
      </w:pPr>
      <w:r>
        <w:rPr>
          <w:rFonts w:ascii="Inter" w:hAnsi="Inter" w:eastAsia="Inter"/>
          <w:color w:val="182026"/>
          <w:sz w:val="18"/>
        </w:rPr>
        <w:t>ausreichend großem, wiederkehrendem Nutzen.</w:t>
      </w:r>
    </w:p>
    <w:p>
      <w:pPr>
        <w:pStyle w:val="BodyText"/>
        <w:widowControl/>
        <w:spacing w:after="110" w:line="278" w:lineRule="auto"/>
        <w:ind w:firstLine="255"/>
      </w:pPr>
      <w:r>
        <w:rPr>
          <w:rFonts w:ascii="Inter" w:hAnsi="Inter" w:eastAsia="Inter"/>
          <w:color w:val="182026"/>
          <w:sz w:val="19"/>
        </w:rPr>
        <w:t>Notwendig sind Caps, Mindestkundensurplus, Regeln für Volumen- und Preisänderungen sowie eine getrennte Betrachtung von Einsparung und Leistungsverschlechterung. Eine Kostensenkung, die Qualität oder Arbeitsgesundheit schädigt, darf nicht vollständig bonusfähig sein.</w:t>
      </w:r>
    </w:p>
    <w:p>
      <w:pPr>
        <w:pStyle w:val="Heading2"/>
        <w:widowControl/>
      </w:pPr>
      <w:r>
        <w:t>8.5 Modell 4: Risikoreduktionsvergütung</w:t>
      </w:r>
    </w:p>
    <w:p>
      <w:pPr>
        <w:pStyle w:val="BodyText"/>
        <w:widowControl/>
        <w:spacing w:after="110" w:line="278" w:lineRule="auto"/>
        <w:ind w:firstLine="255"/>
      </w:pPr>
      <w:r>
        <w:rPr>
          <w:rFonts w:ascii="Inter" w:hAnsi="Inter" w:eastAsia="Inter"/>
          <w:color w:val="182026"/>
          <w:sz w:val="19"/>
        </w:rPr>
        <w:t>Die variable Komponente knüpft an die Verringerung eines erwarteten Schadens oder an definierte Sicherheitsindikatoren an. Anwendungsfelder sind Cybersecurity, Compliance, Qualität, Resilienz, Arbeitsschutz oder Lieferkettenrisiko.</w:t>
      </w:r>
    </w:p>
    <w:p>
      <w:pPr>
        <w:pStyle w:val="BodyText"/>
        <w:widowControl/>
        <w:spacing w:after="110" w:line="278" w:lineRule="auto"/>
        <w:ind w:firstLine="255"/>
      </w:pPr>
      <w:r>
        <w:rPr>
          <w:rFonts w:ascii="Inter" w:hAnsi="Inter" w:eastAsia="Inter"/>
          <w:color w:val="182026"/>
          <w:sz w:val="19"/>
        </w:rPr>
        <w:t>Das Modell erfordert besonders konservative Annahmen. Verhinderte Schäden sind nicht direkt beobachtbar. Geeignet sind technische Kontrollwerte, Versicherungsdaten, Szenarien und unabhängige Plausibilisierung. Der Bonus sollte nicht von der Abwesenheit gemeldeter Vorfälle allein abhängen, da dies Unterberichterstattung fördern kann.</w:t>
      </w:r>
    </w:p>
    <w:p>
      <w:pPr>
        <w:pStyle w:val="Heading2"/>
        <w:widowControl/>
      </w:pPr>
      <w:r>
        <w:t>8.6 Modell 5: Retainer mit periodischer Wertüberprüfung</w:t>
      </w:r>
    </w:p>
    <w:p>
      <w:pPr>
        <w:pStyle w:val="BodyText"/>
        <w:widowControl/>
        <w:spacing w:after="110" w:line="278" w:lineRule="auto"/>
        <w:ind w:firstLine="255"/>
      </w:pPr>
      <w:r>
        <w:rPr>
          <w:rFonts w:ascii="Inter" w:hAnsi="Inter" w:eastAsia="Inter"/>
          <w:color w:val="182026"/>
          <w:sz w:val="19"/>
        </w:rPr>
        <w:t>Der Kunde zahlt für kontinuierliche Verfügbarkeit, Lernen, Monitoring und Weiterentwicklung. In festgelegten Zyklen werden Kundenwert, Wirkung, Scope und Preis überprüft. Das Modell eignet sich für:</w:t>
      </w:r>
    </w:p>
    <w:p>
      <w:pPr>
        <w:pStyle w:val="ListBullet"/>
        <w:widowControl/>
        <w:spacing w:after="50" w:line="259" w:lineRule="auto"/>
        <w:ind w:left="369" w:hanging="170"/>
      </w:pPr>
      <w:r>
        <w:rPr>
          <w:rFonts w:ascii="Inter" w:hAnsi="Inter" w:eastAsia="Inter"/>
          <w:color w:val="182026"/>
          <w:sz w:val="18"/>
        </w:rPr>
        <w:t>Forschungs- und Wissenspartnerschaften,</w:t>
      </w:r>
    </w:p>
    <w:p>
      <w:pPr>
        <w:pStyle w:val="ListBullet"/>
        <w:widowControl/>
        <w:spacing w:after="50" w:line="259" w:lineRule="auto"/>
        <w:ind w:left="369" w:hanging="170"/>
      </w:pPr>
      <w:r>
        <w:rPr>
          <w:rFonts w:ascii="Inter" w:hAnsi="Inter" w:eastAsia="Inter"/>
          <w:color w:val="182026"/>
          <w:sz w:val="18"/>
        </w:rPr>
        <w:t>laufendes Wirkungscontrolling,</w:t>
      </w:r>
    </w:p>
    <w:p>
      <w:pPr>
        <w:pStyle w:val="ListBullet"/>
        <w:widowControl/>
        <w:spacing w:after="50" w:line="259" w:lineRule="auto"/>
        <w:ind w:left="369" w:hanging="170"/>
      </w:pPr>
      <w:r>
        <w:rPr>
          <w:rFonts w:ascii="Inter" w:hAnsi="Inter" w:eastAsia="Inter"/>
          <w:color w:val="182026"/>
          <w:sz w:val="18"/>
        </w:rPr>
        <w:t>Innovations- und Portfoliosteuerung,</w:t>
      </w:r>
    </w:p>
    <w:p>
      <w:pPr>
        <w:pStyle w:val="ListBullet"/>
        <w:widowControl/>
        <w:spacing w:after="50" w:line="259" w:lineRule="auto"/>
        <w:ind w:left="369" w:hanging="170"/>
      </w:pPr>
      <w:r>
        <w:rPr>
          <w:rFonts w:ascii="Inter" w:hAnsi="Inter" w:eastAsia="Inter"/>
          <w:color w:val="182026"/>
          <w:sz w:val="18"/>
        </w:rPr>
        <w:t>strategische Begleitung,</w:t>
      </w:r>
    </w:p>
    <w:p>
      <w:pPr>
        <w:pStyle w:val="ListBullet"/>
        <w:widowControl/>
        <w:spacing w:after="50" w:line="259" w:lineRule="auto"/>
        <w:ind w:left="369" w:hanging="170"/>
      </w:pPr>
      <w:r>
        <w:rPr>
          <w:rFonts w:ascii="Inter" w:hAnsi="Inter" w:eastAsia="Inter"/>
          <w:color w:val="182026"/>
          <w:sz w:val="18"/>
        </w:rPr>
        <w:t>Services mit wechselnden Wertpfaden.</w:t>
      </w:r>
    </w:p>
    <w:p>
      <w:pPr>
        <w:pStyle w:val="BodyText"/>
        <w:widowControl/>
        <w:spacing w:after="110" w:line="278" w:lineRule="auto"/>
        <w:ind w:firstLine="255"/>
      </w:pPr>
      <w:r>
        <w:rPr>
          <w:rFonts w:ascii="Inter" w:hAnsi="Inter" w:eastAsia="Inter"/>
          <w:color w:val="182026"/>
          <w:sz w:val="19"/>
        </w:rPr>
        <w:t>Der Retainer wird nicht durch künstliche Stundenkontingente legitimiert, sondern durch verfügbare Fähigkeit, Reaktionszeit, Assets, Lernsystem und erwartete Entscheidungseffekte.</w:t>
      </w:r>
    </w:p>
    <w:p>
      <w:pPr>
        <w:pStyle w:val="Heading2"/>
        <w:widowControl/>
      </w:pPr>
      <w:r>
        <w:t>8.7 Modell 6: Outcome-basierter Vertrag</w:t>
      </w:r>
    </w:p>
    <w:p>
      <w:pPr>
        <w:pStyle w:val="BodyText"/>
        <w:widowControl/>
        <w:spacing w:after="110" w:line="278" w:lineRule="auto"/>
        <w:ind w:firstLine="255"/>
      </w:pPr>
      <w:r>
        <w:rPr>
          <w:rFonts w:ascii="Inter" w:hAnsi="Inter" w:eastAsia="Inter"/>
          <w:color w:val="182026"/>
          <w:sz w:val="19"/>
        </w:rPr>
        <w:t>Die Zahlung knüpft an definierte Outcome-Ergebnisse an. Dieses Modell ist anspruchsvoll. Es eignet sich nur, wenn Outcome, Messung, Verantwortungsgrenzen, Datenzugang und Risiko angemessen gestaltet sind. Bei komplexen Systemen kann eine Kombination aus Prozess-, Output- und Outcome-Kriterien sinnvoller sein als ein einziger Endwert.</w:t>
      </w:r>
    </w:p>
    <w:p>
      <w:pPr>
        <w:pStyle w:val="BodyText"/>
        <w:widowControl/>
        <w:spacing w:after="110" w:line="278" w:lineRule="auto"/>
        <w:ind w:firstLine="255"/>
      </w:pPr>
      <w:r>
        <w:rPr>
          <w:rFonts w:ascii="Inter" w:hAnsi="Inter" w:eastAsia="Inter"/>
          <w:color w:val="182026"/>
          <w:sz w:val="19"/>
        </w:rPr>
        <w:t>Outcome-Verträge brauchen Schutz gegen Cream Skimming. Der Anbieter darf keinen Anreiz erhalten, nur leichte Fälle, profitable Standorte oder gut messbare Zielgruppen auszuwählen.</w:t>
      </w:r>
    </w:p>
    <w:p>
      <w:pPr>
        <w:pStyle w:val="Heading2"/>
        <w:widowControl/>
      </w:pPr>
      <w:r>
        <w:t>8.8 Modell 7: Multi-Payer-Wirkungsvertrag</w:t>
      </w:r>
    </w:p>
    <w:p>
      <w:pPr>
        <w:pStyle w:val="BodyText"/>
        <w:widowControl/>
        <w:spacing w:after="110" w:line="278" w:lineRule="auto"/>
        <w:ind w:firstLine="255"/>
      </w:pPr>
      <w:r>
        <w:rPr>
          <w:rFonts w:ascii="Inter" w:hAnsi="Inter" w:eastAsia="Inter"/>
          <w:color w:val="182026"/>
          <w:sz w:val="19"/>
        </w:rPr>
        <w:t>Private und systemische Nutzen werden von unterschiedlichen Parteien finanziert. Beispiel: Ein Unternehmen zahlt für seine Energie- und Materialeinsparung; ein regionaler Fonds vergütet nachgewiesene Qualifizierung und Lieferantenentwicklung; eine öffentliche Stelle finanziert offene Standards oder regionalen Resilienzgewinn.</w:t>
      </w:r>
    </w:p>
    <w:p>
      <w:pPr>
        <w:pStyle w:val="BodyText"/>
        <w:widowControl/>
        <w:spacing w:after="110" w:line="278" w:lineRule="auto"/>
        <w:ind w:firstLine="255"/>
      </w:pPr>
      <w:r>
        <w:rPr>
          <w:rFonts w:ascii="Inter" w:hAnsi="Inter" w:eastAsia="Inter"/>
          <w:color w:val="182026"/>
          <w:sz w:val="19"/>
        </w:rPr>
        <w:t>Das Modell eignet sich, wenn Nutzen verteilt ist und positive externe Effekte sonst unterfinanziert würden. Es erfordert eine klare Nutzenkarte, getrennte Zahlungslogiken und Schutz vor Doppelvergütung.</w:t>
      </w:r>
    </w:p>
    <w:p>
      <w:pPr>
        <w:pStyle w:val="Heading2"/>
        <w:widowControl/>
      </w:pPr>
      <w:r>
        <w:t>8.9 Modell 8: Dreikomponentenvertrag</w:t>
      </w:r>
    </w:p>
    <w:p>
      <w:pPr>
        <w:pStyle w:val="BodyText"/>
        <w:widowControl/>
        <w:spacing w:after="110" w:line="278" w:lineRule="auto"/>
        <w:ind w:firstLine="255"/>
      </w:pPr>
      <w:r>
        <w:rPr>
          <w:rFonts w:ascii="Inter" w:hAnsi="Inter" w:eastAsia="Inter"/>
          <w:color w:val="182026"/>
          <w:sz w:val="19"/>
        </w:rPr>
        <w:t>Das umfassendste WVP-Modell kombiniert:</w:t>
      </w:r>
    </w:p>
    <w:p>
      <w:pPr>
        <w:pStyle w:val="ListBullet"/>
        <w:widowControl/>
        <w:spacing w:after="50" w:line="259" w:lineRule="auto"/>
        <w:ind w:left="369" w:hanging="170"/>
      </w:pPr>
      <w:r>
        <w:rPr>
          <w:rFonts w:ascii="Inter" w:hAnsi="Inter" w:eastAsia="Inter"/>
          <w:color w:val="182026"/>
          <w:sz w:val="18"/>
        </w:rPr>
        <w:t>feste Basisvergütung,</w:t>
      </w:r>
    </w:p>
    <w:p>
      <w:pPr>
        <w:pStyle w:val="ListBullet"/>
        <w:widowControl/>
        <w:spacing w:after="50" w:line="259" w:lineRule="auto"/>
        <w:ind w:left="369" w:hanging="170"/>
      </w:pPr>
      <w:r>
        <w:rPr>
          <w:rFonts w:ascii="Inter" w:hAnsi="Inter" w:eastAsia="Inter"/>
          <w:color w:val="182026"/>
          <w:sz w:val="18"/>
        </w:rPr>
        <w:t>kundenwertbezogenen Erfolgsanteil,</w:t>
      </w:r>
    </w:p>
    <w:p>
      <w:pPr>
        <w:pStyle w:val="ListBullet"/>
        <w:widowControl/>
        <w:spacing w:after="50" w:line="259" w:lineRule="auto"/>
        <w:ind w:left="369" w:hanging="170"/>
      </w:pPr>
      <w:r>
        <w:rPr>
          <w:rFonts w:ascii="Inter" w:hAnsi="Inter" w:eastAsia="Inter"/>
          <w:color w:val="182026"/>
          <w:sz w:val="18"/>
        </w:rPr>
        <w:t>separat finanzierte Wirkungskomponente.</w:t>
      </w:r>
    </w:p>
    <w:p>
      <w:pPr>
        <w:pStyle w:val="BodyText"/>
        <w:widowControl/>
        <w:spacing w:after="110" w:line="278" w:lineRule="auto"/>
        <w:ind w:firstLine="255"/>
      </w:pPr>
      <w:r>
        <w:rPr>
          <w:rFonts w:ascii="Inter" w:hAnsi="Inter" w:eastAsia="Inter"/>
          <w:color w:val="182026"/>
          <w:sz w:val="19"/>
        </w:rPr>
        <w:t>Es ist für größere Transformationsprojekte geeignet, aber nicht der Standard für jedes Mandat. Die Komplexität muss durch den erwarteten Nutzen gerechtfertigt sein.</w:t>
      </w:r>
    </w:p>
    <w:p>
      <w:pPr>
        <w:pStyle w:val="Heading2"/>
        <w:widowControl/>
      </w:pPr>
      <w:r>
        <w:t>8.10 Vergleich der Modelle</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800"/>
            <w:shd w:fill="163F3D"/>
            <w:tcMar>
              <w:top w:w="100" w:type="dxa"/>
              <w:start w:w="100" w:type="dxa"/>
              <w:bottom w:w="100" w:type="dxa"/>
              <w:end w:w="100" w:type="dxa"/>
            </w:tcMar>
          </w:tcPr>
          <w:p>
            <w:pPr>
              <w:widowControl/>
              <w:jc w:val="left"/>
            </w:pPr>
            <w:r>
              <w:rPr>
                <w:rFonts w:ascii="Inter" w:hAnsi="Inter" w:eastAsia="Inter"/>
                <w:b/>
                <w:color w:val="FFFFFF"/>
                <w:sz w:val="14"/>
              </w:rPr>
              <w:t>Modell</w:t>
            </w:r>
          </w:p>
        </w:tc>
        <w:tc>
          <w:tcPr>
            <w:tcW w:type="dxa" w:w="1800"/>
            <w:shd w:fill="163F3D"/>
            <w:tcMar>
              <w:top w:w="100" w:type="dxa"/>
              <w:start w:w="100" w:type="dxa"/>
              <w:bottom w:w="100" w:type="dxa"/>
              <w:end w:w="100" w:type="dxa"/>
            </w:tcMar>
          </w:tcPr>
          <w:p>
            <w:pPr>
              <w:widowControl/>
              <w:jc w:val="left"/>
            </w:pPr>
            <w:r>
              <w:rPr>
                <w:rFonts w:ascii="Inter" w:hAnsi="Inter" w:eastAsia="Inter"/>
                <w:b/>
                <w:color w:val="FFFFFF"/>
                <w:sz w:val="14"/>
              </w:rPr>
              <w:t>Messbarkeit / Zurechnung</w:t>
            </w:r>
          </w:p>
        </w:tc>
        <w:tc>
          <w:tcPr>
            <w:tcW w:type="dxa" w:w="1655"/>
            <w:shd w:fill="163F3D"/>
            <w:tcMar>
              <w:top w:w="100" w:type="dxa"/>
              <w:start w:w="100" w:type="dxa"/>
              <w:bottom w:w="100" w:type="dxa"/>
              <w:end w:w="100" w:type="dxa"/>
            </w:tcMar>
          </w:tcPr>
          <w:p>
            <w:pPr>
              <w:widowControl/>
              <w:jc w:val="left"/>
            </w:pPr>
            <w:r>
              <w:rPr>
                <w:rFonts w:ascii="Inter" w:hAnsi="Inter" w:eastAsia="Inter"/>
                <w:b/>
                <w:color w:val="FFFFFF"/>
                <w:sz w:val="14"/>
              </w:rPr>
              <w:t>Risikoverteilung</w:t>
            </w:r>
          </w:p>
        </w:tc>
        <w:tc>
          <w:tcPr>
            <w:tcW w:type="dxa" w:w="2088"/>
            <w:shd w:fill="163F3D"/>
            <w:tcMar>
              <w:top w:w="100" w:type="dxa"/>
              <w:start w:w="100" w:type="dxa"/>
              <w:bottom w:w="100" w:type="dxa"/>
              <w:end w:w="100" w:type="dxa"/>
            </w:tcMar>
          </w:tcPr>
          <w:p>
            <w:pPr>
              <w:widowControl/>
              <w:jc w:val="left"/>
            </w:pPr>
            <w:r>
              <w:rPr>
                <w:rFonts w:ascii="Inter" w:hAnsi="Inter" w:eastAsia="Inter"/>
                <w:b/>
                <w:color w:val="FFFFFF"/>
                <w:sz w:val="14"/>
              </w:rPr>
              <w:t>Geeignet für</w:t>
            </w:r>
          </w:p>
        </w:tc>
        <w:tc>
          <w:tcPr>
            <w:tcW w:type="dxa" w:w="2088"/>
            <w:shd w:fill="163F3D"/>
            <w:tcMar>
              <w:top w:w="100" w:type="dxa"/>
              <w:start w:w="100" w:type="dxa"/>
              <w:bottom w:w="100" w:type="dxa"/>
              <w:end w:w="100" w:type="dxa"/>
            </w:tcMar>
          </w:tcPr>
          <w:p>
            <w:pPr>
              <w:widowControl/>
              <w:jc w:val="left"/>
            </w:pPr>
            <w:r>
              <w:rPr>
                <w:rFonts w:ascii="Inter" w:hAnsi="Inter" w:eastAsia="Inter"/>
                <w:b/>
                <w:color w:val="FFFFFF"/>
                <w:sz w:val="14"/>
              </w:rPr>
              <w:t>Hauptrisiko</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Wertbegründeter Festpreis</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mittel / gering</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Anbieter trägt Ausführungsrisiko</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klarer Scope, schwer zurechenbarer Outcome</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Wert bleibt unüberprüft</w:t>
            </w:r>
          </w:p>
        </w:tc>
      </w:tr>
      <w:tr>
        <w:trPr>
          <w:cantSplit/>
        </w:trPr>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Basis + Meilenstein</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Output und frühe Outcomes gut messbar</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geteilt</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lange Projekte, Pilotierung</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Meilenstein ersetzt Endwirkung</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Shared Savings</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hoch / hoch</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geteilt, cap-basiert</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klare Einsparungen</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Kostenreduktion auf Kosten der Qualität</w:t>
            </w:r>
          </w:p>
        </w:tc>
      </w:tr>
      <w:tr>
        <w:trPr>
          <w:cantSplit/>
        </w:trPr>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Risikoreduktion</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mittel, modellabhängig</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geteilt</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Security, Resilienz, Compliance</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Unterberichterstattung und Modellrisiko</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Retainer + Review</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wechselnd</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Kunde trägt Nutzung, Anbieter Fähigkeit</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laufende Partnerschaft</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unklare Wertentwicklung</w:t>
            </w:r>
          </w:p>
        </w:tc>
      </w:tr>
      <w:tr>
        <w:trPr>
          <w:cantSplit/>
        </w:trPr>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Outcome-Vertrag</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hoch / ausreichend</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stärker beim Anbieter</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steuerbarer Outcome</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Cream Skimming, externe Schocks</w:t>
            </w:r>
          </w:p>
        </w:tc>
      </w:tr>
      <w:tr>
        <w:trPr>
          <w:cantSplit/>
        </w:trPr>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Multi-Payer</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getrennte Nutzen messbar</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auf Nutzenempfänger verteilt</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öffentliche / verteilte Wirkung</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4"/>
              </w:rPr>
              <w:t>Doppelvergütung und Governance</w:t>
            </w:r>
          </w:p>
        </w:tc>
      </w:tr>
      <w:tr>
        <w:trPr>
          <w:cantSplit/>
        </w:trPr>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Dreikomponentenmodell</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hoch und differenziert</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gezielt verteilt</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große Transformation</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4"/>
              </w:rPr>
              <w:t>Komplexität und Messkosten</w:t>
            </w:r>
          </w:p>
        </w:tc>
      </w:tr>
    </w:tbl>
    <w:p>
      <w:pPr>
        <w:widowControl/>
        <w:spacing w:after="0"/>
      </w:pPr>
    </w:p>
    <w:p>
      <w:pPr>
        <w:pStyle w:val="Heading2"/>
        <w:widowControl/>
      </w:pPr>
      <w:r>
        <w:t>8.11 Vertragsprinzipien</w:t>
      </w:r>
    </w:p>
    <w:p>
      <w:pPr>
        <w:pStyle w:val="BodyText"/>
        <w:widowControl/>
        <w:spacing w:after="110" w:line="278" w:lineRule="auto"/>
        <w:ind w:firstLine="255"/>
      </w:pPr>
      <w:r>
        <w:rPr>
          <w:rFonts w:ascii="Inter" w:hAnsi="Inter" w:eastAsia="Inter"/>
          <w:color w:val="182026"/>
          <w:sz w:val="19"/>
        </w:rPr>
        <w:t>Unabhängig vom Modell gelten folgende Grundsätze:</w:t>
      </w:r>
    </w:p>
    <w:p>
      <w:pPr>
        <w:pStyle w:val="ListBullet"/>
        <w:widowControl/>
        <w:spacing w:after="50" w:line="259" w:lineRule="auto"/>
        <w:ind w:left="369" w:hanging="170"/>
      </w:pPr>
      <w:r>
        <w:rPr>
          <w:rFonts w:ascii="Inter" w:hAnsi="Inter" w:eastAsia="Inter"/>
          <w:color w:val="182026"/>
          <w:sz w:val="18"/>
        </w:rPr>
        <w:t>Klarer Leistungs- und Wirkungsgegenstand,</w:t>
      </w:r>
    </w:p>
    <w:p>
      <w:pPr>
        <w:pStyle w:val="ListBullet"/>
        <w:widowControl/>
        <w:spacing w:after="50" w:line="259" w:lineRule="auto"/>
        <w:ind w:left="369" w:hanging="170"/>
      </w:pPr>
      <w:r>
        <w:rPr>
          <w:rFonts w:ascii="Inter" w:hAnsi="Inter" w:eastAsia="Inter"/>
          <w:color w:val="182026"/>
          <w:sz w:val="18"/>
        </w:rPr>
        <w:t>dokumentierte Baseline und Alternative,</w:t>
      </w:r>
    </w:p>
    <w:p>
      <w:pPr>
        <w:pStyle w:val="ListBullet"/>
        <w:widowControl/>
        <w:spacing w:after="50" w:line="259" w:lineRule="auto"/>
        <w:ind w:left="369" w:hanging="170"/>
      </w:pPr>
      <w:r>
        <w:rPr>
          <w:rFonts w:ascii="Inter" w:hAnsi="Inter" w:eastAsia="Inter"/>
          <w:color w:val="182026"/>
          <w:sz w:val="18"/>
        </w:rPr>
        <w:t>getrennte Definition von Output, Outcome, Kundenwert und Wirkung,</w:t>
      </w:r>
    </w:p>
    <w:p>
      <w:pPr>
        <w:pStyle w:val="ListBullet"/>
        <w:widowControl/>
        <w:spacing w:after="50" w:line="259" w:lineRule="auto"/>
        <w:ind w:left="369" w:hanging="170"/>
      </w:pPr>
      <w:r>
        <w:rPr>
          <w:rFonts w:ascii="Inter" w:hAnsi="Inter" w:eastAsia="Inter"/>
          <w:color w:val="182026"/>
          <w:sz w:val="18"/>
        </w:rPr>
        <w:t>angemessene Mitwirkungspflichten des Kunden,</w:t>
      </w:r>
    </w:p>
    <w:p>
      <w:pPr>
        <w:pStyle w:val="ListBullet"/>
        <w:widowControl/>
        <w:spacing w:after="50" w:line="259" w:lineRule="auto"/>
        <w:ind w:left="369" w:hanging="170"/>
      </w:pPr>
      <w:r>
        <w:rPr>
          <w:rFonts w:ascii="Inter" w:hAnsi="Inter" w:eastAsia="Inter"/>
          <w:color w:val="182026"/>
          <w:sz w:val="18"/>
        </w:rPr>
        <w:t>variable Vergütung nur für steuerbare und nachweisbare Ergebnisse,</w:t>
      </w:r>
    </w:p>
    <w:p>
      <w:pPr>
        <w:pStyle w:val="ListBullet"/>
        <w:widowControl/>
        <w:spacing w:after="50" w:line="259" w:lineRule="auto"/>
        <w:ind w:left="369" w:hanging="170"/>
      </w:pPr>
      <w:r>
        <w:rPr>
          <w:rFonts w:ascii="Inter" w:hAnsi="Inter" w:eastAsia="Inter"/>
          <w:color w:val="182026"/>
          <w:sz w:val="18"/>
        </w:rPr>
        <w:t>Schutz-Gate und Nichtkompensation,</w:t>
      </w:r>
    </w:p>
    <w:p>
      <w:pPr>
        <w:pStyle w:val="ListBullet"/>
        <w:widowControl/>
        <w:spacing w:after="50" w:line="259" w:lineRule="auto"/>
        <w:ind w:left="369" w:hanging="170"/>
      </w:pPr>
      <w:r>
        <w:rPr>
          <w:rFonts w:ascii="Inter" w:hAnsi="Inter" w:eastAsia="Inter"/>
          <w:color w:val="182026"/>
          <w:sz w:val="18"/>
        </w:rPr>
        <w:t>faire Risikoverteilung und Haftungsbegrenzung,</w:t>
      </w:r>
    </w:p>
    <w:p>
      <w:pPr>
        <w:pStyle w:val="ListBullet"/>
        <w:widowControl/>
        <w:spacing w:after="50" w:line="259" w:lineRule="auto"/>
        <w:ind w:left="369" w:hanging="170"/>
      </w:pPr>
      <w:r>
        <w:rPr>
          <w:rFonts w:ascii="Inter" w:hAnsi="Inter" w:eastAsia="Inter"/>
          <w:color w:val="182026"/>
          <w:sz w:val="18"/>
        </w:rPr>
        <w:t>Datenminimierung, Datenschutz und Zugriffsrechte,</w:t>
      </w:r>
    </w:p>
    <w:p>
      <w:pPr>
        <w:pStyle w:val="ListBullet"/>
        <w:widowControl/>
        <w:spacing w:after="50" w:line="259" w:lineRule="auto"/>
        <w:ind w:left="369" w:hanging="170"/>
      </w:pPr>
      <w:r>
        <w:rPr>
          <w:rFonts w:ascii="Inter" w:hAnsi="Inter" w:eastAsia="Inter"/>
          <w:color w:val="182026"/>
          <w:sz w:val="18"/>
        </w:rPr>
        <w:t>Versionierung von Kennzahlen und Benchmarks,</w:t>
      </w:r>
    </w:p>
    <w:p>
      <w:pPr>
        <w:pStyle w:val="ListBullet"/>
        <w:widowControl/>
        <w:spacing w:after="50" w:line="259" w:lineRule="auto"/>
        <w:ind w:left="369" w:hanging="170"/>
      </w:pPr>
      <w:r>
        <w:rPr>
          <w:rFonts w:ascii="Inter" w:hAnsi="Inter" w:eastAsia="Inter"/>
          <w:color w:val="182026"/>
          <w:sz w:val="18"/>
        </w:rPr>
        <w:t>Review, Korrektur und Lernschleife,</w:t>
      </w:r>
    </w:p>
    <w:p>
      <w:pPr>
        <w:pStyle w:val="ListBullet"/>
        <w:widowControl/>
        <w:spacing w:after="50" w:line="259" w:lineRule="auto"/>
        <w:ind w:left="369" w:hanging="170"/>
      </w:pPr>
      <w:r>
        <w:rPr>
          <w:rFonts w:ascii="Inter" w:hAnsi="Inter" w:eastAsia="Inter"/>
          <w:color w:val="182026"/>
          <w:sz w:val="18"/>
        </w:rPr>
        <w:t>verständliche Streitbeilegung.</w:t>
      </w:r>
    </w:p>
    <w:p>
      <w:pPr>
        <w:pStyle w:val="Heading2"/>
      </w:pPr>
      <w:r>
        <w:rPr>
          <w:b w:val="0"/>
          <w:i w:val="0"/>
        </w:rPr>
        <w:t>8.12 Effizienz-, Werkzeug- und KI-Klauseln</w:t>
      </w:r>
    </w:p>
    <w:p>
      <w:pPr>
        <w:pStyle w:val="BodyText"/>
      </w:pPr>
      <w:r>
        <w:rPr>
          <w:b w:val="0"/>
          <w:i w:val="0"/>
        </w:rPr>
        <w:t>Bei wissensintensiven Leistungen sollte der Vertrag klarstellen, dass der vereinbarte Preis nicht automatisch proportional zu sichtbar eingesparten Stunden sinkt. Zugleich darf der Anbieter den Einsatz automatisierter Werkzeuge nicht nutzen, um ungeprüfte Standardausgaben als individuelle Expertenleistung auszugeben.</w:t>
      </w:r>
    </w:p>
    <w:p>
      <w:pPr>
        <w:pStyle w:val="BodyText"/>
      </w:pPr>
      <w:r>
        <w:rPr>
          <w:b w:val="0"/>
          <w:i w:val="0"/>
        </w:rPr>
        <w:t>Wesentliche Regelungspunkte sind:</w:t>
      </w:r>
    </w:p>
    <w:p>
      <w:pPr>
        <w:pStyle w:val="ListBullet"/>
      </w:pPr>
      <w:r>
        <w:rPr>
          <w:b w:val="0"/>
          <w:i w:val="0"/>
        </w:rPr>
        <w:t>Leistungs- und Qualitätsversprechen statt einer bloßen Stundenmenge,</w:t>
      </w:r>
    </w:p>
    <w:p>
      <w:pPr>
        <w:pStyle w:val="ListBullet"/>
      </w:pPr>
      <w:r>
        <w:rPr>
          <w:b w:val="0"/>
          <w:i w:val="0"/>
        </w:rPr>
        <w:t>Offenlegung des KI-Einsatzes, soweit Datenschutz, Rechte, Sicherheit, Haftung oder zugesagte menschliche Expertise betroffen sind,</w:t>
      </w:r>
    </w:p>
    <w:p>
      <w:pPr>
        <w:pStyle w:val="ListBullet"/>
      </w:pPr>
      <w:r>
        <w:rPr>
          <w:b w:val="0"/>
          <w:i w:val="0"/>
        </w:rPr>
        <w:t>menschliche Prüfung und Verantwortungsübernahme,</w:t>
      </w:r>
    </w:p>
    <w:p>
      <w:pPr>
        <w:pStyle w:val="ListBullet"/>
      </w:pPr>
      <w:r>
        <w:rPr>
          <w:b w:val="0"/>
          <w:i w:val="0"/>
        </w:rPr>
        <w:t>Nutzungsrechte an Ergebnissen, Methoden, Daten und wiederverwendbaren Bausteinen,</w:t>
      </w:r>
    </w:p>
    <w:p>
      <w:pPr>
        <w:pStyle w:val="ListBullet"/>
      </w:pPr>
      <w:r>
        <w:rPr>
          <w:b w:val="0"/>
          <w:i w:val="0"/>
        </w:rPr>
        <w:t>Regeln für Fehler, Nacharbeit, Vertraulichkeit und Modellwechsel,</w:t>
      </w:r>
    </w:p>
    <w:p>
      <w:pPr>
        <w:pStyle w:val="ListBullet"/>
      </w:pPr>
      <w:r>
        <w:rPr>
          <w:b w:val="0"/>
          <w:i w:val="0"/>
        </w:rPr>
        <w:t>eine nachvollziehbare, aber nicht zwingend vollständig offene Teilung von Produktivitätsgewinnen.</w:t>
      </w:r>
    </w:p>
    <w:p>
      <w:pPr>
        <w:pStyle w:val="Heading1"/>
        <w:widowControl/>
        <w:pBdr>
          <w:bottom w:val="single" w:sz="10" w:space="6" w:color="C99A43"/>
        </w:pBdr>
      </w:pPr>
      <w:r>
        <w:t>9 Der WVP-Prozess von der Akquise bis zur Wirkungskontrolle</w:t>
      </w:r>
    </w:p>
    <w:p>
      <w:pPr>
        <w:pStyle w:val="Heading2"/>
        <w:widowControl/>
      </w:pPr>
      <w:r>
        <w:t>9.1 Grundprinzip: Preisfindung ist ein Lernprozess</w:t>
      </w:r>
    </w:p>
    <w:p>
      <w:pPr>
        <w:pStyle w:val="BodyText"/>
        <w:widowControl/>
        <w:spacing w:after="110" w:line="278" w:lineRule="auto"/>
        <w:ind w:firstLine="255"/>
      </w:pPr>
      <w:r>
        <w:rPr>
          <w:rFonts w:ascii="Inter" w:hAnsi="Inter" w:eastAsia="Inter"/>
          <w:color w:val="182026"/>
          <w:sz w:val="19"/>
        </w:rPr>
        <w:t>WVP beginnt nicht mit einer fertigen Zahl. Es beginnt mit einer gemeinsamen Hypothese über Wert und Wirkung. Diese Hypothese wird vor Vertragsschluss so weit konkretisiert, dass Preis, Scope und Risiko verantwortbar sind. Während der Leistung wird sie geprüft. Nach der Leistung wird sie verifiziert und für zukünftige Angebote genutzt.</w:t>
      </w:r>
    </w:p>
    <w:p>
      <w:pPr>
        <w:pStyle w:val="BodyText"/>
        <w:widowControl/>
        <w:spacing w:after="110" w:line="278" w:lineRule="auto"/>
        <w:ind w:firstLine="255"/>
      </w:pPr>
      <w:r>
        <w:rPr>
          <w:rFonts w:ascii="Inter" w:hAnsi="Inter" w:eastAsia="Inter"/>
          <w:color w:val="182026"/>
          <w:sz w:val="19"/>
        </w:rPr>
        <w:t>Der Prozess umfasst neun Schritte.</w:t>
      </w:r>
    </w:p>
    <w:p>
      <w:pPr>
        <w:widowControl/>
        <w:spacing w:before="100" w:after="40"/>
        <w:jc w:val="center"/>
      </w:pPr>
      <w:r>
        <w:drawing>
          <wp:inline xmlns:a="http://schemas.openxmlformats.org/drawingml/2006/main" xmlns:pic="http://schemas.openxmlformats.org/drawingml/2006/picture">
            <wp:extent cx="6080760" cy="3674089"/>
            <wp:docPr id="8" name="Picture 8" descr="Abbildung 7: Neun Schritte verbinden Wertentdeckung, Preisfindung, Lieferung, Verifikation und Lernen." title="Abbildung 7: Neun Schritte verbinden Wertentdeckung, Preisfindung, Lieferung, Verifikation und Lernen."/>
            <wp:cNvGraphicFramePr>
              <a:graphicFrameLocks noChangeAspect="1"/>
            </wp:cNvGraphicFramePr>
            <a:graphic>
              <a:graphicData uri="http://schemas.openxmlformats.org/drawingml/2006/picture">
                <pic:pic>
                  <pic:nvPicPr>
                    <pic:cNvPr id="0" name="fig_process_model.png"/>
                    <pic:cNvPicPr/>
                  </pic:nvPicPr>
                  <pic:blipFill>
                    <a:blip r:embed="rId18"/>
                    <a:stretch>
                      <a:fillRect/>
                    </a:stretch>
                  </pic:blipFill>
                  <pic:spPr>
                    <a:xfrm>
                      <a:off x="0" y="0"/>
                      <a:ext cx="6080760" cy="3674089"/>
                    </a:xfrm>
                    <a:prstGeom prst="rect"/>
                  </pic:spPr>
                </pic:pic>
              </a:graphicData>
            </a:graphic>
          </wp:inline>
        </w:drawing>
      </w:r>
    </w:p>
    <w:p>
      <w:pPr>
        <w:widowControl/>
        <w:spacing w:after="160"/>
        <w:jc w:val="center"/>
      </w:pPr>
      <w:r>
        <w:rPr>
          <w:rFonts w:ascii="Inter" w:hAnsi="Inter" w:eastAsia="Inter"/>
          <w:i/>
          <w:color w:val="5B6670"/>
          <w:sz w:val="16"/>
        </w:rPr>
        <w:t>Abbildung 7: Neun Schritte verbinden Wertentdeckung, Preisfindung, Lieferung, Verifikation und Lernen.</w:t>
      </w:r>
    </w:p>
    <w:p>
      <w:pPr>
        <w:pStyle w:val="Heading2"/>
        <w:widowControl/>
      </w:pPr>
      <w:r>
        <w:t>9.2 Schritt 1: Wirkungs- und Wertgegenstand definieren</w:t>
      </w:r>
    </w:p>
    <w:p>
      <w:pPr>
        <w:pStyle w:val="BodyText"/>
        <w:widowControl/>
        <w:spacing w:after="110" w:line="278" w:lineRule="auto"/>
        <w:ind w:firstLine="255"/>
      </w:pPr>
      <w:r>
        <w:rPr>
          <w:rFonts w:ascii="Inter" w:hAnsi="Inter" w:eastAsia="Inter"/>
          <w:color w:val="182026"/>
          <w:sz w:val="19"/>
        </w:rPr>
        <w:t>Anbieter und Kunde formulieren die gewünschte Zustandsveränderung, nicht nur die Leistungsliste. Ein guter Gegenstand ist:</w:t>
      </w:r>
    </w:p>
    <w:p>
      <w:pPr>
        <w:pStyle w:val="ListBullet"/>
        <w:widowControl/>
        <w:spacing w:after="50" w:line="259" w:lineRule="auto"/>
        <w:ind w:left="369" w:hanging="170"/>
      </w:pPr>
      <w:r>
        <w:rPr>
          <w:rFonts w:ascii="Inter" w:hAnsi="Inter" w:eastAsia="Inter"/>
          <w:color w:val="182026"/>
          <w:sz w:val="18"/>
        </w:rPr>
        <w:t>entscheidungsrelevant,</w:t>
      </w:r>
    </w:p>
    <w:p>
      <w:pPr>
        <w:pStyle w:val="ListBullet"/>
        <w:widowControl/>
        <w:spacing w:after="50" w:line="259" w:lineRule="auto"/>
        <w:ind w:left="369" w:hanging="170"/>
      </w:pPr>
      <w:r>
        <w:rPr>
          <w:rFonts w:ascii="Inter" w:hAnsi="Inter" w:eastAsia="Inter"/>
          <w:color w:val="182026"/>
          <w:sz w:val="18"/>
        </w:rPr>
        <w:t>zeitlich und organisatorisch abgegrenzt,</w:t>
      </w:r>
    </w:p>
    <w:p>
      <w:pPr>
        <w:pStyle w:val="ListBullet"/>
        <w:widowControl/>
        <w:spacing w:after="50" w:line="259" w:lineRule="auto"/>
        <w:ind w:left="369" w:hanging="170"/>
      </w:pPr>
      <w:r>
        <w:rPr>
          <w:rFonts w:ascii="Inter" w:hAnsi="Inter" w:eastAsia="Inter"/>
          <w:color w:val="182026"/>
          <w:sz w:val="18"/>
        </w:rPr>
        <w:t>mit einer verantwortbaren Systemgrenze versehen,</w:t>
      </w:r>
    </w:p>
    <w:p>
      <w:pPr>
        <w:pStyle w:val="ListBullet"/>
        <w:widowControl/>
        <w:spacing w:after="50" w:line="259" w:lineRule="auto"/>
        <w:ind w:left="369" w:hanging="170"/>
      </w:pPr>
      <w:r>
        <w:rPr>
          <w:rFonts w:ascii="Inter" w:hAnsi="Inter" w:eastAsia="Inter"/>
          <w:color w:val="182026"/>
          <w:sz w:val="18"/>
        </w:rPr>
        <w:t>weder zu eng als Output noch zu weit als Gesamtunternehmenswirkung formuliert.</w:t>
      </w:r>
    </w:p>
    <w:p>
      <w:pPr>
        <w:pStyle w:val="BodyText"/>
        <w:widowControl/>
        <w:spacing w:after="110" w:line="278" w:lineRule="auto"/>
        <w:ind w:firstLine="255"/>
      </w:pPr>
      <w:r>
        <w:rPr>
          <w:rFonts w:ascii="Inter" w:hAnsi="Inter" w:eastAsia="Inter"/>
          <w:color w:val="182026"/>
          <w:sz w:val="19"/>
        </w:rPr>
        <w:t>Beispiel: „Die durchschnittliche Freigabezeit für definierte Produktänderungen soll sinken, ohne Qualitäts-, Arbeits- oder Sicherheitsstandards zu verschlechtern.“</w:t>
      </w:r>
    </w:p>
    <w:p>
      <w:pPr>
        <w:pStyle w:val="Heading2"/>
        <w:widowControl/>
      </w:pPr>
      <w:r>
        <w:t>9.3 Schritt 2: Baseline und Alternative festlegen</w:t>
      </w:r>
    </w:p>
    <w:p>
      <w:pPr>
        <w:pStyle w:val="BodyText"/>
        <w:widowControl/>
        <w:spacing w:after="110" w:line="278" w:lineRule="auto"/>
        <w:ind w:firstLine="255"/>
      </w:pPr>
      <w:r>
        <w:rPr>
          <w:rFonts w:ascii="Inter" w:hAnsi="Inter" w:eastAsia="Inter"/>
          <w:color w:val="182026"/>
          <w:sz w:val="19"/>
        </w:rPr>
        <w:t>Der Ausgangszustand wird mit vorhandenen Daten, Interviews, Beobachtung oder Stichprobe beschrieben. Die Alternative wird gemeinsam gewählt. Annahmen werden versioniert. Bei geringer Datenqualität wird zunächst eine Discovery-Phase beauftragt, statt einen scheinpräzisen Erfolgsvertrag abzuschließen.</w:t>
      </w:r>
    </w:p>
    <w:p>
      <w:pPr>
        <w:pStyle w:val="Heading2"/>
        <w:widowControl/>
      </w:pPr>
      <w:r>
        <w:t>9.4 Schritt 3: Wert- und Wirkungspfade entwerfen</w:t>
      </w:r>
    </w:p>
    <w:p>
      <w:pPr>
        <w:pStyle w:val="BodyText"/>
        <w:widowControl/>
        <w:spacing w:after="110" w:line="278" w:lineRule="auto"/>
        <w:ind w:firstLine="255"/>
      </w:pPr>
      <w:r>
        <w:rPr>
          <w:rFonts w:ascii="Inter" w:hAnsi="Inter" w:eastAsia="Inter"/>
          <w:color w:val="182026"/>
          <w:sz w:val="19"/>
        </w:rPr>
        <w:t>Für jede wesentliche Veränderung wird ein Pfad modelliert. Wertpfade zeigen den wirtschaftlichen Nutzen für den Kunden. Wirkungspfade zeigen Folgen für weitere Wirkungsempfänger und Systembedingungen. Beide werden auf Überschneidungen und Widersprüche geprüft.</w:t>
      </w:r>
    </w:p>
    <w:p>
      <w:pPr>
        <w:pStyle w:val="BodyText"/>
        <w:widowControl/>
        <w:spacing w:after="110" w:line="278" w:lineRule="auto"/>
        <w:ind w:firstLine="255"/>
      </w:pPr>
      <w:r>
        <w:rPr>
          <w:rFonts w:ascii="Inter" w:hAnsi="Inter" w:eastAsia="Inter"/>
          <w:color w:val="182026"/>
          <w:sz w:val="19"/>
        </w:rPr>
        <w:t>Ein einfaches Format lautet:</w:t>
      </w:r>
    </w:p>
    <w:p>
      <w:pPr>
        <w:spacing w:before="120" w:after="140"/>
        <w:ind w:left="340" w:right="227"/>
        <w:shd w:fill="DDEDEA"/>
        <w:widowControl/>
        <w:pBdr>
          <w:left w:val="single" w:sz="8" w:space="4" w:color="163F3D"/>
        </w:pBdr>
      </w:pPr>
      <w:r>
        <w:rPr>
          <w:rFonts w:ascii="Inter" w:hAnsi="Inter" w:eastAsia="Inter"/>
          <w:color w:val="163F3D"/>
          <w:sz w:val="20"/>
        </w:rPr>
        <w:t>Wenn wir X tun, verändert sich Y bei Zielgruppe Z, weil Mechanismus M wirkt. Dies erzeugt Kundenwert V und kann Wirkung W auslösen. Kritische Nebenwirkungen sind N. Nachweis erfolgt über Daten D im Zeitraum T.</w:t>
      </w:r>
    </w:p>
    <w:p>
      <w:pPr>
        <w:pStyle w:val="Heading2"/>
        <w:widowControl/>
      </w:pPr>
      <w:r>
        <w:t>9.5 Schritt 4: Mess- und Evidenzplan vereinbaren</w:t>
      </w:r>
    </w:p>
    <w:p>
      <w:pPr>
        <w:pStyle w:val="BodyText"/>
        <w:widowControl/>
        <w:spacing w:after="110" w:line="278" w:lineRule="auto"/>
        <w:ind w:firstLine="255"/>
      </w:pPr>
      <w:r>
        <w:rPr>
          <w:rFonts w:ascii="Inter" w:hAnsi="Inter" w:eastAsia="Inter"/>
          <w:color w:val="182026"/>
          <w:sz w:val="19"/>
        </w:rPr>
        <w:t>Der Plan legt fest:</w:t>
      </w:r>
    </w:p>
    <w:p>
      <w:pPr>
        <w:pStyle w:val="ListBullet"/>
        <w:widowControl/>
        <w:spacing w:after="50" w:line="259" w:lineRule="auto"/>
        <w:ind w:left="369" w:hanging="170"/>
      </w:pPr>
      <w:r>
        <w:rPr>
          <w:rFonts w:ascii="Inter" w:hAnsi="Inter" w:eastAsia="Inter"/>
          <w:color w:val="182026"/>
          <w:sz w:val="18"/>
        </w:rPr>
        <w:t>Indikatoren und Einheiten,</w:t>
      </w:r>
    </w:p>
    <w:p>
      <w:pPr>
        <w:pStyle w:val="ListBullet"/>
        <w:widowControl/>
        <w:spacing w:after="50" w:line="259" w:lineRule="auto"/>
        <w:ind w:left="369" w:hanging="170"/>
      </w:pPr>
      <w:r>
        <w:rPr>
          <w:rFonts w:ascii="Inter" w:hAnsi="Inter" w:eastAsia="Inter"/>
          <w:color w:val="182026"/>
          <w:sz w:val="18"/>
        </w:rPr>
        <w:t>Baseline und Messfrequenz,</w:t>
      </w:r>
    </w:p>
    <w:p>
      <w:pPr>
        <w:pStyle w:val="ListBullet"/>
        <w:widowControl/>
        <w:spacing w:after="50" w:line="259" w:lineRule="auto"/>
        <w:ind w:left="369" w:hanging="170"/>
      </w:pPr>
      <w:r>
        <w:rPr>
          <w:rFonts w:ascii="Inter" w:hAnsi="Inter" w:eastAsia="Inter"/>
          <w:color w:val="182026"/>
          <w:sz w:val="18"/>
        </w:rPr>
        <w:t>Datenquellen und Verantwortliche,</w:t>
      </w:r>
    </w:p>
    <w:p>
      <w:pPr>
        <w:pStyle w:val="ListBullet"/>
        <w:widowControl/>
        <w:spacing w:after="50" w:line="259" w:lineRule="auto"/>
        <w:ind w:left="369" w:hanging="170"/>
      </w:pPr>
      <w:r>
        <w:rPr>
          <w:rFonts w:ascii="Inter" w:hAnsi="Inter" w:eastAsia="Inter"/>
          <w:color w:val="182026"/>
          <w:sz w:val="18"/>
        </w:rPr>
        <w:t>Qualität und Prüfstatus,</w:t>
      </w:r>
    </w:p>
    <w:p>
      <w:pPr>
        <w:pStyle w:val="ListBullet"/>
        <w:widowControl/>
        <w:spacing w:after="50" w:line="259" w:lineRule="auto"/>
        <w:ind w:left="369" w:hanging="170"/>
      </w:pPr>
      <w:r>
        <w:rPr>
          <w:rFonts w:ascii="Inter" w:hAnsi="Inter" w:eastAsia="Inter"/>
          <w:color w:val="182026"/>
          <w:sz w:val="18"/>
        </w:rPr>
        <w:t>Zurechnungsverfahren,</w:t>
      </w:r>
    </w:p>
    <w:p>
      <w:pPr>
        <w:pStyle w:val="ListBullet"/>
        <w:widowControl/>
        <w:spacing w:after="50" w:line="259" w:lineRule="auto"/>
        <w:ind w:left="369" w:hanging="170"/>
      </w:pPr>
      <w:r>
        <w:rPr>
          <w:rFonts w:ascii="Inter" w:hAnsi="Inter" w:eastAsia="Inter"/>
          <w:color w:val="182026"/>
          <w:sz w:val="18"/>
        </w:rPr>
        <w:t>Review- und Abrechnungszeitpunkte,</w:t>
      </w:r>
    </w:p>
    <w:p>
      <w:pPr>
        <w:pStyle w:val="ListBullet"/>
        <w:widowControl/>
        <w:spacing w:after="50" w:line="259" w:lineRule="auto"/>
        <w:ind w:left="369" w:hanging="170"/>
      </w:pPr>
      <w:r>
        <w:rPr>
          <w:rFonts w:ascii="Inter" w:hAnsi="Inter" w:eastAsia="Inter"/>
          <w:color w:val="182026"/>
          <w:sz w:val="18"/>
        </w:rPr>
        <w:t>Datenschutz und Löschung,</w:t>
      </w:r>
    </w:p>
    <w:p>
      <w:pPr>
        <w:pStyle w:val="ListBullet"/>
        <w:widowControl/>
        <w:spacing w:after="50" w:line="259" w:lineRule="auto"/>
        <w:ind w:left="369" w:hanging="170"/>
      </w:pPr>
      <w:r>
        <w:rPr>
          <w:rFonts w:ascii="Inter" w:hAnsi="Inter" w:eastAsia="Inter"/>
          <w:color w:val="182026"/>
          <w:sz w:val="18"/>
        </w:rPr>
        <w:t>Kosten der Messung,</w:t>
      </w:r>
    </w:p>
    <w:p>
      <w:pPr>
        <w:pStyle w:val="ListBullet"/>
        <w:widowControl/>
        <w:spacing w:after="50" w:line="259" w:lineRule="auto"/>
        <w:ind w:left="369" w:hanging="170"/>
      </w:pPr>
      <w:r>
        <w:rPr>
          <w:rFonts w:ascii="Inter" w:hAnsi="Inter" w:eastAsia="Inter"/>
          <w:color w:val="182026"/>
          <w:sz w:val="18"/>
        </w:rPr>
        <w:t>Regeln für Datenlücken und externe Ereignisse.</w:t>
      </w:r>
    </w:p>
    <w:p>
      <w:pPr>
        <w:pStyle w:val="BodyText"/>
        <w:widowControl/>
        <w:spacing w:after="110" w:line="278" w:lineRule="auto"/>
        <w:ind w:firstLine="255"/>
      </w:pPr>
      <w:r>
        <w:rPr>
          <w:rFonts w:ascii="Inter" w:hAnsi="Inter" w:eastAsia="Inter"/>
          <w:color w:val="182026"/>
          <w:sz w:val="19"/>
        </w:rPr>
        <w:t>Messung muss verhältnismäßig sein. Ein kleiner Auftrag braucht keine Auditarchitektur eines Infrastrukturprojekts. Ein hoher Erfolgsbonus darf dagegen nicht auf einer unverifizierten Excel-Schätzung beruhen.</w:t>
      </w:r>
    </w:p>
    <w:p>
      <w:pPr>
        <w:pStyle w:val="Heading2"/>
        <w:widowControl/>
      </w:pPr>
      <w:r>
        <w:t>9.6 Schritt 5: Preiskorridor bestimmen</w:t>
      </w:r>
    </w:p>
    <w:p>
      <w:pPr>
        <w:pStyle w:val="BodyText"/>
        <w:widowControl/>
        <w:spacing w:after="110" w:line="278" w:lineRule="auto"/>
        <w:ind w:firstLine="255"/>
      </w:pPr>
      <w:r>
        <w:rPr>
          <w:rFonts w:ascii="Inter" w:hAnsi="Inter" w:eastAsia="Inter"/>
          <w:color w:val="182026"/>
          <w:sz w:val="19"/>
        </w:rPr>
        <w:t>Der Anbieter kalkuliert die Untergrenze. Gemeinsam oder in transparenter Angebotslogik wird der Kundenwert als Low-, Base- und High-Case entwickelt. Der Zielpreis wird innerhalb des Korridors gesetzt. Der Kunde muss die Kalkulationskosten des Anbieters nicht vollständig kennen; er muss aber die Wertlogik und die variable Formel verstehen können.</w:t>
      </w:r>
    </w:p>
    <w:p>
      <w:pPr>
        <w:pStyle w:val="Heading2"/>
        <w:widowControl/>
      </w:pPr>
      <w:r>
        <w:t>9.7 Schritt 6: Vertragsarchitektur wählen</w:t>
      </w:r>
    </w:p>
    <w:p>
      <w:pPr>
        <w:pStyle w:val="BodyText"/>
        <w:widowControl/>
        <w:spacing w:after="110" w:line="278" w:lineRule="auto"/>
        <w:ind w:firstLine="255"/>
      </w:pPr>
      <w:r>
        <w:rPr>
          <w:rFonts w:ascii="Inter" w:hAnsi="Inter" w:eastAsia="Inter"/>
          <w:color w:val="182026"/>
          <w:sz w:val="19"/>
        </w:rPr>
        <w:t>Das passende Modell wird anhand von Messbarkeit, Zurechnung, Steuerbarkeit und Risikotragfähigkeit ausgewählt. Schutz-Gate, Caps, Floors und Mitwirkungspflichten werden integriert. Bei positiver verteilter Wirkung wird geprüft, ob weitere Nutzenempfänger an der Finanzierung beteiligt werden können.</w:t>
      </w:r>
    </w:p>
    <w:p>
      <w:pPr>
        <w:pStyle w:val="Heading2"/>
        <w:widowControl/>
      </w:pPr>
      <w:r>
        <w:t>9.8 Schritt 7: Leistung und Monitoring</w:t>
      </w:r>
    </w:p>
    <w:p>
      <w:pPr>
        <w:pStyle w:val="BodyText"/>
        <w:widowControl/>
        <w:spacing w:after="110" w:line="278" w:lineRule="auto"/>
        <w:ind w:firstLine="255"/>
      </w:pPr>
      <w:r>
        <w:rPr>
          <w:rFonts w:ascii="Inter" w:hAnsi="Inter" w:eastAsia="Inter"/>
          <w:color w:val="182026"/>
          <w:sz w:val="19"/>
        </w:rPr>
        <w:t>Während der Umsetzung werden nicht nur Stunden und Aufgaben verfolgt, sondern frühe Wert- und Wirkungsindikatoren. Monitoring dient nicht dazu, jede Handlung zu kontrollieren. Es zeigt, ob der angenommene Mechanismus trägt, ob Nebenwirkungen entstehen und ob Scope oder Messung angepasst werden müssen.</w:t>
      </w:r>
    </w:p>
    <w:p>
      <w:pPr>
        <w:pStyle w:val="BodyText"/>
        <w:widowControl/>
        <w:spacing w:after="110" w:line="278" w:lineRule="auto"/>
        <w:ind w:firstLine="255"/>
      </w:pPr>
      <w:r>
        <w:rPr>
          <w:rFonts w:ascii="Inter" w:hAnsi="Inter" w:eastAsia="Inter"/>
          <w:color w:val="182026"/>
          <w:sz w:val="19"/>
        </w:rPr>
        <w:t>Wichtige Regeln:</w:t>
      </w:r>
    </w:p>
    <w:p>
      <w:pPr>
        <w:pStyle w:val="ListBullet"/>
        <w:widowControl/>
        <w:spacing w:after="50" w:line="259" w:lineRule="auto"/>
        <w:ind w:left="369" w:hanging="170"/>
      </w:pPr>
      <w:r>
        <w:rPr>
          <w:rFonts w:ascii="Inter" w:hAnsi="Inter" w:eastAsia="Inter"/>
          <w:color w:val="182026"/>
          <w:sz w:val="18"/>
        </w:rPr>
        <w:t>Frühindikatoren dürfen Endwirkung nicht vortäuschen.</w:t>
      </w:r>
    </w:p>
    <w:p>
      <w:pPr>
        <w:pStyle w:val="BodyText"/>
        <w:widowControl/>
        <w:spacing w:after="50" w:line="259" w:lineRule="auto"/>
        <w:ind w:left="369" w:hanging="170"/>
      </w:pPr>
      <w:r>
        <w:t>Negative Signale müssen ohne Bonusverlust gemeldet werden können.</w:t>
      </w:r>
    </w:p>
    <w:p>
      <w:pPr>
        <w:pStyle w:val="ListBullet"/>
        <w:widowControl/>
        <w:spacing w:after="50" w:line="259" w:lineRule="auto"/>
        <w:ind w:left="369" w:hanging="170"/>
      </w:pPr>
      <w:r>
        <w:rPr>
          <w:rFonts w:ascii="Inter" w:hAnsi="Inter" w:eastAsia="Inter"/>
          <w:color w:val="182026"/>
          <w:sz w:val="18"/>
        </w:rPr>
        <w:t>Änderungen werden versioniert.</w:t>
      </w:r>
    </w:p>
    <w:p>
      <w:pPr>
        <w:pStyle w:val="ListBullet"/>
        <w:widowControl/>
        <w:spacing w:after="50" w:line="259" w:lineRule="auto"/>
        <w:ind w:left="369" w:hanging="170"/>
      </w:pPr>
      <w:r>
        <w:rPr>
          <w:rFonts w:ascii="Inter" w:hAnsi="Inter" w:eastAsia="Inter"/>
          <w:color w:val="182026"/>
          <w:sz w:val="18"/>
        </w:rPr>
        <w:t>Der Kunde muss vereinbarte Daten und Mitwirkung bereitstellen.</w:t>
      </w:r>
    </w:p>
    <w:p>
      <w:pPr>
        <w:pStyle w:val="ListBullet"/>
        <w:widowControl/>
        <w:spacing w:after="50" w:line="259" w:lineRule="auto"/>
        <w:ind w:left="369" w:hanging="170"/>
      </w:pPr>
      <w:r>
        <w:rPr>
          <w:rFonts w:ascii="Inter" w:hAnsi="Inter" w:eastAsia="Inter"/>
          <w:color w:val="182026"/>
          <w:sz w:val="18"/>
        </w:rPr>
        <w:t>Der Anbieter dokumentiert Abweichungen und Gegenmaßnahmen.</w:t>
      </w:r>
    </w:p>
    <w:p>
      <w:pPr>
        <w:pStyle w:val="Heading2"/>
        <w:widowControl/>
      </w:pPr>
      <w:r>
        <w:t>9.9 Schritt 8: Verifikation und Abrechnung</w:t>
      </w:r>
    </w:p>
    <w:p>
      <w:pPr>
        <w:pStyle w:val="BodyText"/>
        <w:widowControl/>
        <w:spacing w:after="110" w:line="278" w:lineRule="auto"/>
        <w:ind w:firstLine="255"/>
      </w:pPr>
      <w:r>
        <w:rPr>
          <w:rFonts w:ascii="Inter" w:hAnsi="Inter" w:eastAsia="Inter"/>
          <w:color w:val="182026"/>
          <w:sz w:val="19"/>
        </w:rPr>
        <w:t>Am Review-Punkt werden Daten zusammengeführt, alternative Erklärungen geprüft und die variable Komponente berechnet. Die Abrechnung enthält eine nachvollziehbare Brücke von Messwert zu Zahlung. Bei Streit wird nicht über die gesamte Leistung neu verhandelt, sondern über definierte Daten, Annahmen oder Zurechnungen.</w:t>
      </w:r>
    </w:p>
    <w:p>
      <w:pPr>
        <w:pStyle w:val="BodyText"/>
        <w:widowControl/>
        <w:spacing w:after="110" w:line="278" w:lineRule="auto"/>
        <w:ind w:firstLine="255"/>
      </w:pPr>
      <w:r>
        <w:rPr>
          <w:rFonts w:ascii="Inter" w:hAnsi="Inter" w:eastAsia="Inter"/>
          <w:color w:val="182026"/>
          <w:sz w:val="19"/>
        </w:rPr>
        <w:t>Ein guter Verifikationsbericht trennt:</w:t>
      </w:r>
    </w:p>
    <w:p>
      <w:pPr>
        <w:pStyle w:val="ListBullet"/>
        <w:widowControl/>
        <w:spacing w:after="50" w:line="259" w:lineRule="auto"/>
        <w:ind w:left="369" w:hanging="170"/>
      </w:pPr>
      <w:r>
        <w:rPr>
          <w:rFonts w:ascii="Inter" w:hAnsi="Inter" w:eastAsia="Inter"/>
          <w:color w:val="182026"/>
          <w:sz w:val="18"/>
        </w:rPr>
        <w:t>beobachtete Veränderung,</w:t>
      </w:r>
    </w:p>
    <w:p>
      <w:pPr>
        <w:pStyle w:val="ListBullet"/>
        <w:widowControl/>
        <w:spacing w:after="50" w:line="259" w:lineRule="auto"/>
        <w:ind w:left="369" w:hanging="170"/>
      </w:pPr>
      <w:r>
        <w:rPr>
          <w:rFonts w:ascii="Inter" w:hAnsi="Inter" w:eastAsia="Inter"/>
          <w:color w:val="182026"/>
          <w:sz w:val="18"/>
        </w:rPr>
        <w:t>geschätztes Counterfactual,</w:t>
      </w:r>
    </w:p>
    <w:p>
      <w:pPr>
        <w:pStyle w:val="ListBullet"/>
        <w:widowControl/>
        <w:spacing w:after="50" w:line="259" w:lineRule="auto"/>
        <w:ind w:left="369" w:hanging="170"/>
      </w:pPr>
      <w:r>
        <w:rPr>
          <w:rFonts w:ascii="Inter" w:hAnsi="Inter" w:eastAsia="Inter"/>
          <w:color w:val="182026"/>
          <w:sz w:val="18"/>
        </w:rPr>
        <w:t>Anbieterbeitrag,</w:t>
      </w:r>
    </w:p>
    <w:p>
      <w:pPr>
        <w:pStyle w:val="ListBullet"/>
        <w:widowControl/>
        <w:spacing w:after="50" w:line="259" w:lineRule="auto"/>
        <w:ind w:left="369" w:hanging="170"/>
      </w:pPr>
      <w:r>
        <w:rPr>
          <w:rFonts w:ascii="Inter" w:hAnsi="Inter" w:eastAsia="Inter"/>
          <w:color w:val="182026"/>
          <w:sz w:val="18"/>
        </w:rPr>
        <w:t>Kundeneigenleistung,</w:t>
      </w:r>
    </w:p>
    <w:p>
      <w:pPr>
        <w:pStyle w:val="ListBullet"/>
        <w:widowControl/>
        <w:spacing w:after="50" w:line="259" w:lineRule="auto"/>
        <w:ind w:left="369" w:hanging="170"/>
      </w:pPr>
      <w:r>
        <w:rPr>
          <w:rFonts w:ascii="Inter" w:hAnsi="Inter" w:eastAsia="Inter"/>
          <w:color w:val="182026"/>
          <w:sz w:val="18"/>
        </w:rPr>
        <w:t>externe Faktoren,</w:t>
      </w:r>
    </w:p>
    <w:p>
      <w:pPr>
        <w:pStyle w:val="ListBullet"/>
        <w:widowControl/>
        <w:spacing w:after="50" w:line="259" w:lineRule="auto"/>
        <w:ind w:left="369" w:hanging="170"/>
      </w:pPr>
      <w:r>
        <w:rPr>
          <w:rFonts w:ascii="Inter" w:hAnsi="Inter" w:eastAsia="Inter"/>
          <w:color w:val="182026"/>
          <w:sz w:val="18"/>
        </w:rPr>
        <w:t>negative Effekte,</w:t>
      </w:r>
    </w:p>
    <w:p>
      <w:pPr>
        <w:pStyle w:val="ListBullet"/>
        <w:widowControl/>
        <w:spacing w:after="50" w:line="259" w:lineRule="auto"/>
        <w:ind w:left="369" w:hanging="170"/>
      </w:pPr>
      <w:r>
        <w:rPr>
          <w:rFonts w:ascii="Inter" w:hAnsi="Inter" w:eastAsia="Inter"/>
          <w:color w:val="182026"/>
          <w:sz w:val="18"/>
        </w:rPr>
        <w:t>Datenqualität,</w:t>
      </w:r>
    </w:p>
    <w:p>
      <w:pPr>
        <w:pStyle w:val="ListBullet"/>
        <w:widowControl/>
        <w:spacing w:after="50" w:line="259" w:lineRule="auto"/>
        <w:ind w:left="369" w:hanging="170"/>
      </w:pPr>
      <w:r>
        <w:rPr>
          <w:rFonts w:ascii="Inter" w:hAnsi="Inter" w:eastAsia="Inter"/>
          <w:color w:val="182026"/>
          <w:sz w:val="18"/>
        </w:rPr>
        <w:t>Zahlungsfolge.</w:t>
      </w:r>
    </w:p>
    <w:p>
      <w:pPr>
        <w:pStyle w:val="Heading2"/>
        <w:widowControl/>
      </w:pPr>
      <w:r>
        <w:t>9.10 Schritt 9: Lernen und Neujustieren</w:t>
      </w:r>
    </w:p>
    <w:p>
      <w:pPr>
        <w:pStyle w:val="BodyText"/>
        <w:widowControl/>
        <w:spacing w:after="110" w:line="278" w:lineRule="auto"/>
        <w:ind w:firstLine="255"/>
      </w:pPr>
      <w:r>
        <w:rPr>
          <w:rFonts w:ascii="Inter" w:hAnsi="Inter" w:eastAsia="Inter"/>
          <w:color w:val="182026"/>
          <w:sz w:val="19"/>
        </w:rPr>
        <w:t>WVP wird erst durch Rückkopplung wertvoll. Nach jedem Zyklus werden Wertmodelle, Indikatoren, Benchmarks, Vertragsklauseln und Preiskorridore überprüft. Das Ziel ist nicht, bei jeder Folgebeauftragung den Preis zu erhöhen. Das Ziel ist eine bessere Passung zwischen Leistung, Nutzen, Risiko und Wirkung.</w:t>
      </w:r>
    </w:p>
    <w:p>
      <w:pPr>
        <w:pStyle w:val="BodyText"/>
        <w:widowControl/>
        <w:spacing w:after="110" w:line="278" w:lineRule="auto"/>
        <w:ind w:firstLine="255"/>
      </w:pPr>
      <w:r>
        <w:rPr>
          <w:rFonts w:ascii="Inter" w:hAnsi="Inter" w:eastAsia="Inter"/>
          <w:color w:val="182026"/>
          <w:sz w:val="19"/>
        </w:rPr>
        <w:t>Lerndaten fließen in:</w:t>
      </w:r>
    </w:p>
    <w:p>
      <w:pPr>
        <w:pStyle w:val="ListBullet"/>
        <w:widowControl/>
        <w:spacing w:after="50" w:line="259" w:lineRule="auto"/>
        <w:ind w:left="369" w:hanging="170"/>
      </w:pPr>
      <w:r>
        <w:rPr>
          <w:rFonts w:ascii="Inter" w:hAnsi="Inter" w:eastAsia="Inter"/>
          <w:color w:val="182026"/>
          <w:sz w:val="18"/>
        </w:rPr>
        <w:t>Angebotsentwicklung,</w:t>
      </w:r>
    </w:p>
    <w:p>
      <w:pPr>
        <w:pStyle w:val="ListBullet"/>
        <w:widowControl/>
        <w:spacing w:after="50" w:line="259" w:lineRule="auto"/>
        <w:ind w:left="369" w:hanging="170"/>
      </w:pPr>
      <w:r>
        <w:rPr>
          <w:rFonts w:ascii="Inter" w:hAnsi="Inter" w:eastAsia="Inter"/>
          <w:color w:val="182026"/>
          <w:sz w:val="18"/>
        </w:rPr>
        <w:t>Segmentierung,</w:t>
      </w:r>
    </w:p>
    <w:p>
      <w:pPr>
        <w:pStyle w:val="ListBullet"/>
        <w:widowControl/>
        <w:spacing w:after="50" w:line="259" w:lineRule="auto"/>
        <w:ind w:left="369" w:hanging="170"/>
      </w:pPr>
      <w:r>
        <w:rPr>
          <w:rFonts w:ascii="Inter" w:hAnsi="Inter" w:eastAsia="Inter"/>
          <w:color w:val="182026"/>
          <w:sz w:val="18"/>
        </w:rPr>
        <w:t>Produktisierung,</w:t>
      </w:r>
    </w:p>
    <w:p>
      <w:pPr>
        <w:pStyle w:val="ListBullet"/>
        <w:widowControl/>
        <w:spacing w:after="50" w:line="259" w:lineRule="auto"/>
        <w:ind w:left="369" w:hanging="170"/>
      </w:pPr>
      <w:r>
        <w:rPr>
          <w:rFonts w:ascii="Inter" w:hAnsi="Inter" w:eastAsia="Inter"/>
          <w:color w:val="182026"/>
          <w:sz w:val="18"/>
        </w:rPr>
        <w:t>Vertrieb und Qualifizierung,</w:t>
      </w:r>
    </w:p>
    <w:p>
      <w:pPr>
        <w:pStyle w:val="ListBullet"/>
        <w:widowControl/>
        <w:spacing w:after="50" w:line="259" w:lineRule="auto"/>
        <w:ind w:left="369" w:hanging="170"/>
      </w:pPr>
      <w:r>
        <w:rPr>
          <w:rFonts w:ascii="Inter" w:hAnsi="Inter" w:eastAsia="Inter"/>
          <w:color w:val="182026"/>
          <w:sz w:val="18"/>
        </w:rPr>
        <w:t>Ressourcenplanung,</w:t>
      </w:r>
    </w:p>
    <w:p>
      <w:pPr>
        <w:pStyle w:val="ListBullet"/>
        <w:widowControl/>
        <w:spacing w:after="50" w:line="259" w:lineRule="auto"/>
        <w:ind w:left="369" w:hanging="170"/>
      </w:pPr>
      <w:r>
        <w:rPr>
          <w:rFonts w:ascii="Inter" w:hAnsi="Inter" w:eastAsia="Inter"/>
          <w:color w:val="182026"/>
          <w:sz w:val="18"/>
        </w:rPr>
        <w:t>Wirkungscontrolling,</w:t>
      </w:r>
    </w:p>
    <w:p>
      <w:pPr>
        <w:pStyle w:val="ListBullet"/>
        <w:widowControl/>
        <w:spacing w:after="50" w:line="259" w:lineRule="auto"/>
        <w:ind w:left="369" w:hanging="170"/>
      </w:pPr>
      <w:r>
        <w:rPr>
          <w:rFonts w:ascii="Inter" w:hAnsi="Inter" w:eastAsia="Inter"/>
          <w:color w:val="182026"/>
          <w:sz w:val="18"/>
        </w:rPr>
        <w:t>Portfoliosteuerung,</w:t>
      </w:r>
    </w:p>
    <w:p>
      <w:pPr>
        <w:pStyle w:val="ListBullet"/>
        <w:widowControl/>
        <w:spacing w:after="50" w:line="259" w:lineRule="auto"/>
        <w:ind w:left="369" w:hanging="170"/>
      </w:pPr>
      <w:r>
        <w:rPr>
          <w:rFonts w:ascii="Inter" w:hAnsi="Inter" w:eastAsia="Inter"/>
          <w:color w:val="182026"/>
          <w:sz w:val="18"/>
        </w:rPr>
        <w:t>Partnerschaften und Finanzierung.</w:t>
      </w:r>
    </w:p>
    <w:p>
      <w:pPr>
        <w:pStyle w:val="Heading1"/>
        <w:widowControl/>
        <w:pBdr>
          <w:bottom w:val="single" w:sz="10" w:space="6" w:color="C99A43"/>
        </w:pBdr>
      </w:pPr>
      <w:r>
        <w:t>10 Governance, Daten und Verantwortlichkeiten</w:t>
      </w:r>
    </w:p>
    <w:p>
      <w:pPr>
        <w:pStyle w:val="Heading2"/>
        <w:widowControl/>
      </w:pPr>
      <w:r>
        <w:t>10.1 Warum Governance zum Preismodell gehört</w:t>
      </w:r>
    </w:p>
    <w:p>
      <w:pPr>
        <w:pStyle w:val="BodyText"/>
        <w:widowControl/>
        <w:spacing w:after="110" w:line="278" w:lineRule="auto"/>
        <w:ind w:firstLine="255"/>
      </w:pPr>
      <w:r>
        <w:rPr>
          <w:rFonts w:ascii="Inter" w:hAnsi="Inter" w:eastAsia="Inter"/>
          <w:color w:val="182026"/>
          <w:sz w:val="19"/>
        </w:rPr>
        <w:t>Sobald Vergütung von gemessenen Ergebnissen abhängt, entstehen Interessen an der Messung. Anbieter können Nutzen überschätzen, Kunden können ihn nachträglich kleinrechnen, operative Teams können Kennzahlen optimieren, und Datenverantwortliche können Zugänge blockieren. Deshalb braucht WVP klare Rollen und Entscheidungsrechte.</w:t>
      </w:r>
    </w:p>
    <w:p>
      <w:pPr>
        <w:pStyle w:val="Heading2"/>
        <w:widowControl/>
      </w:pPr>
      <w:r>
        <w:t>10.2 Rollenmodell</w:t>
      </w:r>
    </w:p>
    <w:p>
      <w:pPr>
        <w:pStyle w:val="Heading3"/>
        <w:widowControl/>
      </w:pPr>
      <w:r>
        <w:t>Auftraggeber / Economic Buyer</w:t>
      </w:r>
    </w:p>
    <w:p>
      <w:pPr>
        <w:pStyle w:val="BodyText"/>
        <w:widowControl/>
        <w:spacing w:after="110" w:line="278" w:lineRule="auto"/>
        <w:ind w:firstLine="255"/>
      </w:pPr>
      <w:r>
        <w:rPr>
          <w:rFonts w:ascii="Inter" w:hAnsi="Inter" w:eastAsia="Inter"/>
          <w:color w:val="182026"/>
          <w:sz w:val="19"/>
        </w:rPr>
        <w:t>Der Auftraggeber verantwortet Budget, Entscheidung und Akzeptanz der Wertlogik. Er darf nicht allein die Messwerte kontrollieren, wenn er von einer niedrigeren Bonuszahlung profitiert.</w:t>
      </w:r>
    </w:p>
    <w:p>
      <w:pPr>
        <w:pStyle w:val="Heading3"/>
        <w:widowControl/>
      </w:pPr>
      <w:r>
        <w:t>Nutzer:innen und Fachverantwortliche</w:t>
      </w:r>
    </w:p>
    <w:p>
      <w:pPr>
        <w:pStyle w:val="BodyText"/>
        <w:widowControl/>
        <w:spacing w:after="110" w:line="278" w:lineRule="auto"/>
        <w:ind w:firstLine="255"/>
      </w:pPr>
      <w:r>
        <w:rPr>
          <w:rFonts w:ascii="Inter" w:hAnsi="Inter" w:eastAsia="Inter"/>
          <w:color w:val="182026"/>
          <w:sz w:val="19"/>
        </w:rPr>
        <w:t>Sie beurteilen Nutzbarkeit, Prozessveränderung und operative Folgen. Ihre Perspektive verhindert, dass Managementwerte reale Belastungen überdecken.</w:t>
      </w:r>
    </w:p>
    <w:p>
      <w:pPr>
        <w:pStyle w:val="Heading3"/>
        <w:widowControl/>
      </w:pPr>
      <w:r>
        <w:t>Anbieter / Leistungsteam</w:t>
      </w:r>
    </w:p>
    <w:p>
      <w:pPr>
        <w:pStyle w:val="BodyText"/>
        <w:widowControl/>
        <w:spacing w:after="110" w:line="278" w:lineRule="auto"/>
        <w:ind w:firstLine="255"/>
      </w:pPr>
      <w:r>
        <w:rPr>
          <w:rFonts w:ascii="Inter" w:hAnsi="Inter" w:eastAsia="Inter"/>
          <w:color w:val="182026"/>
          <w:sz w:val="19"/>
        </w:rPr>
        <w:t>Der Anbieter verantwortet Leistung, dokumentierte Annahmen, Messbeiträge, Transparenz über Grenzen und frühzeitige Meldung negativer Entwicklungen.</w:t>
      </w:r>
    </w:p>
    <w:p>
      <w:pPr>
        <w:pStyle w:val="Heading3"/>
        <w:widowControl/>
      </w:pPr>
      <w:r>
        <w:t>Value Owner</w:t>
      </w:r>
    </w:p>
    <w:p>
      <w:pPr>
        <w:pStyle w:val="BodyText"/>
        <w:widowControl/>
        <w:spacing w:after="110" w:line="278" w:lineRule="auto"/>
        <w:ind w:firstLine="255"/>
      </w:pPr>
      <w:r>
        <w:rPr>
          <w:rFonts w:ascii="Inter" w:hAnsi="Inter" w:eastAsia="Inter"/>
          <w:color w:val="182026"/>
          <w:sz w:val="19"/>
        </w:rPr>
        <w:t>Eine benannte Person führt die Kundenwertrechnung, pflegt Baseline, Alternative und Wertpfade und koordiniert die Verifikation. Die Rolle kann beim Kunden, Anbieter oder gemeinsam liegen.</w:t>
      </w:r>
    </w:p>
    <w:p>
      <w:pPr>
        <w:pStyle w:val="Heading3"/>
        <w:widowControl/>
      </w:pPr>
      <w:r>
        <w:t>Impact Owner</w:t>
      </w:r>
    </w:p>
    <w:p>
      <w:pPr>
        <w:pStyle w:val="BodyText"/>
        <w:widowControl/>
        <w:spacing w:after="110" w:line="278" w:lineRule="auto"/>
        <w:ind w:firstLine="255"/>
      </w:pPr>
      <w:r>
        <w:rPr>
          <w:rFonts w:ascii="Inter" w:hAnsi="Inter" w:eastAsia="Inter"/>
          <w:color w:val="182026"/>
          <w:sz w:val="19"/>
        </w:rPr>
        <w:t>Diese Rolle verantwortet Wirkungsraum, KII, Scorecard, Schutz-Gate und NWI-Anschluss. Sie darf nicht ausschließlich vertrieblich incentiviert sein.</w:t>
      </w:r>
    </w:p>
    <w:p>
      <w:pPr>
        <w:pStyle w:val="Heading3"/>
        <w:widowControl/>
      </w:pPr>
      <w:r>
        <w:t>Data Owner</w:t>
      </w:r>
    </w:p>
    <w:p>
      <w:pPr>
        <w:pStyle w:val="BodyText"/>
        <w:widowControl/>
        <w:spacing w:after="110" w:line="278" w:lineRule="auto"/>
        <w:ind w:firstLine="255"/>
      </w:pPr>
      <w:r>
        <w:rPr>
          <w:rFonts w:ascii="Inter" w:hAnsi="Inter" w:eastAsia="Inter"/>
          <w:color w:val="182026"/>
          <w:sz w:val="19"/>
        </w:rPr>
        <w:t>Der Data Owner entscheidet über Zugriffsrechte, Qualität, Datenschutz, Aufbewahrung und Löschung. Er stellt sicher, dass nur erforderliche Daten verwendet werden.</w:t>
      </w:r>
    </w:p>
    <w:p>
      <w:pPr>
        <w:pStyle w:val="Heading3"/>
        <w:widowControl/>
      </w:pPr>
      <w:r>
        <w:t>Unabhängige Prüfung</w:t>
      </w:r>
    </w:p>
    <w:p>
      <w:pPr>
        <w:pStyle w:val="BodyText"/>
        <w:widowControl/>
        <w:spacing w:after="110" w:line="278" w:lineRule="auto"/>
        <w:ind w:firstLine="255"/>
      </w:pPr>
      <w:r>
        <w:rPr>
          <w:rFonts w:ascii="Inter" w:hAnsi="Inter" w:eastAsia="Inter"/>
          <w:color w:val="182026"/>
          <w:sz w:val="19"/>
        </w:rPr>
        <w:t>Bei hohen variablen Beträgen, öffentlichen Mitteln, sensiblen Wirkungsclaims oder Interessenkonflikten prüft eine unabhängige Stelle Daten, Methode oder Abrechnung.</w:t>
      </w:r>
    </w:p>
    <w:p>
      <w:pPr>
        <w:pStyle w:val="Heading3"/>
        <w:widowControl/>
      </w:pPr>
      <w:r>
        <w:t>Steering Committee</w:t>
      </w:r>
    </w:p>
    <w:p>
      <w:pPr>
        <w:pStyle w:val="BodyText"/>
        <w:widowControl/>
        <w:spacing w:after="110" w:line="278" w:lineRule="auto"/>
        <w:ind w:firstLine="255"/>
      </w:pPr>
      <w:r>
        <w:rPr>
          <w:rFonts w:ascii="Inter" w:hAnsi="Inter" w:eastAsia="Inter"/>
          <w:color w:val="182026"/>
          <w:sz w:val="19"/>
        </w:rPr>
        <w:t>Ein gemeinsames Gremium entscheidet über Änderungen, externe Schocks, Streitfälle und Freigaben. Es muss nicht groß sein. Entscheidend sind klare Zuständigkeit und Protokollierung.</w:t>
      </w:r>
    </w:p>
    <w:p>
      <w:pPr>
        <w:pStyle w:val="Heading2"/>
        <w:widowControl/>
      </w:pPr>
      <w:r>
        <w:t>10.3 Trennung von Messung, Bewertung und Entscheidung</w:t>
      </w:r>
    </w:p>
    <w:p>
      <w:pPr>
        <w:pStyle w:val="BodyText"/>
        <w:widowControl/>
        <w:spacing w:after="110" w:line="278" w:lineRule="auto"/>
        <w:ind w:firstLine="255"/>
      </w:pPr>
      <w:r>
        <w:rPr>
          <w:rFonts w:ascii="Inter" w:hAnsi="Inter" w:eastAsia="Inter"/>
          <w:color w:val="182026"/>
          <w:sz w:val="19"/>
        </w:rPr>
        <w:t>Ein Messwert beschreibt eine beobachtete Größe. Die Bewertung ordnet ihn in einen Kontext ein. Die Preisentscheidung legt eine Zahlungsfolge fest. Diese Ebenen dürfen nicht unsichtbar verschmelzen.</w:t>
      </w:r>
    </w:p>
    <w:p>
      <w:pPr>
        <w:pStyle w:val="BodyText"/>
        <w:widowControl/>
        <w:spacing w:after="110" w:line="278" w:lineRule="auto"/>
        <w:ind w:firstLine="255"/>
      </w:pPr>
      <w:r>
        <w:rPr>
          <w:rFonts w:ascii="Inter" w:hAnsi="Inter" w:eastAsia="Inter"/>
          <w:color w:val="182026"/>
          <w:sz w:val="19"/>
        </w:rPr>
        <w:t>Beispiel: Die Fehlerquote sinkt von 4,2 auf 2,8 Prozent. Das ist Messung. Ob dies gegenüber Baseline und Benchmark positiv ist, ist Bewertung. Welcher Anteil bonusfähig ist, ist Vertrags- und Verantwortungsentscheidung.</w:t>
      </w:r>
    </w:p>
    <w:p>
      <w:pPr>
        <w:pStyle w:val="BodyText"/>
        <w:widowControl/>
        <w:spacing w:after="110" w:line="278" w:lineRule="auto"/>
        <w:ind w:firstLine="255"/>
      </w:pPr>
      <w:r>
        <w:rPr>
          <w:rFonts w:ascii="Inter" w:hAnsi="Inter" w:eastAsia="Inter"/>
          <w:color w:val="182026"/>
          <w:sz w:val="19"/>
        </w:rPr>
        <w:t>Diese Trennung schützt gegen Technokratie und Streit. Kein Score „entscheidet“ allein.</w:t>
      </w:r>
    </w:p>
    <w:p>
      <w:pPr>
        <w:pStyle w:val="Heading2"/>
        <w:widowControl/>
      </w:pPr>
      <w:r>
        <w:t>10.4 Datenprinzipien</w:t>
      </w:r>
    </w:p>
    <w:p>
      <w:pPr>
        <w:pStyle w:val="BodyText"/>
        <w:widowControl/>
        <w:spacing w:after="110" w:line="278" w:lineRule="auto"/>
        <w:ind w:firstLine="255"/>
      </w:pPr>
      <w:r>
        <w:rPr>
          <w:rFonts w:ascii="Inter" w:hAnsi="Inter" w:eastAsia="Inter"/>
          <w:color w:val="182026"/>
          <w:sz w:val="19"/>
        </w:rPr>
        <w:t>WVP folgt sieben Datenprinzipien: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b/>
          <w:color w:val="182026"/>
          <w:sz w:val="18"/>
        </w:rPr>
        <w:t>Zweckbindung:</w:t>
      </w:r>
      <w:r>
        <w:rPr>
          <w:rFonts w:ascii="Inter" w:hAnsi="Inter" w:eastAsia="Inter"/>
          <w:color w:val="182026"/>
          <w:sz w:val="18"/>
        </w:rPr>
        <w:t xml:space="preserve"> Nur Daten erfassen, die für Wert, Wirkung oder Vertrag notwendig sind.</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b/>
          <w:color w:val="182026"/>
          <w:sz w:val="18"/>
        </w:rPr>
        <w:t>Datenminimierung:</w:t>
      </w:r>
      <w:r>
        <w:rPr>
          <w:rFonts w:ascii="Inter" w:hAnsi="Inter" w:eastAsia="Inter"/>
          <w:color w:val="182026"/>
          <w:sz w:val="18"/>
        </w:rPr>
        <w:t xml:space="preserve"> Keine Überwachung zur bloßen Absicherung eines Preismodells.</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b/>
          <w:color w:val="182026"/>
          <w:sz w:val="18"/>
        </w:rPr>
        <w:t>Quellenklarheit:</w:t>
      </w:r>
      <w:r>
        <w:rPr>
          <w:rFonts w:ascii="Inter" w:hAnsi="Inter" w:eastAsia="Inter"/>
          <w:color w:val="182026"/>
          <w:sz w:val="18"/>
        </w:rPr>
        <w:t xml:space="preserve"> Herkunft, Zeitraum, Einheit und Bearbeitungsschritte dokumentieren.</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b/>
          <w:color w:val="182026"/>
          <w:sz w:val="18"/>
        </w:rPr>
        <w:t>Versionierung:</w:t>
      </w:r>
      <w:r>
        <w:rPr>
          <w:rFonts w:ascii="Inter" w:hAnsi="Inter" w:eastAsia="Inter"/>
          <w:color w:val="182026"/>
          <w:sz w:val="18"/>
        </w:rPr>
        <w:t xml:space="preserve"> Änderungen an Baseline, Formel, Benchmark oder Scope nachvollziehbar machen.</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b/>
          <w:color w:val="182026"/>
          <w:sz w:val="18"/>
        </w:rPr>
        <w:t>Revisionsfähigkeit:</w:t>
      </w:r>
      <w:r>
        <w:rPr>
          <w:rFonts w:ascii="Inter" w:hAnsi="Inter" w:eastAsia="Inter"/>
          <w:color w:val="182026"/>
          <w:sz w:val="18"/>
        </w:rPr>
        <w:t xml:space="preserve"> Korrektur und Nachberechnung bei Fehlern ermöglichen.</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b/>
          <w:color w:val="182026"/>
          <w:sz w:val="18"/>
        </w:rPr>
        <w:t>Zugriffsgerechtigkeit:</w:t>
      </w:r>
      <w:r>
        <w:rPr>
          <w:rFonts w:ascii="Inter" w:hAnsi="Inter" w:eastAsia="Inter"/>
          <w:color w:val="182026"/>
          <w:sz w:val="18"/>
        </w:rPr>
        <w:t xml:space="preserve"> Beide Vertragsparteien erhalten angemessenen Zugang zu abrechnungsrelevanten Daten.</w:t>
      </w:r>
    </w:p>
    <w:p>
      <w:pPr>
        <w:pStyle w:val="BodyText"/>
        <w:widowControl/>
        <w:spacing w:after="50" w:line="259" w:lineRule="auto"/>
        <w:ind w:left="408" w:hanging="272"/>
      </w:pPr>
      <w:r>
        <w:rPr>
          <w:rFonts w:ascii="Inter" w:hAnsi="Inter" w:eastAsia="Inter"/>
          <w:b/>
          <w:color w:val="2D625F"/>
          <w:sz w:val="18"/>
        </w:rPr>
        <w:t xml:space="preserve">7.  </w:t>
      </w:r>
      <w:r>
        <w:rPr>
          <w:rFonts w:ascii="Inter" w:hAnsi="Inter" w:eastAsia="Inter"/>
          <w:b/>
          <w:color w:val="182026"/>
          <w:sz w:val="18"/>
        </w:rPr>
        <w:t>Schutz:</w:t>
      </w:r>
      <w:r>
        <w:rPr>
          <w:rFonts w:ascii="Inter" w:hAnsi="Inter" w:eastAsia="Inter"/>
          <w:color w:val="182026"/>
          <w:sz w:val="18"/>
        </w:rPr>
        <w:t xml:space="preserve"> Personenbezogene und sensible Daten besonders sichern; keine Personenbewertung aus Organisationswirkung ableiten.</w:t>
      </w:r>
    </w:p>
    <w:p>
      <w:pPr>
        <w:pStyle w:val="Heading2"/>
        <w:widowControl/>
      </w:pPr>
      <w:r>
        <w:t>10.5 Messkosten und Verhältnismäßigkeit</w:t>
      </w:r>
    </w:p>
    <w:p>
      <w:pPr>
        <w:pStyle w:val="BodyText"/>
        <w:widowControl/>
        <w:spacing w:after="110" w:line="278" w:lineRule="auto"/>
        <w:ind w:firstLine="255"/>
      </w:pPr>
      <w:r>
        <w:rPr>
          <w:rFonts w:ascii="Inter" w:hAnsi="Inter" w:eastAsia="Inter"/>
          <w:color w:val="182026"/>
          <w:sz w:val="19"/>
        </w:rPr>
        <w:t>Messung ist selbst ein Ressourceneinsatz. Eine aufwendige Evidenzarchitektur kann mehr kosten als der mögliche variable Nutzen. Daher wird vor Vertragsschluss ein Messbudget festgelegt. Eine Faustregel ist nicht universell; sinnvoll ist eine explizite Entscheidung, welche Genauigkeit für welche Zahlungsfolge erforderlich ist.</w:t>
      </w:r>
    </w:p>
    <w:p>
      <w:pPr>
        <w:pStyle w:val="BodyText"/>
        <w:widowControl/>
        <w:spacing w:after="110" w:line="278" w:lineRule="auto"/>
        <w:ind w:firstLine="255"/>
      </w:pPr>
      <w:r>
        <w:rPr>
          <w:rFonts w:ascii="Inter" w:hAnsi="Inter" w:eastAsia="Inter"/>
          <w:color w:val="182026"/>
          <w:sz w:val="19"/>
        </w:rPr>
        <w:t>Mögliche Stufen:</w:t>
      </w:r>
    </w:p>
    <w:p>
      <w:pPr>
        <w:pStyle w:val="ListBullet"/>
        <w:widowControl/>
        <w:spacing w:after="50" w:line="259" w:lineRule="auto"/>
        <w:ind w:left="369" w:hanging="170"/>
      </w:pPr>
      <w:r>
        <w:rPr>
          <w:rFonts w:ascii="Inter" w:hAnsi="Inter" w:eastAsia="Inter"/>
          <w:b/>
          <w:color w:val="182026"/>
          <w:sz w:val="18"/>
        </w:rPr>
        <w:t>Light:</w:t>
      </w:r>
      <w:r>
        <w:rPr>
          <w:rFonts w:ascii="Inter" w:hAnsi="Inter" w:eastAsia="Inter"/>
          <w:color w:val="182026"/>
          <w:sz w:val="18"/>
        </w:rPr>
        <w:t xml:space="preserve"> wenige, vorhandene Daten; Festpreis und qualitative Review.</w:t>
      </w:r>
    </w:p>
    <w:p>
      <w:pPr>
        <w:pStyle w:val="ListBullet"/>
        <w:widowControl/>
        <w:spacing w:after="50" w:line="259" w:lineRule="auto"/>
        <w:ind w:left="369" w:hanging="170"/>
      </w:pPr>
      <w:r>
        <w:rPr>
          <w:rFonts w:ascii="Inter" w:hAnsi="Inter" w:eastAsia="Inter"/>
          <w:b/>
          <w:color w:val="182026"/>
          <w:sz w:val="18"/>
        </w:rPr>
        <w:t>Standard:</w:t>
      </w:r>
      <w:r>
        <w:rPr>
          <w:rFonts w:ascii="Inter" w:hAnsi="Inter" w:eastAsia="Inter"/>
          <w:color w:val="182026"/>
          <w:sz w:val="18"/>
        </w:rPr>
        <w:t xml:space="preserve"> Baseline, Wertpfade, definierte Outcome-Kennzahlen; begrenzter variabler Anteil.</w:t>
      </w:r>
    </w:p>
    <w:p>
      <w:pPr>
        <w:pStyle w:val="ListBullet"/>
        <w:widowControl/>
        <w:spacing w:after="50" w:line="259" w:lineRule="auto"/>
        <w:ind w:left="369" w:hanging="170"/>
      </w:pPr>
      <w:r>
        <w:rPr>
          <w:rFonts w:ascii="Inter" w:hAnsi="Inter" w:eastAsia="Inter"/>
          <w:b/>
          <w:color w:val="182026"/>
          <w:sz w:val="18"/>
        </w:rPr>
        <w:t>Advanced:</w:t>
      </w:r>
      <w:r>
        <w:rPr>
          <w:rFonts w:ascii="Inter" w:hAnsi="Inter" w:eastAsia="Inter"/>
          <w:color w:val="182026"/>
          <w:sz w:val="18"/>
        </w:rPr>
        <w:t xml:space="preserve"> Counterfactual, mehrere Datenquellen, NWI und unabhängige Plausibilisierung.</w:t>
      </w:r>
    </w:p>
    <w:p>
      <w:pPr>
        <w:pStyle w:val="ListBullet"/>
        <w:widowControl/>
        <w:spacing w:after="50" w:line="259" w:lineRule="auto"/>
        <w:ind w:left="369" w:hanging="170"/>
      </w:pPr>
      <w:r>
        <w:rPr>
          <w:rFonts w:ascii="Inter" w:hAnsi="Inter" w:eastAsia="Inter"/>
          <w:b/>
          <w:color w:val="182026"/>
          <w:sz w:val="18"/>
        </w:rPr>
        <w:t>Assured:</w:t>
      </w:r>
      <w:r>
        <w:rPr>
          <w:rFonts w:ascii="Inter" w:hAnsi="Inter" w:eastAsia="Inter"/>
          <w:color w:val="182026"/>
          <w:sz w:val="18"/>
        </w:rPr>
        <w:t xml:space="preserve"> externe Prüfung, auditfähige Daten, größere Outcome- oder Wirkungskomponente.</w:t>
      </w:r>
    </w:p>
    <w:p>
      <w:pPr>
        <w:pStyle w:val="Heading2"/>
        <w:widowControl/>
      </w:pPr>
      <w:r>
        <w:t>10.6 Umgang mit Änderungen und externen Schocks</w:t>
      </w:r>
    </w:p>
    <w:p>
      <w:pPr>
        <w:pStyle w:val="BodyText"/>
        <w:widowControl/>
        <w:spacing w:after="110" w:line="278" w:lineRule="auto"/>
        <w:ind w:firstLine="255"/>
      </w:pPr>
      <w:r>
        <w:rPr>
          <w:rFonts w:ascii="Inter" w:hAnsi="Inter" w:eastAsia="Inter"/>
          <w:color w:val="182026"/>
          <w:sz w:val="19"/>
        </w:rPr>
        <w:t>Langfristige Verträge brauchen Regeln für:</w:t>
      </w:r>
    </w:p>
    <w:p>
      <w:pPr>
        <w:pStyle w:val="ListBullet"/>
        <w:widowControl/>
        <w:spacing w:after="50" w:line="259" w:lineRule="auto"/>
        <w:ind w:left="369" w:hanging="170"/>
      </w:pPr>
      <w:r>
        <w:rPr>
          <w:rFonts w:ascii="Inter" w:hAnsi="Inter" w:eastAsia="Inter"/>
          <w:color w:val="182026"/>
          <w:sz w:val="18"/>
        </w:rPr>
        <w:t>Preis-, Mengen- und Nachfrageänderungen,</w:t>
      </w:r>
    </w:p>
    <w:p>
      <w:pPr>
        <w:pStyle w:val="ListBullet"/>
        <w:widowControl/>
        <w:spacing w:after="50" w:line="259" w:lineRule="auto"/>
        <w:ind w:left="369" w:hanging="170"/>
      </w:pPr>
      <w:r>
        <w:rPr>
          <w:rFonts w:ascii="Inter" w:hAnsi="Inter" w:eastAsia="Inter"/>
          <w:color w:val="182026"/>
          <w:sz w:val="18"/>
        </w:rPr>
        <w:t>regulatorische Eingriffe,</w:t>
      </w:r>
    </w:p>
    <w:p>
      <w:pPr>
        <w:pStyle w:val="ListBullet"/>
        <w:widowControl/>
        <w:spacing w:after="50" w:line="259" w:lineRule="auto"/>
        <w:ind w:left="369" w:hanging="170"/>
      </w:pPr>
      <w:r>
        <w:rPr>
          <w:rFonts w:ascii="Inter" w:hAnsi="Inter" w:eastAsia="Inter"/>
          <w:color w:val="182026"/>
          <w:sz w:val="18"/>
        </w:rPr>
        <w:t>Fusionen, Standortschließungen oder Strategieänderungen,</w:t>
      </w:r>
    </w:p>
    <w:p>
      <w:pPr>
        <w:pStyle w:val="ListBullet"/>
        <w:widowControl/>
        <w:spacing w:after="50" w:line="259" w:lineRule="auto"/>
        <w:ind w:left="369" w:hanging="170"/>
      </w:pPr>
      <w:r>
        <w:rPr>
          <w:rFonts w:ascii="Inter" w:hAnsi="Inter" w:eastAsia="Inter"/>
          <w:color w:val="182026"/>
          <w:sz w:val="18"/>
        </w:rPr>
        <w:t>Datenmigration und Systemwechsel,</w:t>
      </w:r>
    </w:p>
    <w:p>
      <w:pPr>
        <w:pStyle w:val="ListBullet"/>
        <w:widowControl/>
        <w:spacing w:after="50" w:line="259" w:lineRule="auto"/>
        <w:ind w:left="369" w:hanging="170"/>
      </w:pPr>
      <w:r>
        <w:rPr>
          <w:rFonts w:ascii="Inter" w:hAnsi="Inter" w:eastAsia="Inter"/>
          <w:color w:val="182026"/>
          <w:sz w:val="18"/>
        </w:rPr>
        <w:t>Streik, Pandemie, Naturereignis oder Lieferkettenbruch,</w:t>
      </w:r>
    </w:p>
    <w:p>
      <w:pPr>
        <w:pStyle w:val="ListBullet"/>
        <w:widowControl/>
        <w:spacing w:after="50" w:line="259" w:lineRule="auto"/>
        <w:ind w:left="369" w:hanging="170"/>
      </w:pPr>
      <w:r>
        <w:rPr>
          <w:rFonts w:ascii="Inter" w:hAnsi="Inter" w:eastAsia="Inter"/>
          <w:color w:val="182026"/>
          <w:sz w:val="18"/>
        </w:rPr>
        <w:t>Parallelprojekte und neue Technologien.</w:t>
      </w:r>
    </w:p>
    <w:p>
      <w:pPr>
        <w:pStyle w:val="BodyText"/>
        <w:widowControl/>
        <w:spacing w:after="110" w:line="278" w:lineRule="auto"/>
        <w:ind w:firstLine="255"/>
      </w:pPr>
      <w:r>
        <w:rPr>
          <w:rFonts w:ascii="Inter" w:hAnsi="Inter" w:eastAsia="Inter"/>
          <w:color w:val="182026"/>
          <w:sz w:val="19"/>
        </w:rPr>
        <w:t>Nicht jede Abweichung führt zur Neuverhandlung. Vorab definierte Schwellen und Anpassungsregeln reduzieren Opportunismus. Externe Schocks können Wert und Wirkung erhöhen oder senken; sie werden nicht automatisch einer Partei zugerechnet.</w:t>
      </w:r>
    </w:p>
    <w:p>
      <w:pPr>
        <w:pStyle w:val="Heading2"/>
        <w:widowControl/>
      </w:pPr>
      <w:r>
        <w:t>10.7 Konflikt- und Beschwerdemechanismus</w:t>
      </w:r>
    </w:p>
    <w:p>
      <w:pPr>
        <w:pStyle w:val="BodyText"/>
        <w:widowControl/>
        <w:spacing w:after="110" w:line="278" w:lineRule="auto"/>
        <w:ind w:firstLine="255"/>
      </w:pPr>
      <w:r>
        <w:rPr>
          <w:rFonts w:ascii="Inter" w:hAnsi="Inter" w:eastAsia="Inter"/>
          <w:color w:val="182026"/>
          <w:sz w:val="19"/>
        </w:rPr>
        <w:t>Ein WVP-Vertrag sollte eine gestufte Klärung vorsehen: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fachliche Klärung der Daten,</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gemeinsame methodische Prüfung,</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unabhängige Plausibilisierung,</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Managemententscheidung innerhalb vereinbarter Bandbreite,</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Mediation oder vertraglicher Rechtsweg.</w:t>
      </w:r>
    </w:p>
    <w:p>
      <w:pPr>
        <w:pStyle w:val="BodyText"/>
        <w:widowControl/>
        <w:spacing w:after="110" w:line="278" w:lineRule="auto"/>
        <w:ind w:firstLine="255"/>
      </w:pPr>
      <w:r>
        <w:rPr>
          <w:rFonts w:ascii="Inter" w:hAnsi="Inter" w:eastAsia="Inter"/>
          <w:color w:val="182026"/>
          <w:sz w:val="19"/>
        </w:rPr>
        <w:t>Bei Wirkungsfragen müssen auch betroffene Stakeholder Beschwerdewege haben, wenn die Preislogik Druck auf Arbeitsbedingungen, Datenschutz oder andere Schutzgüter erzeugt.</w:t>
      </w:r>
    </w:p>
    <w:p>
      <w:pPr>
        <w:pStyle w:val="Heading2"/>
        <w:widowControl/>
      </w:pPr>
      <w:r>
        <w:t>10.8 Portfolio-Governance</w:t>
      </w:r>
    </w:p>
    <w:p>
      <w:pPr>
        <w:pStyle w:val="BodyText"/>
        <w:widowControl/>
        <w:spacing w:after="110" w:line="278" w:lineRule="auto"/>
        <w:ind w:firstLine="255"/>
      </w:pPr>
      <w:r>
        <w:rPr>
          <w:rFonts w:ascii="Inter" w:hAnsi="Inter" w:eastAsia="Inter"/>
          <w:color w:val="182026"/>
          <w:sz w:val="19"/>
        </w:rPr>
        <w:t>Ein Anbieter sollte WVP nicht nur auf Einzelprojekte anwenden. Portfolio-Governance fragt:</w:t>
      </w:r>
    </w:p>
    <w:p>
      <w:pPr>
        <w:pStyle w:val="ListBullet"/>
        <w:widowControl/>
        <w:spacing w:after="50" w:line="259" w:lineRule="auto"/>
        <w:ind w:left="369" w:hanging="170"/>
      </w:pPr>
      <w:r>
        <w:rPr>
          <w:rFonts w:ascii="Inter" w:hAnsi="Inter" w:eastAsia="Inter"/>
          <w:color w:val="182026"/>
          <w:sz w:val="18"/>
        </w:rPr>
        <w:t>Welche Leistungen erzeugen hohen Kundenwert und positive Netto-Wirkung?</w:t>
      </w:r>
    </w:p>
    <w:p>
      <w:pPr>
        <w:pStyle w:val="ListBullet"/>
        <w:widowControl/>
        <w:spacing w:after="50" w:line="259" w:lineRule="auto"/>
        <w:ind w:left="369" w:hanging="170"/>
      </w:pPr>
      <w:r>
        <w:rPr>
          <w:rFonts w:ascii="Inter" w:hAnsi="Inter" w:eastAsia="Inter"/>
          <w:color w:val="182026"/>
          <w:sz w:val="18"/>
        </w:rPr>
        <w:t>Wo entstehen hohe Margen bei negativer Wirkung?</w:t>
      </w:r>
    </w:p>
    <w:p>
      <w:pPr>
        <w:pStyle w:val="ListBullet"/>
        <w:widowControl/>
        <w:spacing w:after="50" w:line="259" w:lineRule="auto"/>
        <w:ind w:left="369" w:hanging="170"/>
      </w:pPr>
      <w:r>
        <w:rPr>
          <w:rFonts w:ascii="Inter" w:hAnsi="Inter" w:eastAsia="Inter"/>
          <w:color w:val="182026"/>
          <w:sz w:val="18"/>
        </w:rPr>
        <w:t>Welche positiven Wirkungsangebote sind unterfinanziert?</w:t>
      </w:r>
    </w:p>
    <w:p>
      <w:pPr>
        <w:pStyle w:val="ListBullet"/>
        <w:widowControl/>
        <w:spacing w:after="50" w:line="259" w:lineRule="auto"/>
        <w:ind w:left="369" w:hanging="170"/>
      </w:pPr>
      <w:r>
        <w:rPr>
          <w:rFonts w:ascii="Inter" w:hAnsi="Inter" w:eastAsia="Inter"/>
          <w:color w:val="182026"/>
          <w:sz w:val="18"/>
        </w:rPr>
        <w:t>Welche Wertmodelle sind empirisch belastbar?</w:t>
      </w:r>
    </w:p>
    <w:p>
      <w:pPr>
        <w:pStyle w:val="ListBullet"/>
        <w:widowControl/>
        <w:spacing w:after="50" w:line="259" w:lineRule="auto"/>
        <w:ind w:left="369" w:hanging="170"/>
      </w:pPr>
      <w:r>
        <w:rPr>
          <w:rFonts w:ascii="Inter" w:hAnsi="Inter" w:eastAsia="Inter"/>
          <w:color w:val="182026"/>
          <w:sz w:val="18"/>
        </w:rPr>
        <w:t>Welche Branchen oder Kunden passen zum Unternehmenszweck?</w:t>
      </w:r>
    </w:p>
    <w:p>
      <w:pPr>
        <w:pStyle w:val="ListBullet"/>
        <w:widowControl/>
        <w:spacing w:after="50" w:line="259" w:lineRule="auto"/>
        <w:ind w:left="369" w:hanging="170"/>
      </w:pPr>
      <w:r>
        <w:rPr>
          <w:rFonts w:ascii="Inter" w:hAnsi="Inter" w:eastAsia="Inter"/>
          <w:color w:val="182026"/>
          <w:sz w:val="18"/>
        </w:rPr>
        <w:t>Wo werden Risiken systematisch unterschätzt?</w:t>
      </w:r>
    </w:p>
    <w:p>
      <w:pPr>
        <w:pStyle w:val="BodyText"/>
        <w:widowControl/>
        <w:spacing w:after="110" w:line="278" w:lineRule="auto"/>
        <w:ind w:firstLine="255"/>
      </w:pPr>
      <w:r>
        <w:rPr>
          <w:rFonts w:ascii="Inter" w:hAnsi="Inter" w:eastAsia="Inter"/>
          <w:color w:val="182026"/>
          <w:sz w:val="19"/>
        </w:rPr>
        <w:t>So wird Pricing Teil der strategischen Unternehmensführung.</w:t>
      </w:r>
    </w:p>
    <w:p>
      <w:pPr>
        <w:pStyle w:val="Heading2"/>
        <w:widowControl/>
      </w:pPr>
      <w:r>
        <w:t>10.9 KI-Governance im WVP-Prozess</w:t>
      </w:r>
    </w:p>
    <w:p>
      <w:pPr>
        <w:pStyle w:val="BodyText"/>
        <w:widowControl/>
        <w:spacing w:after="110" w:line="276" w:lineRule="auto"/>
        <w:ind w:firstLine="255"/>
      </w:pPr>
      <w:r>
        <w:rPr>
          <w:rFonts w:ascii="Inter" w:hAnsi="Inter" w:eastAsia="Inter"/>
          <w:color w:val="182026"/>
          <w:sz w:val="19"/>
        </w:rPr>
        <w:t>Wird KI eingesetzt, sind zusätzliche Verantwortlichkeiten festzulegen:</w:t>
      </w:r>
    </w:p>
    <w:p>
      <w:pPr>
        <w:pStyle w:val="ListBullet"/>
        <w:widowControl/>
        <w:spacing w:after="50" w:line="259" w:lineRule="auto"/>
        <w:ind w:left="369" w:hanging="170"/>
      </w:pPr>
      <w:r>
        <w:rPr>
          <w:rFonts w:ascii="Inter" w:hAnsi="Inter" w:eastAsia="Inter"/>
          <w:color w:val="182026"/>
          <w:sz w:val="18"/>
        </w:rPr>
        <w:t>Wer wählt Modell, Daten und Tool aus?</w:t>
      </w:r>
    </w:p>
    <w:p>
      <w:pPr>
        <w:pStyle w:val="ListBullet"/>
        <w:widowControl/>
        <w:spacing w:after="50" w:line="259" w:lineRule="auto"/>
        <w:ind w:left="369" w:hanging="170"/>
      </w:pPr>
      <w:r>
        <w:rPr>
          <w:rFonts w:ascii="Inter" w:hAnsi="Inter" w:eastAsia="Inter"/>
          <w:color w:val="182026"/>
          <w:sz w:val="18"/>
        </w:rPr>
        <w:t>Wer prüft Ergebnisse fachlich?</w:t>
      </w:r>
    </w:p>
    <w:p>
      <w:pPr>
        <w:pStyle w:val="ListBullet"/>
        <w:widowControl/>
        <w:spacing w:after="50" w:line="259" w:lineRule="auto"/>
        <w:ind w:left="369" w:hanging="170"/>
      </w:pPr>
      <w:r>
        <w:rPr>
          <w:rFonts w:ascii="Inter" w:hAnsi="Inter" w:eastAsia="Inter"/>
          <w:color w:val="182026"/>
          <w:sz w:val="18"/>
        </w:rPr>
        <w:t>Welche Inhalte dürfen das Unternehmen verlassen?</w:t>
      </w:r>
    </w:p>
    <w:p>
      <w:pPr>
        <w:pStyle w:val="ListBullet"/>
        <w:widowControl/>
        <w:spacing w:after="50" w:line="259" w:lineRule="auto"/>
        <w:ind w:left="369" w:hanging="170"/>
      </w:pPr>
      <w:r>
        <w:rPr>
          <w:rFonts w:ascii="Inter" w:hAnsi="Inter" w:eastAsia="Inter"/>
          <w:color w:val="182026"/>
          <w:sz w:val="18"/>
        </w:rPr>
        <w:t>Wie werden Fehler und Unsicherheit dokumentiert?</w:t>
      </w:r>
    </w:p>
    <w:p>
      <w:pPr>
        <w:pStyle w:val="ListBullet"/>
        <w:widowControl/>
        <w:spacing w:after="50" w:line="259" w:lineRule="auto"/>
        <w:ind w:left="369" w:hanging="170"/>
      </w:pPr>
      <w:r>
        <w:rPr>
          <w:rFonts w:ascii="Inter" w:hAnsi="Inter" w:eastAsia="Inter"/>
          <w:color w:val="182026"/>
          <w:sz w:val="18"/>
        </w:rPr>
        <w:t>Welche Teile der Leistung stammen aus proprietärer Methode, menschlicher Expertise oder generativer KI?</w:t>
      </w:r>
    </w:p>
    <w:p>
      <w:pPr>
        <w:pStyle w:val="ListBullet"/>
        <w:widowControl/>
        <w:spacing w:after="50" w:line="259" w:lineRule="auto"/>
        <w:ind w:left="369" w:hanging="170"/>
      </w:pPr>
      <w:r>
        <w:rPr>
          <w:rFonts w:ascii="Inter" w:hAnsi="Inter" w:eastAsia="Inter"/>
          <w:color w:val="182026"/>
          <w:sz w:val="18"/>
        </w:rPr>
        <w:t>Welche Nutzung erhält der Kunde, welche Rechte behält der Anbieter?</w:t>
      </w:r>
    </w:p>
    <w:p>
      <w:pPr>
        <w:pStyle w:val="ListBullet"/>
        <w:widowControl/>
        <w:spacing w:after="50" w:line="259" w:lineRule="auto"/>
        <w:ind w:left="369" w:hanging="170"/>
      </w:pPr>
      <w:r>
        <w:rPr>
          <w:rFonts w:ascii="Inter" w:hAnsi="Inter" w:eastAsia="Inter"/>
          <w:color w:val="182026"/>
          <w:sz w:val="18"/>
        </w:rPr>
        <w:t>Wie wird verhindert, dass ein günstiger Tool-Output als ungeprüfte Expertenleistung verkauft wird?</w:t>
      </w:r>
    </w:p>
    <w:p>
      <w:pPr>
        <w:pStyle w:val="BodyText"/>
        <w:widowControl/>
        <w:spacing w:after="110" w:line="276" w:lineRule="auto"/>
        <w:ind w:firstLine="255"/>
      </w:pPr>
      <w:r>
        <w:rPr>
          <w:rFonts w:ascii="Inter" w:hAnsi="Inter" w:eastAsia="Inter"/>
          <w:color w:val="182026"/>
          <w:sz w:val="19"/>
        </w:rPr>
        <w:t>Der Anbieter muss nicht jeden Arbeitsschritt offenlegen. Er darf aber weder menschliche Prüfung vortäuschen noch Toolrisiken verschweigen, wenn sie für Qualität, Sicherheit oder Wirkung wesentlich sind.</w:t>
      </w:r>
    </w:p>
    <w:p>
      <w:pPr>
        <w:pStyle w:val="Heading1"/>
        <w:widowControl/>
        <w:pBdr>
          <w:bottom w:val="single" w:sz="10" w:space="6" w:color="C99A43"/>
        </w:pBdr>
      </w:pPr>
      <w:r>
        <w:t>11 Ausführliche Fallbeispiele</w:t>
      </w:r>
    </w:p>
    <w:p>
      <w:pPr>
        <w:pStyle w:val="Heading2"/>
        <w:widowControl/>
      </w:pPr>
      <w:r>
        <w:t>11.1 Vorbemerkung</w:t>
      </w:r>
    </w:p>
    <w:p>
      <w:pPr>
        <w:pStyle w:val="BodyText"/>
        <w:widowControl/>
        <w:spacing w:after="110" w:line="278" w:lineRule="auto"/>
        <w:ind w:firstLine="255"/>
      </w:pPr>
      <w:r>
        <w:rPr>
          <w:rFonts w:ascii="Inter" w:hAnsi="Inter" w:eastAsia="Inter"/>
          <w:color w:val="182026"/>
          <w:sz w:val="19"/>
        </w:rPr>
        <w:t>Die folgenden Beispiele sind modellhaft. Sie zeigen die Logik, nicht marktübliche Preise oder sichere Wirkungswerte. Alle Beträge sind fiktiv. In realen Projekten müssen Daten, Steuerrecht, Vertragsrecht, Rechnungslegung, Datenschutz und sektorspezifische Anforderungen geprüft werden.</w:t>
      </w:r>
    </w:p>
    <w:p>
      <w:pPr>
        <w:pStyle w:val="Heading2"/>
        <w:widowControl/>
      </w:pPr>
      <w:r>
        <w:t>11.2 Fall A: Erfahrung und KI bei einer strategischen Analyse</w:t>
      </w:r>
    </w:p>
    <w:p>
      <w:pPr>
        <w:pStyle w:val="Heading3"/>
        <w:widowControl/>
      </w:pPr>
      <w:r>
        <w:t>Ausgangslage</w:t>
      </w:r>
    </w:p>
    <w:p>
      <w:pPr>
        <w:pStyle w:val="BodyText"/>
        <w:widowControl/>
        <w:spacing w:after="110" w:line="276" w:lineRule="auto"/>
        <w:ind w:firstLine="255"/>
      </w:pPr>
      <w:r>
        <w:rPr>
          <w:rFonts w:ascii="Inter" w:hAnsi="Inter" w:eastAsia="Inter"/>
          <w:color w:val="182026"/>
          <w:sz w:val="19"/>
        </w:rPr>
        <w:t>Ein Unternehmen benötigt innerhalb einer Woche eine belastbare Analyse für eine Investitionsentscheidung. Die Aufgabe umfasst Datenrecherche, Szenarien, Risikobewertung, Entscheidungsvorlage und Managementgespräch.</w:t>
      </w:r>
    </w:p>
    <w:p>
      <w:pPr>
        <w:pStyle w:val="BodyText"/>
        <w:widowControl/>
        <w:spacing w:after="110" w:line="276" w:lineRule="auto"/>
        <w:ind w:firstLine="255"/>
      </w:pPr>
      <w:r>
        <w:rPr>
          <w:rFonts w:ascii="Inter" w:hAnsi="Inter" w:eastAsia="Inter"/>
          <w:color w:val="182026"/>
          <w:sz w:val="19"/>
        </w:rPr>
        <w:t>Früher hätte die Anbieterin dafür rund 30 Stunden benötigt. Heute verfügt sie über jahrelange Erfahrung, eine eigene Methodik, strukturierte Datenquellen und KI-gestützte Recherche- und Analysewerkzeuge. Der sichtbare Projektaufwand sinkt auf acht Stunden, hinzu kommen vier Stunden Prüfung, Quellenkontrolle und Anpassung.</w:t>
      </w:r>
    </w:p>
    <w:p>
      <w:pPr>
        <w:pStyle w:val="Heading3"/>
        <w:widowControl/>
      </w:pPr>
      <w:r>
        <w:t>Stundenlogik</w:t>
      </w:r>
    </w:p>
    <w:p>
      <w:pPr>
        <w:pStyle w:val="BodyText"/>
        <w:widowControl/>
        <w:spacing w:after="110" w:line="276" w:lineRule="auto"/>
        <w:ind w:firstLine="255"/>
      </w:pPr>
      <w:r>
        <w:rPr>
          <w:rFonts w:ascii="Inter" w:hAnsi="Inter" w:eastAsia="Inter"/>
          <w:color w:val="182026"/>
          <w:sz w:val="19"/>
        </w:rPr>
        <w:t>Bei 250 Euro pro Stunde ergäbe sich:</w:t>
      </w:r>
    </w:p>
    <w:p>
      <w:pPr>
        <w:pStyle w:val="ListBullet"/>
        <w:widowControl/>
        <w:spacing w:after="50" w:line="259" w:lineRule="auto"/>
        <w:ind w:left="369" w:hanging="170"/>
      </w:pPr>
      <w:r>
        <w:rPr>
          <w:rFonts w:ascii="Inter" w:hAnsi="Inter" w:eastAsia="Inter"/>
          <w:color w:val="182026"/>
          <w:sz w:val="18"/>
        </w:rPr>
        <w:t>früher: 30 Stunden × 250 Euro = 7.500 Euro,</w:t>
      </w:r>
    </w:p>
    <w:p>
      <w:pPr>
        <w:pStyle w:val="ListBullet"/>
        <w:widowControl/>
        <w:spacing w:after="50" w:line="259" w:lineRule="auto"/>
        <w:ind w:left="369" w:hanging="170"/>
      </w:pPr>
      <w:r>
        <w:rPr>
          <w:rFonts w:ascii="Inter" w:hAnsi="Inter" w:eastAsia="Inter"/>
          <w:color w:val="182026"/>
          <w:sz w:val="18"/>
        </w:rPr>
        <w:t>heute: 12 Stunden × 250 Euro = 3.000 Euro.</w:t>
      </w:r>
    </w:p>
    <w:p>
      <w:pPr>
        <w:pStyle w:val="BodyText"/>
        <w:widowControl/>
        <w:spacing w:after="110" w:line="276" w:lineRule="auto"/>
        <w:ind w:firstLine="255"/>
      </w:pPr>
      <w:r>
        <w:rPr>
          <w:rFonts w:ascii="Inter" w:hAnsi="Inter" w:eastAsia="Inter"/>
          <w:color w:val="182026"/>
          <w:sz w:val="19"/>
        </w:rPr>
        <w:t>Die zweite Leistung ist nicht weniger wert. Sie ist schneller verfügbar, systematischer und möglicherweise besser geprüft. Die Stundenlogik halbiert den Preis, weil die Anbieterin leistungsfähiger geworden ist.</w:t>
      </w:r>
    </w:p>
    <w:p>
      <w:pPr>
        <w:pStyle w:val="Heading3"/>
        <w:widowControl/>
      </w:pPr>
      <w:r>
        <w:t>Kundenwert</w:t>
      </w:r>
    </w:p>
    <w:p>
      <w:pPr>
        <w:pStyle w:val="BodyText"/>
        <w:widowControl/>
        <w:spacing w:after="110" w:line="276" w:lineRule="auto"/>
        <w:ind w:firstLine="255"/>
      </w:pPr>
      <w:r>
        <w:rPr>
          <w:rFonts w:ascii="Inter" w:hAnsi="Inter" w:eastAsia="Inter"/>
          <w:color w:val="182026"/>
          <w:sz w:val="19"/>
        </w:rPr>
        <w:t>Die Analyse verhindert mit plausibler Wahrscheinlichkeit eine Fehlallokation von 200.000 Euro und verkürzt die Entscheidung um vier Wochen. Konservativ werden 80.000 Euro zurechenbarer Kundenwert angesetzt. Der Kunde soll mindestens 55.000 Euro Nettovorteil behalten. Die Wertgrenze liegt bei 25.000 Euro.</w:t>
      </w:r>
    </w:p>
    <w:p>
      <w:pPr>
        <w:pStyle w:val="Heading3"/>
        <w:widowControl/>
      </w:pPr>
      <w:r>
        <w:t>Tragfähigkeit</w:t>
      </w:r>
    </w:p>
    <w:p>
      <w:pPr>
        <w:pStyle w:val="BodyText"/>
        <w:widowControl/>
        <w:spacing w:after="110" w:line="276" w:lineRule="auto"/>
        <w:ind w:firstLine="255"/>
      </w:pPr>
      <w:r>
        <w:rPr>
          <w:rFonts w:ascii="Inter" w:hAnsi="Inter" w:eastAsia="Inter"/>
          <w:color w:val="182026"/>
          <w:sz w:val="19"/>
        </w:rPr>
        <w:t>Die interne Untergrenze berücksichtigt:</w:t>
      </w:r>
    </w:p>
    <w:p>
      <w:pPr>
        <w:pStyle w:val="ListBullet"/>
        <w:widowControl/>
        <w:spacing w:after="50" w:line="259" w:lineRule="auto"/>
        <w:ind w:left="369" w:hanging="170"/>
      </w:pPr>
      <w:r>
        <w:rPr>
          <w:rFonts w:ascii="Inter" w:hAnsi="Inter" w:eastAsia="Inter"/>
          <w:color w:val="182026"/>
          <w:sz w:val="18"/>
        </w:rPr>
        <w:t>zwölf Projektstunden,</w:t>
      </w:r>
    </w:p>
    <w:p>
      <w:pPr>
        <w:pStyle w:val="ListBullet"/>
        <w:widowControl/>
        <w:spacing w:after="50" w:line="259" w:lineRule="auto"/>
        <w:ind w:left="369" w:hanging="170"/>
      </w:pPr>
      <w:r>
        <w:rPr>
          <w:rFonts w:ascii="Inter" w:hAnsi="Inter" w:eastAsia="Inter"/>
          <w:color w:val="182026"/>
          <w:sz w:val="18"/>
        </w:rPr>
        <w:t>Methoden- und Datenpflege,</w:t>
      </w:r>
    </w:p>
    <w:p>
      <w:pPr>
        <w:pStyle w:val="ListBullet"/>
        <w:widowControl/>
        <w:spacing w:after="50" w:line="259" w:lineRule="auto"/>
        <w:ind w:left="369" w:hanging="170"/>
      </w:pPr>
      <w:r>
        <w:rPr>
          <w:rFonts w:ascii="Inter" w:hAnsi="Inter" w:eastAsia="Inter"/>
          <w:color w:val="182026"/>
          <w:sz w:val="18"/>
        </w:rPr>
        <w:t>KI- und Softwarekosten,</w:t>
      </w:r>
    </w:p>
    <w:p>
      <w:pPr>
        <w:pStyle w:val="ListBullet"/>
        <w:widowControl/>
        <w:spacing w:after="50" w:line="259" w:lineRule="auto"/>
        <w:ind w:left="369" w:hanging="170"/>
      </w:pPr>
      <w:r>
        <w:rPr>
          <w:rFonts w:ascii="Inter" w:hAnsi="Inter" w:eastAsia="Inter"/>
          <w:color w:val="182026"/>
          <w:sz w:val="18"/>
        </w:rPr>
        <w:t>Qualitätssicherung,</w:t>
      </w:r>
    </w:p>
    <w:p>
      <w:pPr>
        <w:pStyle w:val="ListBullet"/>
        <w:widowControl/>
        <w:spacing w:after="50" w:line="259" w:lineRule="auto"/>
        <w:ind w:left="369" w:hanging="170"/>
      </w:pPr>
      <w:r>
        <w:rPr>
          <w:rFonts w:ascii="Inter" w:hAnsi="Inter" w:eastAsia="Inter"/>
          <w:color w:val="182026"/>
          <w:sz w:val="18"/>
        </w:rPr>
        <w:t>Haftungs- und Entscheidungsrisiko,</w:t>
      </w:r>
    </w:p>
    <w:p>
      <w:pPr>
        <w:pStyle w:val="ListBullet"/>
        <w:widowControl/>
        <w:spacing w:after="50" w:line="259" w:lineRule="auto"/>
        <w:ind w:left="369" w:hanging="170"/>
      </w:pPr>
      <w:r>
        <w:rPr>
          <w:rFonts w:ascii="Inter" w:hAnsi="Inter" w:eastAsia="Inter"/>
          <w:color w:val="182026"/>
          <w:sz w:val="18"/>
        </w:rPr>
        <w:t>Bereitschaft innerhalb einer Woche.</w:t>
      </w:r>
    </w:p>
    <w:p>
      <w:pPr>
        <w:pStyle w:val="BodyText"/>
        <w:widowControl/>
        <w:spacing w:after="110" w:line="276" w:lineRule="auto"/>
        <w:ind w:firstLine="255"/>
      </w:pPr>
      <w:r>
        <w:rPr>
          <w:rFonts w:ascii="Inter" w:hAnsi="Inter" w:eastAsia="Inter"/>
          <w:color w:val="182026"/>
          <w:sz w:val="19"/>
        </w:rPr>
        <w:t>Sie liegt bei 6.500 Euro.</w:t>
      </w:r>
    </w:p>
    <w:p>
      <w:pPr>
        <w:pStyle w:val="Heading3"/>
        <w:widowControl/>
      </w:pPr>
      <w:r>
        <w:t>Preisentscheidung</w:t>
      </w:r>
    </w:p>
    <w:p>
      <w:pPr>
        <w:pStyle w:val="BodyText"/>
        <w:widowControl/>
        <w:spacing w:after="110" w:line="276" w:lineRule="auto"/>
        <w:ind w:firstLine="255"/>
      </w:pPr>
      <w:r>
        <w:rPr>
          <w:rFonts w:ascii="Inter" w:hAnsi="Inter" w:eastAsia="Inter"/>
          <w:color w:val="182026"/>
          <w:sz w:val="19"/>
        </w:rPr>
        <w:t>Ein wertbegründeter Festpreis von 12.500 Euro wird vereinbart. Der Kunde zahlt deutlich mehr als die reine Stundenrechnung, erhält aber immer noch einen konservativen Nettovorteil von 67.500 Euro und die Entscheidung vier Wochen früher. Die Anbieterin wird nicht für Effizienz bestraft und gibt einen erheblichen Teil des Produktivitätsgewinns an den Kunden weiter.</w:t>
      </w:r>
    </w:p>
    <w:p>
      <w:pPr>
        <w:pStyle w:val="Heading3"/>
        <w:widowControl/>
      </w:pPr>
      <w:r>
        <w:t>Wirkungsprüfung</w:t>
      </w:r>
    </w:p>
    <w:p>
      <w:pPr>
        <w:pStyle w:val="BodyText"/>
        <w:widowControl/>
        <w:spacing w:after="110" w:line="276" w:lineRule="auto"/>
        <w:ind w:firstLine="255"/>
      </w:pPr>
      <w:r>
        <w:rPr>
          <w:rFonts w:ascii="Inter" w:hAnsi="Inter" w:eastAsia="Inter"/>
          <w:color w:val="182026"/>
          <w:sz w:val="19"/>
        </w:rPr>
        <w:t>Geprüft werden Datenqualität, Transparenz, Bias, Datenschutz, Qualität der Quellen und mögliche negative Folgen der Investition. Der Einsatz von KI ist kein positiver Wirkungsnachweis. Der Wirkungsclaim ist nur zulässig, wenn die Analyse auch die Auswirkungen auf Mensch, Planet und Demokratie angemessen einbezieht.</w:t>
      </w:r>
    </w:p>
    <w:p>
      <w:pPr>
        <w:pStyle w:val="Heading2"/>
        <w:widowControl/>
      </w:pPr>
      <w:r>
        <w:t>11.3 Fall B: Prozessoptimierung in einem Industrieunternehmen</w:t>
      </w:r>
    </w:p>
    <w:p>
      <w:pPr>
        <w:pStyle w:val="Heading3"/>
        <w:widowControl/>
      </w:pPr>
      <w:r>
        <w:t>Ausgangslage</w:t>
      </w:r>
    </w:p>
    <w:p>
      <w:pPr>
        <w:pStyle w:val="BodyText"/>
        <w:widowControl/>
        <w:spacing w:after="110" w:line="278" w:lineRule="auto"/>
        <w:ind w:firstLine="255"/>
      </w:pPr>
      <w:r>
        <w:rPr>
          <w:rFonts w:ascii="Inter" w:hAnsi="Inter" w:eastAsia="Inter"/>
          <w:color w:val="182026"/>
          <w:sz w:val="19"/>
        </w:rPr>
        <w:t>Ein mittelgroßes Industrieunternehmen benötigt für technische Produktänderungen durchschnittlich 46 Kalendertage. Viele Übergaben, unklare Verantwortungen und fehlerhafte Stammdaten verursachen Nacharbeit. Das Unternehmen beauftragt einen spezialisierten Dienstleister mit Analyse, Prozessdesign, Pilot und Implementierungsbegleitung.</w:t>
      </w:r>
    </w:p>
    <w:p>
      <w:pPr>
        <w:pStyle w:val="BodyText"/>
        <w:widowControl/>
        <w:spacing w:after="110" w:line="278" w:lineRule="auto"/>
        <w:ind w:firstLine="255"/>
      </w:pPr>
      <w:r>
        <w:rPr>
          <w:rFonts w:ascii="Inter" w:hAnsi="Inter" w:eastAsia="Inter"/>
          <w:color w:val="182026"/>
          <w:sz w:val="19"/>
        </w:rPr>
        <w:t>Eine Stundenkalkulation würde 55 Beratungstage zu 2.000 Euro ansetzen: 110.000 Euro. Dieser Betrag zeigt den erwarteten Aufwand, nicht den Kundenwert.</w:t>
      </w:r>
    </w:p>
    <w:p>
      <w:pPr>
        <w:pStyle w:val="Heading3"/>
        <w:widowControl/>
      </w:pPr>
      <w:r>
        <w:t>Baseline und Alternative</w:t>
      </w:r>
    </w:p>
    <w:p>
      <w:pPr>
        <w:pStyle w:val="BodyText"/>
        <w:widowControl/>
        <w:spacing w:after="110" w:line="278" w:lineRule="auto"/>
        <w:ind w:firstLine="255"/>
      </w:pPr>
      <w:r>
        <w:rPr>
          <w:rFonts w:ascii="Inter" w:hAnsi="Inter" w:eastAsia="Inter"/>
          <w:color w:val="182026"/>
          <w:sz w:val="19"/>
        </w:rPr>
        <w:t>Baseline:</w:t>
      </w:r>
    </w:p>
    <w:p>
      <w:pPr>
        <w:pStyle w:val="ListBullet"/>
        <w:widowControl/>
        <w:spacing w:after="50" w:line="259" w:lineRule="auto"/>
        <w:ind w:left="369" w:hanging="170"/>
      </w:pPr>
      <w:r>
        <w:rPr>
          <w:rFonts w:ascii="Inter" w:hAnsi="Inter" w:eastAsia="Inter"/>
          <w:color w:val="182026"/>
          <w:sz w:val="18"/>
        </w:rPr>
        <w:t>46 Tage durchschnittliche Durchlaufzeit,</w:t>
      </w:r>
    </w:p>
    <w:p>
      <w:pPr>
        <w:pStyle w:val="ListBullet"/>
        <w:widowControl/>
        <w:spacing w:after="50" w:line="259" w:lineRule="auto"/>
        <w:ind w:left="369" w:hanging="170"/>
      </w:pPr>
      <w:r>
        <w:rPr>
          <w:rFonts w:ascii="Inter" w:hAnsi="Inter" w:eastAsia="Inter"/>
          <w:color w:val="182026"/>
          <w:sz w:val="18"/>
        </w:rPr>
        <w:t>7,5 Prozent Fälle mit teurer Nacharbeit,</w:t>
      </w:r>
    </w:p>
    <w:p>
      <w:pPr>
        <w:pStyle w:val="ListBullet"/>
        <w:widowControl/>
        <w:spacing w:after="50" w:line="259" w:lineRule="auto"/>
        <w:ind w:left="369" w:hanging="170"/>
      </w:pPr>
      <w:r>
        <w:rPr>
          <w:rFonts w:ascii="Inter" w:hAnsi="Inter" w:eastAsia="Inter"/>
          <w:color w:val="182026"/>
          <w:sz w:val="18"/>
        </w:rPr>
        <w:t>jährliche Nacharbeitskosten von 420.000 Euro,</w:t>
      </w:r>
    </w:p>
    <w:p>
      <w:pPr>
        <w:pStyle w:val="ListBullet"/>
        <w:widowControl/>
        <w:spacing w:after="50" w:line="259" w:lineRule="auto"/>
        <w:ind w:left="369" w:hanging="170"/>
      </w:pPr>
      <w:r>
        <w:rPr>
          <w:rFonts w:ascii="Inter" w:hAnsi="Inter" w:eastAsia="Inter"/>
          <w:color w:val="182026"/>
          <w:sz w:val="18"/>
        </w:rPr>
        <w:t>verspätete Umsatzrealisierung bei mehreren Produktänderungen,</w:t>
      </w:r>
    </w:p>
    <w:p>
      <w:pPr>
        <w:pStyle w:val="ListBullet"/>
        <w:widowControl/>
        <w:spacing w:after="50" w:line="259" w:lineRule="auto"/>
        <w:ind w:left="369" w:hanging="170"/>
      </w:pPr>
      <w:r>
        <w:rPr>
          <w:rFonts w:ascii="Inter" w:hAnsi="Inter" w:eastAsia="Inter"/>
          <w:color w:val="182026"/>
          <w:sz w:val="18"/>
        </w:rPr>
        <w:t>1,2 Vollzeitäquivalente für Koordination.</w:t>
      </w:r>
    </w:p>
    <w:p>
      <w:pPr>
        <w:pStyle w:val="BodyText"/>
        <w:widowControl/>
        <w:spacing w:after="110" w:line="278" w:lineRule="auto"/>
        <w:ind w:firstLine="255"/>
      </w:pPr>
      <w:r>
        <w:rPr>
          <w:rFonts w:ascii="Inter" w:hAnsi="Inter" w:eastAsia="Inter"/>
          <w:color w:val="182026"/>
          <w:sz w:val="19"/>
        </w:rPr>
        <w:t>Alternative ohne Projekt:</w:t>
      </w:r>
    </w:p>
    <w:p>
      <w:pPr>
        <w:pStyle w:val="ListBullet"/>
        <w:widowControl/>
        <w:spacing w:after="50" w:line="259" w:lineRule="auto"/>
        <w:ind w:left="369" w:hanging="170"/>
      </w:pPr>
      <w:r>
        <w:rPr>
          <w:rFonts w:ascii="Inter" w:hAnsi="Inter" w:eastAsia="Inter"/>
          <w:color w:val="182026"/>
          <w:sz w:val="18"/>
        </w:rPr>
        <w:t>interne Verbesserung um voraussichtlich 8 Prozent innerhalb eines Jahres,</w:t>
      </w:r>
    </w:p>
    <w:p>
      <w:pPr>
        <w:pStyle w:val="ListBullet"/>
        <w:widowControl/>
        <w:spacing w:after="50" w:line="259" w:lineRule="auto"/>
        <w:ind w:left="369" w:hanging="170"/>
      </w:pPr>
      <w:r>
        <w:rPr>
          <w:rFonts w:ascii="Inter" w:hAnsi="Inter" w:eastAsia="Inter"/>
          <w:color w:val="182026"/>
          <w:sz w:val="18"/>
        </w:rPr>
        <w:t>keine vollständige Datenbereinigung,</w:t>
      </w:r>
    </w:p>
    <w:p>
      <w:pPr>
        <w:pStyle w:val="ListBullet"/>
        <w:widowControl/>
        <w:spacing w:after="50" w:line="259" w:lineRule="auto"/>
        <w:ind w:left="369" w:hanging="170"/>
      </w:pPr>
      <w:r>
        <w:rPr>
          <w:rFonts w:ascii="Inter" w:hAnsi="Inter" w:eastAsia="Inter"/>
          <w:color w:val="182026"/>
          <w:sz w:val="18"/>
        </w:rPr>
        <w:t>keine einheitliche Governance.</w:t>
      </w:r>
    </w:p>
    <w:p>
      <w:pPr>
        <w:pStyle w:val="Heading3"/>
        <w:widowControl/>
      </w:pPr>
      <w:r>
        <w:t>Wertpfade</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Prozessneugestaltung → weniger Übergaben → kürzere Durchlaufzeit → früherer Deckungsbeitrag.</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Datenbereinigung → weniger fehlerhafte Freigaben → vermiedene Nacharbeit.</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Rollenmodell → geringerer Koordinationsaufwand → frei werdende Kapazität.</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Standardisierte Entscheidungskriterien → geringeres Qualitäts- und Haftungsrisiko.</w:t>
      </w:r>
    </w:p>
    <w:p>
      <w:pPr>
        <w:pStyle w:val="Heading3"/>
        <w:widowControl/>
      </w:pPr>
      <w:r>
        <w:t>Beobachtetes Base-Case-Ergebnis nach zwölf Monaten</w:t>
      </w:r>
    </w:p>
    <w:p>
      <w:pPr>
        <w:pStyle w:val="ListBullet"/>
        <w:widowControl/>
        <w:spacing w:after="50" w:line="259" w:lineRule="auto"/>
        <w:ind w:left="369" w:hanging="170"/>
      </w:pPr>
      <w:r>
        <w:rPr>
          <w:rFonts w:ascii="Inter" w:hAnsi="Inter" w:eastAsia="Inter"/>
          <w:color w:val="182026"/>
          <w:sz w:val="18"/>
        </w:rPr>
        <w:t>Durchlaufzeit sinkt auf 31 Tage.</w:t>
      </w:r>
    </w:p>
    <w:p>
      <w:pPr>
        <w:pStyle w:val="ListBullet"/>
        <w:widowControl/>
        <w:spacing w:after="50" w:line="259" w:lineRule="auto"/>
        <w:ind w:left="369" w:hanging="170"/>
      </w:pPr>
      <w:r>
        <w:rPr>
          <w:rFonts w:ascii="Inter" w:hAnsi="Inter" w:eastAsia="Inter"/>
          <w:color w:val="182026"/>
          <w:sz w:val="18"/>
        </w:rPr>
        <w:t>Nacharbeitsquote sinkt auf 4,2 Prozent.</w:t>
      </w:r>
    </w:p>
    <w:p>
      <w:pPr>
        <w:pStyle w:val="ListBullet"/>
        <w:widowControl/>
        <w:spacing w:after="50" w:line="259" w:lineRule="auto"/>
        <w:ind w:left="369" w:hanging="170"/>
      </w:pPr>
      <w:r>
        <w:rPr>
          <w:rFonts w:ascii="Inter" w:hAnsi="Inter" w:eastAsia="Inter"/>
          <w:color w:val="182026"/>
          <w:sz w:val="18"/>
        </w:rPr>
        <w:t>Nacharbeitskosten sinken um 180.000 Euro pro Jahr.</w:t>
      </w:r>
    </w:p>
    <w:p>
      <w:pPr>
        <w:pStyle w:val="ListBullet"/>
        <w:widowControl/>
        <w:spacing w:after="50" w:line="259" w:lineRule="auto"/>
        <w:ind w:left="369" w:hanging="170"/>
      </w:pPr>
      <w:r>
        <w:rPr>
          <w:rFonts w:ascii="Inter" w:hAnsi="Inter" w:eastAsia="Inter"/>
          <w:color w:val="182026"/>
          <w:sz w:val="18"/>
        </w:rPr>
        <w:t>Frühere Markteinführung erzeugt 360.000 Euro zusätzlichen Deckungsbeitrag im ersten Jahr.</w:t>
      </w:r>
    </w:p>
    <w:p>
      <w:pPr>
        <w:pStyle w:val="ListBullet"/>
        <w:widowControl/>
        <w:spacing w:after="50" w:line="259" w:lineRule="auto"/>
        <w:ind w:left="369" w:hanging="170"/>
      </w:pPr>
      <w:r>
        <w:rPr>
          <w:rFonts w:ascii="Inter" w:hAnsi="Inter" w:eastAsia="Inter"/>
          <w:color w:val="182026"/>
          <w:sz w:val="18"/>
        </w:rPr>
        <w:t>Koordinationskapazität von 0,6 FTE wird für andere Aufgaben genutzt; konservativer wirtschaftlicher Wert 55.000 Euro.</w:t>
      </w:r>
    </w:p>
    <w:p>
      <w:pPr>
        <w:pStyle w:val="ListBullet"/>
        <w:widowControl/>
        <w:spacing w:after="50" w:line="259" w:lineRule="auto"/>
        <w:ind w:left="369" w:hanging="170"/>
      </w:pPr>
      <w:r>
        <w:rPr>
          <w:rFonts w:ascii="Inter" w:hAnsi="Inter" w:eastAsia="Inter"/>
          <w:color w:val="182026"/>
          <w:sz w:val="18"/>
        </w:rPr>
        <w:t>Kundenseitige Implementierungskosten: 145.000 Euro einmalig und 35.000 Euro Betriebskosten pro Jahr.</w:t>
      </w:r>
    </w:p>
    <w:p>
      <w:pPr>
        <w:pStyle w:val="Heading3"/>
        <w:widowControl/>
      </w:pPr>
      <w:r>
        <w:t>Zurechnung</w:t>
      </w:r>
    </w:p>
    <w:p>
      <w:pPr>
        <w:pStyle w:val="BodyText"/>
        <w:widowControl/>
        <w:spacing w:after="110" w:line="278" w:lineRule="auto"/>
        <w:ind w:firstLine="255"/>
      </w:pPr>
      <w:r>
        <w:rPr>
          <w:rFonts w:ascii="Inter" w:hAnsi="Inter" w:eastAsia="Inter"/>
          <w:color w:val="182026"/>
          <w:sz w:val="19"/>
        </w:rPr>
        <w:t>Die gemeinsame Analyse ergibt:</w:t>
      </w:r>
    </w:p>
    <w:p>
      <w:pPr>
        <w:pStyle w:val="ListBullet"/>
        <w:widowControl/>
        <w:spacing w:after="50" w:line="259" w:lineRule="auto"/>
        <w:ind w:left="369" w:hanging="170"/>
      </w:pPr>
      <w:r>
        <w:rPr>
          <w:rFonts w:ascii="Inter" w:hAnsi="Inter" w:eastAsia="Inter"/>
          <w:color w:val="182026"/>
          <w:sz w:val="18"/>
        </w:rPr>
        <w:t>15 Prozent der Verbesserung wären durch die interne Initiative ohnehin eingetreten.</w:t>
      </w:r>
    </w:p>
    <w:p>
      <w:pPr>
        <w:pStyle w:val="ListBullet"/>
        <w:widowControl/>
        <w:spacing w:after="50" w:line="259" w:lineRule="auto"/>
        <w:ind w:left="369" w:hanging="170"/>
      </w:pPr>
      <w:r>
        <w:rPr>
          <w:rFonts w:ascii="Inter" w:hAnsi="Inter" w:eastAsia="Inter"/>
          <w:color w:val="182026"/>
          <w:sz w:val="18"/>
        </w:rPr>
        <w:t>Ein parallel eingeführtes ERP-Update trägt zu 20 Prozent der Datenverbesserung bei.</w:t>
      </w:r>
    </w:p>
    <w:p>
      <w:pPr>
        <w:pStyle w:val="ListBullet"/>
        <w:widowControl/>
        <w:spacing w:after="50" w:line="259" w:lineRule="auto"/>
        <w:ind w:left="369" w:hanging="170"/>
      </w:pPr>
      <w:r>
        <w:rPr>
          <w:rFonts w:ascii="Inter" w:hAnsi="Inter" w:eastAsia="Inter"/>
          <w:color w:val="182026"/>
          <w:sz w:val="18"/>
        </w:rPr>
        <w:t>Der Dienstleister wird je Wertpfad mit 55 bis 70 Prozent Beitrag angesetzt.</w:t>
      </w:r>
    </w:p>
    <w:p>
      <w:pPr>
        <w:pStyle w:val="ListBullet"/>
        <w:widowControl/>
        <w:spacing w:after="50" w:line="259" w:lineRule="auto"/>
        <w:ind w:left="369" w:hanging="170"/>
      </w:pPr>
      <w:r>
        <w:rPr>
          <w:rFonts w:ascii="Inter" w:hAnsi="Inter" w:eastAsia="Inter"/>
          <w:color w:val="182026"/>
          <w:sz w:val="18"/>
        </w:rPr>
        <w:t>Datenqualität E3: gemessene Baseline und Outcome, triangulierte Beitragsanalyse, keine externe Prüfung.</w:t>
      </w:r>
    </w:p>
    <w:p>
      <w:pPr>
        <w:widowControl/>
      </w:pPr>
      <w:r>
        <w:br w:type="page"/>
      </w:r>
    </w:p>
    <w:p>
      <w:pPr>
        <w:pStyle w:val="Heading3"/>
        <w:widowControl/>
      </w:pPr>
      <w:r>
        <w:t>Kundenwertrechnung im ersten Jahr</w:t>
      </w:r>
    </w:p>
    <w:tbl>
      <w:tblPr>
        <w:tblStyle w:val="TableGrid"/>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2880"/>
            <w:shd w:fill="163F3D"/>
            <w:tcMar>
              <w:top w:w="100" w:type="dxa"/>
              <w:start w:w="100" w:type="dxa"/>
              <w:bottom w:w="100" w:type="dxa"/>
              <w:end w:w="100" w:type="dxa"/>
            </w:tcMar>
          </w:tcPr>
          <w:p>
            <w:pPr>
              <w:widowControl/>
              <w:jc w:val="left"/>
            </w:pPr>
            <w:r>
              <w:rPr>
                <w:rFonts w:ascii="Inter" w:hAnsi="Inter" w:eastAsia="Inter"/>
                <w:b/>
                <w:color w:val="FFFFFF"/>
                <w:sz w:val="16"/>
              </w:rPr>
              <w:t>Wertpfad</w:t>
            </w:r>
          </w:p>
        </w:tc>
        <w:tc>
          <w:tcPr>
            <w:tcW w:type="dxa" w:w="1944"/>
            <w:shd w:fill="163F3D"/>
            <w:tcMar>
              <w:top w:w="100" w:type="dxa"/>
              <w:start w:w="100" w:type="dxa"/>
              <w:bottom w:w="100" w:type="dxa"/>
              <w:end w:w="100" w:type="dxa"/>
            </w:tcMar>
          </w:tcPr>
          <w:p>
            <w:pPr>
              <w:widowControl/>
              <w:jc w:val="left"/>
            </w:pPr>
            <w:r>
              <w:rPr>
                <w:rFonts w:ascii="Inter" w:hAnsi="Inter" w:eastAsia="Inter"/>
                <w:b/>
                <w:color w:val="FFFFFF"/>
                <w:sz w:val="16"/>
              </w:rPr>
              <w:t>Bruttowert Jahr 1</w:t>
            </w:r>
          </w:p>
        </w:tc>
        <w:tc>
          <w:tcPr>
            <w:tcW w:type="dxa" w:w="3024"/>
            <w:shd w:fill="163F3D"/>
            <w:tcMar>
              <w:top w:w="100" w:type="dxa"/>
              <w:start w:w="100" w:type="dxa"/>
              <w:bottom w:w="100" w:type="dxa"/>
              <w:end w:w="100" w:type="dxa"/>
            </w:tcMar>
          </w:tcPr>
          <w:p>
            <w:pPr>
              <w:widowControl/>
              <w:jc w:val="left"/>
            </w:pPr>
            <w:r>
              <w:rPr>
                <w:rFonts w:ascii="Inter" w:hAnsi="Inter" w:eastAsia="Inter"/>
                <w:b/>
                <w:color w:val="FFFFFF"/>
                <w:sz w:val="16"/>
              </w:rPr>
              <w:t>Korrekturen</w:t>
            </w:r>
          </w:p>
        </w:tc>
        <w:tc>
          <w:tcPr>
            <w:tcW w:type="dxa" w:w="1944"/>
            <w:shd w:fill="163F3D"/>
            <w:tcMar>
              <w:top w:w="100" w:type="dxa"/>
              <w:start w:w="100" w:type="dxa"/>
              <w:bottom w:w="100" w:type="dxa"/>
              <w:end w:w="100" w:type="dxa"/>
            </w:tcMar>
          </w:tcPr>
          <w:p>
            <w:pPr>
              <w:widowControl/>
              <w:jc w:val="left"/>
            </w:pPr>
            <w:r>
              <w:rPr>
                <w:rFonts w:ascii="Inter" w:hAnsi="Inter" w:eastAsia="Inter"/>
                <w:b/>
                <w:color w:val="FFFFFF"/>
                <w:sz w:val="16"/>
              </w:rPr>
              <w:t>Zurechenbarer Wert</w:t>
            </w:r>
          </w:p>
        </w:tc>
      </w:tr>
      <w:tr>
        <w:trPr>
          <w:cantSplit/>
        </w:trPr>
        <w:tc>
          <w:tcPr>
            <w:tcW w:type="dxa" w:w="28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Frühere Markteinführung</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360.000 €</w:t>
            </w:r>
          </w:p>
        </w:tc>
        <w:tc>
          <w:tcPr>
            <w:tcW w:type="dxa" w:w="302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15 % Counterfactual; 60 % Anbieterbeitrag</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183.600 €</w:t>
            </w:r>
          </w:p>
        </w:tc>
      </w:tr>
      <w:tr>
        <w:trPr>
          <w:cantSplit/>
        </w:trPr>
        <w:tc>
          <w:tcPr>
            <w:tcW w:type="dxa" w:w="28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Vermiedene Nacharbeit</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180.000 €</w:t>
            </w:r>
          </w:p>
        </w:tc>
        <w:tc>
          <w:tcPr>
            <w:tcW w:type="dxa" w:w="302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20 % ERP-Beitrag; 65 % Anbieterbeitrag</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93.600 €</w:t>
            </w:r>
          </w:p>
        </w:tc>
      </w:tr>
      <w:tr>
        <w:trPr>
          <w:cantSplit/>
        </w:trPr>
        <w:tc>
          <w:tcPr>
            <w:tcW w:type="dxa" w:w="28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Nutzbare Koordinationskapazität</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55.000 €</w:t>
            </w:r>
          </w:p>
        </w:tc>
        <w:tc>
          <w:tcPr>
            <w:tcW w:type="dxa" w:w="302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50 % reale Nutzung; 55 % Anbieterbeitrag</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15.125 €</w:t>
            </w:r>
          </w:p>
        </w:tc>
      </w:tr>
      <w:tr>
        <w:trPr>
          <w:cantSplit/>
        </w:trPr>
        <w:tc>
          <w:tcPr>
            <w:tcW w:type="dxa" w:w="28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Kundenseitige Zusatzkosten</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-180.000 €</w:t>
            </w:r>
          </w:p>
        </w:tc>
        <w:tc>
          <w:tcPr>
            <w:tcW w:type="dxa" w:w="302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voll abzuziehen</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-180.000 €</w:t>
            </w:r>
          </w:p>
        </w:tc>
      </w:tr>
      <w:tr>
        <w:trPr>
          <w:cantSplit/>
        </w:trPr>
        <w:tc>
          <w:tcPr>
            <w:tcW w:type="dxa" w:w="28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Konservative Risiko-/Evidenzreserve</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t>
            </w:r>
          </w:p>
        </w:tc>
        <w:tc>
          <w:tcPr>
            <w:tcW w:type="dxa" w:w="302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pauschal 10 % auf positive Werte</w:t>
            </w:r>
          </w:p>
        </w:tc>
        <w:tc>
          <w:tcPr>
            <w:tcW w:type="dxa" w:w="194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-29.233 €</w:t>
            </w:r>
          </w:p>
        </w:tc>
      </w:tr>
      <w:tr>
        <w:trPr>
          <w:cantSplit/>
        </w:trPr>
        <w:tc>
          <w:tcPr>
            <w:tcW w:type="dxa" w:w="28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Ergebnis</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595.000 € Bruttovorteile</w:t>
            </w:r>
          </w:p>
        </w:tc>
        <w:tc>
          <w:tcPr>
            <w:tcW w:type="dxa" w:w="302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nach Kosten, Zurechnung und Reserve</w:t>
            </w:r>
          </w:p>
        </w:tc>
        <w:tc>
          <w:tcPr>
            <w:tcW w:type="dxa" w:w="194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ca. 226.000 €</w:t>
            </w:r>
          </w:p>
        </w:tc>
      </w:tr>
    </w:tbl>
    <w:p>
      <w:pPr>
        <w:widowControl/>
        <w:spacing w:after="0"/>
      </w:pPr>
    </w:p>
    <w:p>
      <w:pPr>
        <w:pStyle w:val="BodyText"/>
        <w:widowControl/>
        <w:spacing w:after="110" w:line="278" w:lineRule="auto"/>
        <w:ind w:firstLine="255"/>
      </w:pPr>
      <w:r>
        <w:rPr>
          <w:rFonts w:ascii="Inter" w:hAnsi="Inter" w:eastAsia="Inter"/>
          <w:color w:val="182026"/>
          <w:sz w:val="19"/>
        </w:rPr>
        <w:t>Der konservativ zurechenbare Nettokundenwert im ersten Jahr beträgt rund 226.000 Euro. Langfristige Effekte werden nur mit abnehmender Wirkung und nach Abzug laufender Kosten berücksichtigt. Das Projekt kann daher einen Wert deutlich oberhalb der reinen 110.000-Euro-Stundenkalkulation erzeugen, ohne dass der Anbieter den gesamten Wert beanspruchen darf.</w:t>
      </w:r>
    </w:p>
    <w:p>
      <w:pPr>
        <w:pStyle w:val="Heading3"/>
        <w:widowControl/>
      </w:pPr>
      <w:r>
        <w:t>Preis- und Vertragsmodell</w:t>
      </w:r>
    </w:p>
    <w:p>
      <w:pPr>
        <w:pStyle w:val="BodyText"/>
        <w:widowControl/>
        <w:spacing w:after="110" w:line="278" w:lineRule="auto"/>
        <w:ind w:firstLine="255"/>
      </w:pPr>
      <w:r>
        <w:rPr>
          <w:rFonts w:ascii="Inter" w:hAnsi="Inter" w:eastAsia="Inter"/>
          <w:color w:val="182026"/>
          <w:sz w:val="19"/>
        </w:rPr>
        <w:t>Vereinbart wird:</w:t>
      </w:r>
    </w:p>
    <w:p>
      <w:pPr>
        <w:pStyle w:val="ListBullet"/>
        <w:widowControl/>
        <w:spacing w:after="50" w:line="259" w:lineRule="auto"/>
        <w:ind w:left="369" w:hanging="170"/>
      </w:pPr>
      <w:r>
        <w:rPr>
          <w:rFonts w:ascii="Inter" w:hAnsi="Inter" w:eastAsia="Inter"/>
          <w:color w:val="182026"/>
          <w:sz w:val="18"/>
        </w:rPr>
        <w:t>Basisvergütung: 115.000 Euro,</w:t>
      </w:r>
    </w:p>
    <w:p>
      <w:pPr>
        <w:pStyle w:val="ListBullet"/>
        <w:widowControl/>
        <w:spacing w:after="50" w:line="259" w:lineRule="auto"/>
        <w:ind w:left="369" w:hanging="170"/>
      </w:pPr>
      <w:r>
        <w:rPr>
          <w:rFonts w:ascii="Inter" w:hAnsi="Inter" w:eastAsia="Inter"/>
          <w:color w:val="182026"/>
          <w:sz w:val="18"/>
        </w:rPr>
        <w:t>Meilensteinzahlung nach erfolgreichem Pilot: 20.000 Euro,</w:t>
      </w:r>
    </w:p>
    <w:p>
      <w:pPr>
        <w:pStyle w:val="ListBullet"/>
        <w:widowControl/>
        <w:spacing w:after="50" w:line="259" w:lineRule="auto"/>
        <w:ind w:left="369" w:hanging="170"/>
      </w:pPr>
      <w:r>
        <w:rPr>
          <w:rFonts w:ascii="Inter" w:hAnsi="Inter" w:eastAsia="Inter"/>
          <w:color w:val="182026"/>
          <w:sz w:val="18"/>
        </w:rPr>
        <w:t>Value-Komponente: 8 Prozent des verifizierten zurechenbaren Nettowerts im ersten Jahr,</w:t>
      </w:r>
    </w:p>
    <w:p>
      <w:pPr>
        <w:pStyle w:val="ListBullet"/>
        <w:widowControl/>
        <w:spacing w:after="50" w:line="259" w:lineRule="auto"/>
        <w:ind w:left="369" w:hanging="170"/>
      </w:pPr>
      <w:r>
        <w:rPr>
          <w:rFonts w:ascii="Inter" w:hAnsi="Inter" w:eastAsia="Inter"/>
          <w:color w:val="182026"/>
          <w:sz w:val="18"/>
        </w:rPr>
        <w:t>Cap der Value-Komponente: 45.000 Euro,</w:t>
      </w:r>
    </w:p>
    <w:p>
      <w:pPr>
        <w:pStyle w:val="ListBullet"/>
        <w:widowControl/>
        <w:spacing w:after="50" w:line="259" w:lineRule="auto"/>
        <w:ind w:left="369" w:hanging="170"/>
      </w:pPr>
      <w:r>
        <w:rPr>
          <w:rFonts w:ascii="Inter" w:hAnsi="Inter" w:eastAsia="Inter"/>
          <w:color w:val="182026"/>
          <w:sz w:val="18"/>
        </w:rPr>
        <w:t>Gesamtcap: 180.000 Euro.</w:t>
      </w:r>
    </w:p>
    <w:p>
      <w:pPr>
        <w:pStyle w:val="BodyText"/>
        <w:widowControl/>
        <w:spacing w:after="110" w:line="278" w:lineRule="auto"/>
        <w:ind w:firstLine="255"/>
      </w:pPr>
      <w:r>
        <w:rPr>
          <w:rFonts w:ascii="Inter" w:hAnsi="Inter" w:eastAsia="Inter"/>
          <w:color w:val="182026"/>
          <w:sz w:val="19"/>
        </w:rPr>
        <w:t>Bei 226.000 Euro zurechenbarem Nettowert beträgt die variable Value-Komponente 18.080 Euro. Gesamthonorar: 153.080 Euro. Dem Kunden verbleibt im ersten Jahr ein konservativer Nettovorteil von rund 73.000 Euro; weitere Jahre erhöhen seinen Anteil deutlich.</w:t>
      </w:r>
    </w:p>
    <w:p>
      <w:pPr>
        <w:pStyle w:val="Heading3"/>
        <w:widowControl/>
      </w:pPr>
      <w:r>
        <w:t>Wirkungsrechnung</w:t>
      </w:r>
    </w:p>
    <w:p>
      <w:pPr>
        <w:pStyle w:val="BodyText"/>
        <w:widowControl/>
        <w:spacing w:after="110" w:line="278" w:lineRule="auto"/>
        <w:ind w:firstLine="255"/>
      </w:pPr>
      <w:r>
        <w:rPr>
          <w:rFonts w:ascii="Inter" w:hAnsi="Inter" w:eastAsia="Inter"/>
          <w:color w:val="182026"/>
          <w:sz w:val="19"/>
        </w:rPr>
        <w:t>Relevante KII:</w:t>
      </w:r>
    </w:p>
    <w:p>
      <w:pPr>
        <w:pStyle w:val="ListBullet"/>
        <w:widowControl/>
        <w:spacing w:after="50" w:line="259" w:lineRule="auto"/>
        <w:ind w:left="369" w:hanging="170"/>
      </w:pPr>
      <w:r>
        <w:rPr>
          <w:rFonts w:ascii="Inter" w:hAnsi="Inter" w:eastAsia="Inter"/>
          <w:color w:val="182026"/>
          <w:sz w:val="18"/>
        </w:rPr>
        <w:t>psychische Belastung im Freigabeprozess,</w:t>
      </w:r>
    </w:p>
    <w:p>
      <w:pPr>
        <w:pStyle w:val="ListBullet"/>
        <w:widowControl/>
        <w:spacing w:after="50" w:line="259" w:lineRule="auto"/>
        <w:ind w:left="369" w:hanging="170"/>
      </w:pPr>
      <w:r>
        <w:rPr>
          <w:rFonts w:ascii="Inter" w:hAnsi="Inter" w:eastAsia="Inter"/>
          <w:color w:val="182026"/>
          <w:sz w:val="18"/>
        </w:rPr>
        <w:t>Überstunden und Planbarkeit,</w:t>
      </w:r>
    </w:p>
    <w:p>
      <w:pPr>
        <w:pStyle w:val="ListBullet"/>
        <w:widowControl/>
        <w:spacing w:after="50" w:line="259" w:lineRule="auto"/>
        <w:ind w:left="369" w:hanging="170"/>
      </w:pPr>
      <w:r>
        <w:rPr>
          <w:rFonts w:ascii="Inter" w:hAnsi="Inter" w:eastAsia="Inter"/>
          <w:color w:val="182026"/>
          <w:sz w:val="18"/>
        </w:rPr>
        <w:t>Datenqualität und Verantwortlichkeit,</w:t>
      </w:r>
    </w:p>
    <w:p>
      <w:pPr>
        <w:pStyle w:val="ListBullet"/>
        <w:widowControl/>
        <w:spacing w:after="50" w:line="259" w:lineRule="auto"/>
        <w:ind w:left="369" w:hanging="170"/>
      </w:pPr>
      <w:r>
        <w:rPr>
          <w:rFonts w:ascii="Inter" w:hAnsi="Inter" w:eastAsia="Inter"/>
          <w:color w:val="182026"/>
          <w:sz w:val="18"/>
        </w:rPr>
        <w:t>Energie- und Reiseaufwand des Projekts,</w:t>
      </w:r>
    </w:p>
    <w:p>
      <w:pPr>
        <w:pStyle w:val="ListBullet"/>
        <w:widowControl/>
        <w:spacing w:after="50" w:line="259" w:lineRule="auto"/>
        <w:ind w:left="369" w:hanging="170"/>
      </w:pPr>
      <w:r>
        <w:rPr>
          <w:rFonts w:ascii="Inter" w:hAnsi="Inter" w:eastAsia="Inter"/>
          <w:color w:val="182026"/>
          <w:sz w:val="18"/>
        </w:rPr>
        <w:t>Produkt- und Entscheidungssicherheit,</w:t>
      </w:r>
    </w:p>
    <w:p>
      <w:pPr>
        <w:pStyle w:val="ListBullet"/>
        <w:widowControl/>
        <w:spacing w:after="50" w:line="259" w:lineRule="auto"/>
        <w:ind w:left="369" w:hanging="170"/>
      </w:pPr>
      <w:r>
        <w:rPr>
          <w:rFonts w:ascii="Inter" w:hAnsi="Inter" w:eastAsia="Inter"/>
          <w:color w:val="182026"/>
          <w:sz w:val="18"/>
        </w:rPr>
        <w:t>Qualifizierungs- und Beteiligungswirkung.</w:t>
      </w:r>
    </w:p>
    <w:p>
      <w:pPr>
        <w:pStyle w:val="BodyText"/>
        <w:widowControl/>
        <w:spacing w:after="110" w:line="278" w:lineRule="auto"/>
        <w:ind w:firstLine="255"/>
      </w:pPr>
      <w:r>
        <w:rPr>
          <w:rFonts w:ascii="Inter" w:hAnsi="Inter" w:eastAsia="Inter"/>
          <w:color w:val="182026"/>
          <w:sz w:val="19"/>
        </w:rPr>
        <w:t>Die Scorecard zeigt positive Werte bei Arbeitsorganisation, Datenqualität und Qualifizierung. Ein kritisches Risiko besteht darin, dass Effizienzgewinne zu Stellenabbau statt Entlastung führen. Der Vertrag enthält deshalb eine Schutzklausel: Der Wirkungsclaim „Verbesserung der Arbeitsbedingungen“ ist nur zulässig, wenn die frei werdende Kapazität nicht unmittelbar in Arbeitsverdichtung oder betriebsbedingte Reduktion überführt wird.</w:t>
      </w:r>
    </w:p>
    <w:p>
      <w:pPr>
        <w:pStyle w:val="BodyText"/>
        <w:widowControl/>
        <w:spacing w:after="110" w:line="278" w:lineRule="auto"/>
        <w:ind w:firstLine="255"/>
      </w:pPr>
      <w:r>
        <w:rPr>
          <w:rFonts w:ascii="Inter" w:hAnsi="Inter" w:eastAsia="Inter"/>
          <w:color w:val="182026"/>
          <w:sz w:val="19"/>
        </w:rPr>
        <w:t>Ergebnis: hoher Kundenwert, positive Netto-Wirkung unter Bedingung, kein separater Wirkungsbonus.</w:t>
      </w:r>
    </w:p>
    <w:p>
      <w:pPr>
        <w:pStyle w:val="Heading2"/>
        <w:widowControl/>
      </w:pPr>
      <w:r>
        <w:t>11.4 Fall C: Forschungs- und Innovationsdienstleistung</w:t>
      </w:r>
    </w:p>
    <w:p>
      <w:pPr>
        <w:pStyle w:val="Heading3"/>
        <w:widowControl/>
      </w:pPr>
      <w:r>
        <w:t>Ausgangslage</w:t>
      </w:r>
    </w:p>
    <w:p>
      <w:pPr>
        <w:pStyle w:val="BodyText"/>
        <w:widowControl/>
        <w:spacing w:after="110" w:line="278" w:lineRule="auto"/>
        <w:ind w:firstLine="255"/>
      </w:pPr>
      <w:r>
        <w:rPr>
          <w:rFonts w:ascii="Inter" w:hAnsi="Inter" w:eastAsia="Inter"/>
          <w:color w:val="182026"/>
          <w:sz w:val="19"/>
        </w:rPr>
        <w:t>Ein Technologieunternehmen erwägt den Einstieg in ein neues Geschäftsfeld. Es benötigt keine klassische Marktstudie, sondern eine Kombination aus wissenschaftlicher Evidenz, Stakeholderwissen, Technologiepfaden, Szenarien und Entscheidungsexperimenten. Ein Forschungs- und Innovationsdienstleister entwickelt mit dem Unternehmen eine belastbare Entscheidungsarchitektur.</w:t>
      </w:r>
    </w:p>
    <w:p>
      <w:pPr>
        <w:pStyle w:val="BodyText"/>
        <w:widowControl/>
        <w:spacing w:after="110" w:line="278" w:lineRule="auto"/>
        <w:ind w:firstLine="255"/>
      </w:pPr>
      <w:r>
        <w:rPr>
          <w:rFonts w:ascii="Inter" w:hAnsi="Inter" w:eastAsia="Inter"/>
          <w:color w:val="182026"/>
          <w:sz w:val="19"/>
        </w:rPr>
        <w:t>Der Aufwand ist in mehreren Fällen ähnlich. Der Wert hängt jedoch stark von Investitionshöhe, Unsicherheit, Zeitdruck und strategischer Bedeutung ab.</w:t>
      </w:r>
    </w:p>
    <w:p>
      <w:pPr>
        <w:pStyle w:val="Heading3"/>
        <w:widowControl/>
      </w:pPr>
      <w:r>
        <w:t>Wertgegenstand</w:t>
      </w:r>
    </w:p>
    <w:p>
      <w:pPr>
        <w:pStyle w:val="BodyText"/>
        <w:widowControl/>
        <w:spacing w:after="110" w:line="278" w:lineRule="auto"/>
        <w:ind w:firstLine="255"/>
      </w:pPr>
      <w:r>
        <w:rPr>
          <w:rFonts w:ascii="Inter" w:hAnsi="Inter" w:eastAsia="Inter"/>
          <w:color w:val="182026"/>
          <w:sz w:val="19"/>
        </w:rPr>
        <w:t>Nicht „Erstellung einer Studie“, sondern:</w:t>
      </w:r>
    </w:p>
    <w:p>
      <w:pPr>
        <w:spacing w:before="120" w:after="140"/>
        <w:ind w:left="340" w:right="227"/>
        <w:shd w:fill="DDEDEA"/>
        <w:widowControl/>
        <w:pBdr>
          <w:left w:val="single" w:sz="8" w:space="4" w:color="163F3D"/>
        </w:pBdr>
      </w:pPr>
      <w:r>
        <w:rPr>
          <w:rFonts w:ascii="Inter" w:hAnsi="Inter" w:eastAsia="Inter"/>
          <w:color w:val="163F3D"/>
          <w:sz w:val="20"/>
        </w:rPr>
        <w:t>Erhöhung der Entscheidungssicherheit für eine Investitionsentscheidung von bis zu 12 Millionen Euro und Aufbau einer wiederverwendbaren Evidenz- und Lernarchitektur.</w:t>
      </w:r>
    </w:p>
    <w:p>
      <w:pPr>
        <w:pStyle w:val="Heading3"/>
        <w:widowControl/>
      </w:pPr>
      <w:r>
        <w:t>Alternative</w:t>
      </w:r>
    </w:p>
    <w:p>
      <w:pPr>
        <w:pStyle w:val="ListBullet"/>
        <w:widowControl/>
        <w:spacing w:after="50" w:line="259" w:lineRule="auto"/>
        <w:ind w:left="369" w:hanging="170"/>
      </w:pPr>
      <w:r>
        <w:rPr>
          <w:rFonts w:ascii="Inter" w:hAnsi="Inter" w:eastAsia="Inter"/>
          <w:color w:val="182026"/>
          <w:sz w:val="18"/>
        </w:rPr>
        <w:t>interne Analyse mit begrenztem wissenschaftlichem Netzwerk,</w:t>
      </w:r>
    </w:p>
    <w:p>
      <w:pPr>
        <w:pStyle w:val="ListBullet"/>
        <w:widowControl/>
        <w:spacing w:after="50" w:line="259" w:lineRule="auto"/>
        <w:ind w:left="369" w:hanging="170"/>
      </w:pPr>
      <w:r>
        <w:rPr>
          <w:rFonts w:ascii="Inter" w:hAnsi="Inter" w:eastAsia="Inter"/>
          <w:color w:val="182026"/>
          <w:sz w:val="18"/>
        </w:rPr>
        <w:t>Entscheidung sechs Monate später,</w:t>
      </w:r>
    </w:p>
    <w:p>
      <w:pPr>
        <w:pStyle w:val="ListBullet"/>
        <w:widowControl/>
        <w:spacing w:after="50" w:line="259" w:lineRule="auto"/>
        <w:ind w:left="369" w:hanging="170"/>
      </w:pPr>
      <w:r>
        <w:rPr>
          <w:rFonts w:ascii="Inter" w:hAnsi="Inter" w:eastAsia="Inter"/>
          <w:color w:val="182026"/>
          <w:sz w:val="18"/>
        </w:rPr>
        <w:t>höhere Gefahr eines Lock-ins in eine ungeeignete Technologie,</w:t>
      </w:r>
    </w:p>
    <w:p>
      <w:pPr>
        <w:pStyle w:val="ListBullet"/>
        <w:widowControl/>
        <w:spacing w:after="50" w:line="259" w:lineRule="auto"/>
        <w:ind w:left="369" w:hanging="170"/>
      </w:pPr>
      <w:r>
        <w:rPr>
          <w:rFonts w:ascii="Inter" w:hAnsi="Inter" w:eastAsia="Inter"/>
          <w:color w:val="182026"/>
          <w:sz w:val="18"/>
        </w:rPr>
        <w:t>geringere Dokumentations- und Lernfähigkeit.</w:t>
      </w:r>
    </w:p>
    <w:p>
      <w:pPr>
        <w:pStyle w:val="Heading3"/>
        <w:widowControl/>
      </w:pPr>
      <w:r>
        <w:t>Wertkomponenten</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Vermeidung einer Fehlentscheidung: erwarteter Risikowert.</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Frühere belastbare Entscheidung: Zeit- und Optionswert.</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Wiederverwendbare Daten- und Evidenzarchitektur: Fähigkeitswert.</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Zugang zu Partnern und Pilotfeldern: Netzwerk- und Umsetzungsvorteil.</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Abbruch einer nicht tragfähigen Option: vermiedene Sunk Costs.</w:t>
      </w:r>
    </w:p>
    <w:p>
      <w:pPr>
        <w:pStyle w:val="Heading3"/>
        <w:widowControl/>
      </w:pPr>
      <w:r>
        <w:t>Szenariorechnung</w:t>
      </w:r>
    </w:p>
    <w:p>
      <w:pPr>
        <w:pStyle w:val="BodyText"/>
        <w:widowControl/>
        <w:spacing w:after="110" w:line="278" w:lineRule="auto"/>
        <w:ind w:firstLine="255"/>
      </w:pPr>
      <w:r>
        <w:rPr>
          <w:rFonts w:ascii="Inter" w:hAnsi="Inter" w:eastAsia="Inter"/>
          <w:color w:val="182026"/>
          <w:sz w:val="19"/>
        </w:rPr>
        <w:t>Die Investition kann bei Erfolg einen erwarteten zusätzlichen Deckungsbeitrag von 4 Millionen Euro über fünf Jahre erzeugen. Die Dienstleistung erhöht nicht „den Erfolg“ direkt, sondern verbessert Auswahl, Design und Abbruchfähigkeit.</w:t>
      </w:r>
    </w:p>
    <w:p>
      <w:pPr>
        <w:pStyle w:val="BodyText"/>
        <w:widowControl/>
        <w:spacing w:after="110" w:line="278" w:lineRule="auto"/>
        <w:ind w:firstLine="255"/>
      </w:pPr>
      <w:r>
        <w:rPr>
          <w:rFonts w:ascii="Inter" w:hAnsi="Inter" w:eastAsia="Inter"/>
          <w:color w:val="182026"/>
          <w:sz w:val="19"/>
        </w:rPr>
        <w:t>Low Case:</w:t>
      </w:r>
    </w:p>
    <w:p>
      <w:pPr>
        <w:pStyle w:val="ListBullet"/>
        <w:widowControl/>
        <w:spacing w:after="50" w:line="259" w:lineRule="auto"/>
        <w:ind w:left="369" w:hanging="170"/>
      </w:pPr>
      <w:r>
        <w:rPr>
          <w:rFonts w:ascii="Inter" w:hAnsi="Inter" w:eastAsia="Inter"/>
          <w:color w:val="182026"/>
          <w:sz w:val="18"/>
        </w:rPr>
        <w:t>250.000 Euro vermiedene Vorentwicklungskosten,</w:t>
      </w:r>
    </w:p>
    <w:p>
      <w:pPr>
        <w:pStyle w:val="ListBullet"/>
        <w:widowControl/>
        <w:spacing w:after="50" w:line="259" w:lineRule="auto"/>
        <w:ind w:left="369" w:hanging="170"/>
      </w:pPr>
      <w:r>
        <w:rPr>
          <w:rFonts w:ascii="Inter" w:hAnsi="Inter" w:eastAsia="Inter"/>
          <w:color w:val="182026"/>
          <w:sz w:val="18"/>
        </w:rPr>
        <w:t>60.000 Euro Wert der früheren Entscheidung,</w:t>
      </w:r>
    </w:p>
    <w:p>
      <w:pPr>
        <w:pStyle w:val="ListBullet"/>
        <w:widowControl/>
        <w:spacing w:after="50" w:line="259" w:lineRule="auto"/>
        <w:ind w:left="369" w:hanging="170"/>
      </w:pPr>
      <w:r>
        <w:rPr>
          <w:rFonts w:ascii="Inter" w:hAnsi="Inter" w:eastAsia="Inter"/>
          <w:color w:val="182026"/>
          <w:sz w:val="18"/>
        </w:rPr>
        <w:t>80.000 Euro wiederverwendbarer Fähigkeitswert,</w:t>
      </w:r>
    </w:p>
    <w:p>
      <w:pPr>
        <w:pStyle w:val="ListBullet"/>
        <w:widowControl/>
        <w:spacing w:after="50" w:line="259" w:lineRule="auto"/>
        <w:ind w:left="369" w:hanging="170"/>
      </w:pPr>
      <w:r>
        <w:rPr>
          <w:rFonts w:ascii="Inter" w:hAnsi="Inter" w:eastAsia="Inter"/>
          <w:color w:val="182026"/>
          <w:sz w:val="18"/>
        </w:rPr>
        <w:t>zurechenbarer Anteil 35 Prozent.</w:t>
      </w:r>
    </w:p>
    <w:p>
      <w:pPr>
        <w:pStyle w:val="BodyText"/>
        <w:widowControl/>
        <w:spacing w:after="110" w:line="278" w:lineRule="auto"/>
        <w:ind w:firstLine="255"/>
      </w:pPr>
      <w:r>
        <w:rPr>
          <w:rFonts w:ascii="Inter" w:hAnsi="Inter" w:eastAsia="Inter"/>
          <w:color w:val="182026"/>
          <w:sz w:val="19"/>
        </w:rPr>
        <w:t>Base Case:</w:t>
      </w:r>
    </w:p>
    <w:p>
      <w:pPr>
        <w:pStyle w:val="ListBullet"/>
        <w:widowControl/>
        <w:spacing w:after="50" w:line="259" w:lineRule="auto"/>
        <w:ind w:left="369" w:hanging="170"/>
      </w:pPr>
      <w:r>
        <w:rPr>
          <w:rFonts w:ascii="Inter" w:hAnsi="Inter" w:eastAsia="Inter"/>
          <w:color w:val="182026"/>
          <w:sz w:val="18"/>
        </w:rPr>
        <w:t>600.000 Euro vermiedene Fehlallokation oder Sunk Costs,</w:t>
      </w:r>
    </w:p>
    <w:p>
      <w:pPr>
        <w:pStyle w:val="ListBullet"/>
        <w:widowControl/>
        <w:spacing w:after="50" w:line="259" w:lineRule="auto"/>
        <w:ind w:left="369" w:hanging="170"/>
      </w:pPr>
      <w:r>
        <w:rPr>
          <w:rFonts w:ascii="Inter" w:hAnsi="Inter" w:eastAsia="Inter"/>
          <w:color w:val="182026"/>
          <w:sz w:val="18"/>
        </w:rPr>
        <w:t>150.000 Euro Zeit- und Optionswert,</w:t>
      </w:r>
    </w:p>
    <w:p>
      <w:pPr>
        <w:pStyle w:val="ListBullet"/>
        <w:widowControl/>
        <w:spacing w:after="50" w:line="259" w:lineRule="auto"/>
        <w:ind w:left="369" w:hanging="170"/>
      </w:pPr>
      <w:r>
        <w:rPr>
          <w:rFonts w:ascii="Inter" w:hAnsi="Inter" w:eastAsia="Inter"/>
          <w:color w:val="182026"/>
          <w:sz w:val="18"/>
        </w:rPr>
        <w:t>180.000 Euro Fähigkeits- und Netzwerkwert,</w:t>
      </w:r>
    </w:p>
    <w:p>
      <w:pPr>
        <w:pStyle w:val="ListBullet"/>
        <w:widowControl/>
        <w:spacing w:after="50" w:line="259" w:lineRule="auto"/>
        <w:ind w:left="369" w:hanging="170"/>
      </w:pPr>
      <w:r>
        <w:rPr>
          <w:rFonts w:ascii="Inter" w:hAnsi="Inter" w:eastAsia="Inter"/>
          <w:color w:val="182026"/>
          <w:sz w:val="18"/>
        </w:rPr>
        <w:t>zurechenbarer Anteil 40 Prozent.</w:t>
      </w:r>
    </w:p>
    <w:p>
      <w:pPr>
        <w:pStyle w:val="BodyText"/>
        <w:widowControl/>
        <w:spacing w:after="110" w:line="278" w:lineRule="auto"/>
        <w:ind w:firstLine="255"/>
      </w:pPr>
      <w:r>
        <w:rPr>
          <w:rFonts w:ascii="Inter" w:hAnsi="Inter" w:eastAsia="Inter"/>
          <w:color w:val="182026"/>
          <w:sz w:val="19"/>
        </w:rPr>
        <w:t>High Case:</w:t>
      </w:r>
    </w:p>
    <w:p>
      <w:pPr>
        <w:pStyle w:val="ListBullet"/>
        <w:widowControl/>
        <w:spacing w:after="50" w:line="259" w:lineRule="auto"/>
        <w:ind w:left="369" w:hanging="170"/>
      </w:pPr>
      <w:r>
        <w:rPr>
          <w:rFonts w:ascii="Inter" w:hAnsi="Inter" w:eastAsia="Inter"/>
          <w:color w:val="182026"/>
          <w:sz w:val="18"/>
        </w:rPr>
        <w:t>deutlich höhere strategische Wirkung; wird nicht zur Festpreisbegründung verwendet, sondern nur als möglicher Upside dokumentiert.</w:t>
      </w:r>
    </w:p>
    <w:p>
      <w:pPr>
        <w:pStyle w:val="Heading3"/>
        <w:widowControl/>
      </w:pPr>
      <w:r>
        <w:t>Vertragsmodell</w:t>
      </w:r>
    </w:p>
    <w:p>
      <w:pPr>
        <w:pStyle w:val="BodyText"/>
        <w:widowControl/>
        <w:spacing w:after="110" w:line="278" w:lineRule="auto"/>
        <w:ind w:firstLine="255"/>
      </w:pPr>
      <w:r>
        <w:rPr>
          <w:rFonts w:ascii="Inter" w:hAnsi="Inter" w:eastAsia="Inter"/>
          <w:color w:val="182026"/>
          <w:sz w:val="19"/>
        </w:rPr>
        <w:t>Da der endgültige Geschäftserfolg von Management, Markt, Technologie und Umsetzung abhängt, wird kein prozentualer Anteil am späteren Unternehmensgewinn vereinbart. Stattdessen:</w:t>
      </w:r>
    </w:p>
    <w:p>
      <w:pPr>
        <w:pStyle w:val="ListBullet"/>
        <w:widowControl/>
        <w:spacing w:after="50" w:line="259" w:lineRule="auto"/>
        <w:ind w:left="369" w:hanging="170"/>
      </w:pPr>
      <w:r>
        <w:rPr>
          <w:rFonts w:ascii="Inter" w:hAnsi="Inter" w:eastAsia="Inter"/>
          <w:color w:val="182026"/>
          <w:sz w:val="18"/>
        </w:rPr>
        <w:t>Discovery- und Designphase: 95.000 Euro Festpreis,</w:t>
      </w:r>
    </w:p>
    <w:p>
      <w:pPr>
        <w:pStyle w:val="ListBullet"/>
        <w:widowControl/>
        <w:spacing w:after="50" w:line="259" w:lineRule="auto"/>
        <w:ind w:left="369" w:hanging="170"/>
      </w:pPr>
      <w:r>
        <w:rPr>
          <w:rFonts w:ascii="Inter" w:hAnsi="Inter" w:eastAsia="Inter"/>
          <w:color w:val="182026"/>
          <w:sz w:val="18"/>
        </w:rPr>
        <w:t>validierter Pilot- und Partnermeilenstein: 30.000 Euro,</w:t>
      </w:r>
    </w:p>
    <w:p>
      <w:pPr>
        <w:pStyle w:val="ListBullet"/>
        <w:widowControl/>
        <w:spacing w:after="50" w:line="259" w:lineRule="auto"/>
        <w:ind w:left="369" w:hanging="170"/>
      </w:pPr>
      <w:r>
        <w:rPr>
          <w:rFonts w:ascii="Inter" w:hAnsi="Inter" w:eastAsia="Inter"/>
          <w:color w:val="182026"/>
          <w:sz w:val="18"/>
        </w:rPr>
        <w:t>Entscheidungsqualitätsbonus: bis 25.000 Euro bei vorab definierten Kriterien,</w:t>
      </w:r>
    </w:p>
    <w:p>
      <w:pPr>
        <w:pStyle w:val="ListBullet"/>
        <w:widowControl/>
        <w:spacing w:after="50" w:line="259" w:lineRule="auto"/>
        <w:ind w:left="369" w:hanging="170"/>
      </w:pPr>
      <w:r>
        <w:rPr>
          <w:rFonts w:ascii="Inter" w:hAnsi="Inter" w:eastAsia="Inter"/>
          <w:color w:val="182026"/>
          <w:sz w:val="18"/>
        </w:rPr>
        <w:t>kein Bonus allein für eine positive Investitionsentscheidung; auch ein evidenzbasiertes „Nein“ kann wertvoll sein.</w:t>
      </w:r>
    </w:p>
    <w:p>
      <w:pPr>
        <w:pStyle w:val="Heading3"/>
        <w:widowControl/>
      </w:pPr>
      <w:r>
        <w:t>Wirkungsrechnung</w:t>
      </w:r>
    </w:p>
    <w:p>
      <w:pPr>
        <w:pStyle w:val="BodyText"/>
        <w:widowControl/>
        <w:spacing w:after="110" w:line="278" w:lineRule="auto"/>
        <w:ind w:firstLine="255"/>
      </w:pPr>
      <w:r>
        <w:rPr>
          <w:rFonts w:ascii="Inter" w:hAnsi="Inter" w:eastAsia="Inter"/>
          <w:color w:val="182026"/>
          <w:sz w:val="19"/>
        </w:rPr>
        <w:t>Mögliche positive Wirkung:</w:t>
      </w:r>
    </w:p>
    <w:p>
      <w:pPr>
        <w:pStyle w:val="ListBullet"/>
        <w:widowControl/>
        <w:spacing w:after="50" w:line="259" w:lineRule="auto"/>
        <w:ind w:left="369" w:hanging="170"/>
      </w:pPr>
      <w:r>
        <w:rPr>
          <w:rFonts w:ascii="Inter" w:hAnsi="Inter" w:eastAsia="Inter"/>
          <w:color w:val="182026"/>
          <w:sz w:val="18"/>
        </w:rPr>
        <w:t>bessere wissenschaftliche Qualität,</w:t>
      </w:r>
    </w:p>
    <w:p>
      <w:pPr>
        <w:pStyle w:val="ListBullet"/>
        <w:widowControl/>
        <w:spacing w:after="50" w:line="259" w:lineRule="auto"/>
        <w:ind w:left="369" w:hanging="170"/>
      </w:pPr>
      <w:r>
        <w:rPr>
          <w:rFonts w:ascii="Inter" w:hAnsi="Inter" w:eastAsia="Inter"/>
          <w:color w:val="182026"/>
          <w:sz w:val="18"/>
        </w:rPr>
        <w:t>offene oder interoperable Datenstandards,</w:t>
      </w:r>
    </w:p>
    <w:p>
      <w:pPr>
        <w:pStyle w:val="ListBullet"/>
        <w:widowControl/>
        <w:spacing w:after="50" w:line="259" w:lineRule="auto"/>
        <w:ind w:left="369" w:hanging="170"/>
      </w:pPr>
      <w:r>
        <w:rPr>
          <w:rFonts w:ascii="Inter" w:hAnsi="Inter" w:eastAsia="Inter"/>
          <w:color w:val="182026"/>
          <w:sz w:val="18"/>
        </w:rPr>
        <w:t>frühe Berücksichtigung von Klima-, Ressourcen-, Arbeits- und Sicherheitswirkung,</w:t>
      </w:r>
    </w:p>
    <w:p>
      <w:pPr>
        <w:pStyle w:val="ListBullet"/>
        <w:widowControl/>
        <w:spacing w:after="50" w:line="259" w:lineRule="auto"/>
        <w:ind w:left="369" w:hanging="170"/>
      </w:pPr>
      <w:r>
        <w:rPr>
          <w:rFonts w:ascii="Inter" w:hAnsi="Inter" w:eastAsia="Inter"/>
          <w:color w:val="182026"/>
          <w:sz w:val="18"/>
        </w:rPr>
        <w:t>Einbindung betroffener Stakeholder,</w:t>
      </w:r>
    </w:p>
    <w:p>
      <w:pPr>
        <w:pStyle w:val="ListBullet"/>
        <w:widowControl/>
        <w:spacing w:after="50" w:line="259" w:lineRule="auto"/>
        <w:ind w:left="369" w:hanging="170"/>
      </w:pPr>
      <w:r>
        <w:rPr>
          <w:rFonts w:ascii="Inter" w:hAnsi="Inter" w:eastAsia="Inter"/>
          <w:color w:val="182026"/>
          <w:sz w:val="18"/>
        </w:rPr>
        <w:t>Vermeidung technologischer Lock-ins.</w:t>
      </w:r>
    </w:p>
    <w:p>
      <w:pPr>
        <w:pStyle w:val="BodyText"/>
        <w:widowControl/>
        <w:spacing w:after="110" w:line="278" w:lineRule="auto"/>
        <w:ind w:firstLine="255"/>
      </w:pPr>
      <w:r>
        <w:rPr>
          <w:rFonts w:ascii="Inter" w:hAnsi="Inter" w:eastAsia="Inter"/>
          <w:color w:val="182026"/>
          <w:sz w:val="19"/>
        </w:rPr>
        <w:t>Kritische Risiken:</w:t>
      </w:r>
    </w:p>
    <w:p>
      <w:pPr>
        <w:pStyle w:val="ListBullet"/>
        <w:widowControl/>
        <w:spacing w:after="50" w:line="259" w:lineRule="auto"/>
        <w:ind w:left="369" w:hanging="170"/>
      </w:pPr>
      <w:r>
        <w:rPr>
          <w:rFonts w:ascii="Inter" w:hAnsi="Inter" w:eastAsia="Inter"/>
          <w:color w:val="182026"/>
          <w:sz w:val="18"/>
        </w:rPr>
        <w:t>Forschung wird auf Kundeninteresse verengt,</w:t>
      </w:r>
    </w:p>
    <w:p>
      <w:pPr>
        <w:pStyle w:val="ListBullet"/>
        <w:widowControl/>
        <w:spacing w:after="50" w:line="259" w:lineRule="auto"/>
        <w:ind w:left="369" w:hanging="170"/>
      </w:pPr>
      <w:r>
        <w:rPr>
          <w:rFonts w:ascii="Inter" w:hAnsi="Inter" w:eastAsia="Inter"/>
          <w:color w:val="182026"/>
          <w:sz w:val="18"/>
        </w:rPr>
        <w:t>negative Ergebnisse werden unterdrückt,</w:t>
      </w:r>
    </w:p>
    <w:p>
      <w:pPr>
        <w:pStyle w:val="ListBullet"/>
        <w:widowControl/>
        <w:spacing w:after="50" w:line="259" w:lineRule="auto"/>
        <w:ind w:left="369" w:hanging="170"/>
      </w:pPr>
      <w:r>
        <w:rPr>
          <w:rFonts w:ascii="Inter" w:hAnsi="Inter" w:eastAsia="Inter"/>
          <w:color w:val="182026"/>
          <w:sz w:val="18"/>
        </w:rPr>
        <w:t>geistiges Eigentum verhindert Wissenstransfer,</w:t>
      </w:r>
    </w:p>
    <w:p>
      <w:pPr>
        <w:pStyle w:val="ListBullet"/>
        <w:widowControl/>
        <w:spacing w:after="50" w:line="259" w:lineRule="auto"/>
        <w:ind w:left="369" w:hanging="170"/>
      </w:pPr>
      <w:r>
        <w:rPr>
          <w:rFonts w:ascii="Inter" w:hAnsi="Inter" w:eastAsia="Inter"/>
          <w:color w:val="182026"/>
          <w:sz w:val="18"/>
        </w:rPr>
        <w:t>Pilotgruppen tragen Risiken ohne faire Beteiligung,</w:t>
      </w:r>
    </w:p>
    <w:p>
      <w:pPr>
        <w:pStyle w:val="ListBullet"/>
        <w:widowControl/>
        <w:spacing w:after="50" w:line="259" w:lineRule="auto"/>
        <w:ind w:left="369" w:hanging="170"/>
      </w:pPr>
      <w:r>
        <w:rPr>
          <w:rFonts w:ascii="Inter" w:hAnsi="Inter" w:eastAsia="Inter"/>
          <w:color w:val="182026"/>
          <w:sz w:val="18"/>
        </w:rPr>
        <w:t>Technologie verstärkt Überwachung oder Diskriminierung.</w:t>
      </w:r>
    </w:p>
    <w:p>
      <w:pPr>
        <w:pStyle w:val="BodyText"/>
        <w:widowControl/>
        <w:spacing w:after="110" w:line="278" w:lineRule="auto"/>
        <w:ind w:firstLine="255"/>
      </w:pPr>
      <w:r>
        <w:rPr>
          <w:rFonts w:ascii="Inter" w:hAnsi="Inter" w:eastAsia="Inter"/>
          <w:color w:val="182026"/>
          <w:sz w:val="19"/>
        </w:rPr>
        <w:t>Das Schutz-Gate verlangt wissenschaftliche Integrität, Transparenz über Unsicherheit, Stakeholder-Schutz und keine erfolgsabhängige Vergütung, die positive Forschungsergebnisse belohnt. Ein positiver NWI kann Beschaffungspräferenz und Partnerschaftsdauer begründen, aber keinen automatischen Preisaufschlag.</w:t>
      </w:r>
    </w:p>
    <w:p>
      <w:pPr>
        <w:pStyle w:val="BodyText"/>
        <w:widowControl/>
        <w:spacing w:after="110" w:line="278" w:lineRule="auto"/>
        <w:ind w:firstLine="255"/>
      </w:pPr>
      <w:r>
        <w:rPr>
          <w:rFonts w:ascii="Inter" w:hAnsi="Inter" w:eastAsia="Inter"/>
          <w:color w:val="182026"/>
          <w:sz w:val="19"/>
        </w:rPr>
        <w:t>Ergebnis: stark wertbegründeter Festpreis mit Meilensteinen; Wirkung wirkt vor allem auf Scope, Methodik und Governance.</w:t>
      </w:r>
    </w:p>
    <w:p>
      <w:pPr>
        <w:pStyle w:val="Heading2"/>
        <w:widowControl/>
      </w:pPr>
      <w:r>
        <w:t>11.5 Fall D: Kreislauftransformation mit Multi-Payer-Modell</w:t>
      </w:r>
    </w:p>
    <w:p>
      <w:pPr>
        <w:pStyle w:val="Heading3"/>
        <w:widowControl/>
      </w:pPr>
      <w:r>
        <w:t>Ausgangslage</w:t>
      </w:r>
    </w:p>
    <w:p>
      <w:pPr>
        <w:pStyle w:val="BodyText"/>
        <w:widowControl/>
        <w:spacing w:after="110" w:line="278" w:lineRule="auto"/>
        <w:ind w:firstLine="255"/>
      </w:pPr>
      <w:r>
        <w:rPr>
          <w:rFonts w:ascii="Inter" w:hAnsi="Inter" w:eastAsia="Inter"/>
          <w:color w:val="182026"/>
          <w:sz w:val="19"/>
        </w:rPr>
        <w:t>Ein Hersteller möchte eine Produktgruppe von linearem Materialeinsatz auf Rücknahme, Reparatur und Rezyklat umstellen. Ein Transformationsdienstleister koordiniert Daten, Lieferanten, Design, Logistik, Pilotierung und Geschäftsmodell.</w:t>
      </w:r>
    </w:p>
    <w:p>
      <w:pPr>
        <w:pStyle w:val="Heading3"/>
        <w:widowControl/>
      </w:pPr>
      <w:r>
        <w:t>Private Kundenwerte</w:t>
      </w:r>
    </w:p>
    <w:p>
      <w:pPr>
        <w:pStyle w:val="ListBullet"/>
        <w:widowControl/>
        <w:spacing w:after="50" w:line="259" w:lineRule="auto"/>
        <w:ind w:left="369" w:hanging="170"/>
      </w:pPr>
      <w:r>
        <w:rPr>
          <w:rFonts w:ascii="Inter" w:hAnsi="Inter" w:eastAsia="Inter"/>
          <w:color w:val="182026"/>
          <w:sz w:val="18"/>
        </w:rPr>
        <w:t>700.000 Euro jährliche Materialeinsparung,</w:t>
      </w:r>
    </w:p>
    <w:p>
      <w:pPr>
        <w:pStyle w:val="ListBullet"/>
        <w:widowControl/>
        <w:spacing w:after="50" w:line="259" w:lineRule="auto"/>
        <w:ind w:left="369" w:hanging="170"/>
      </w:pPr>
      <w:r>
        <w:rPr>
          <w:rFonts w:ascii="Inter" w:hAnsi="Inter" w:eastAsia="Inter"/>
          <w:color w:val="182026"/>
          <w:sz w:val="18"/>
        </w:rPr>
        <w:t>220.000 Euro geringere Entsorgungs- und Compliancekosten,</w:t>
      </w:r>
    </w:p>
    <w:p>
      <w:pPr>
        <w:pStyle w:val="ListBullet"/>
        <w:widowControl/>
        <w:spacing w:after="50" w:line="259" w:lineRule="auto"/>
        <w:ind w:left="369" w:hanging="170"/>
      </w:pPr>
      <w:r>
        <w:rPr>
          <w:rFonts w:ascii="Inter" w:hAnsi="Inter" w:eastAsia="Inter"/>
          <w:color w:val="182026"/>
          <w:sz w:val="18"/>
        </w:rPr>
        <w:t>180.000 Euro erwartete geringere Lieferkettenrisiken,</w:t>
      </w:r>
    </w:p>
    <w:p>
      <w:pPr>
        <w:pStyle w:val="ListBullet"/>
        <w:widowControl/>
        <w:spacing w:after="50" w:line="259" w:lineRule="auto"/>
        <w:ind w:left="369" w:hanging="170"/>
      </w:pPr>
      <w:r>
        <w:rPr>
          <w:rFonts w:ascii="Inter" w:hAnsi="Inter" w:eastAsia="Inter"/>
          <w:color w:val="182026"/>
          <w:sz w:val="18"/>
        </w:rPr>
        <w:t>300.000 Euro zusätzlicher Deckungsbeitrag durch Service- und Rücknahmemodell,</w:t>
      </w:r>
    </w:p>
    <w:p>
      <w:pPr>
        <w:pStyle w:val="ListBullet"/>
        <w:widowControl/>
        <w:spacing w:after="50" w:line="259" w:lineRule="auto"/>
        <w:ind w:left="369" w:hanging="170"/>
      </w:pPr>
      <w:r>
        <w:rPr>
          <w:rFonts w:ascii="Inter" w:hAnsi="Inter" w:eastAsia="Inter"/>
          <w:color w:val="182026"/>
          <w:sz w:val="18"/>
        </w:rPr>
        <w:t>240.000 Euro kundenseitige jährliche Zusatzkosten für Rücknahme und Qualitätssicherung.</w:t>
      </w:r>
    </w:p>
    <w:p>
      <w:pPr>
        <w:pStyle w:val="BodyText"/>
        <w:widowControl/>
        <w:spacing w:after="110" w:line="278" w:lineRule="auto"/>
        <w:ind w:firstLine="255"/>
      </w:pPr>
      <w:r>
        <w:rPr>
          <w:rFonts w:ascii="Inter" w:hAnsi="Inter" w:eastAsia="Inter"/>
          <w:color w:val="182026"/>
          <w:sz w:val="19"/>
        </w:rPr>
        <w:t>Nach Counterfactual, Zurechnung und Diskontierung wird ein zurechenbarer direkter Nettokundenwert von 650.000 Euro im ersten Jahr und 2,1 Millionen Euro über vier Jahre modelliert.</w:t>
      </w:r>
    </w:p>
    <w:p>
      <w:pPr>
        <w:pStyle w:val="Heading3"/>
        <w:widowControl/>
      </w:pPr>
      <w:r>
        <w:t>Systemische Nutzen</w:t>
      </w:r>
    </w:p>
    <w:p>
      <w:pPr>
        <w:pStyle w:val="ListBullet"/>
        <w:widowControl/>
        <w:spacing w:after="50" w:line="259" w:lineRule="auto"/>
        <w:ind w:left="369" w:hanging="170"/>
      </w:pPr>
      <w:r>
        <w:rPr>
          <w:rFonts w:ascii="Inter" w:hAnsi="Inter" w:eastAsia="Inter"/>
          <w:color w:val="182026"/>
          <w:sz w:val="18"/>
        </w:rPr>
        <w:t>geringerer Primärrohstoffverbrauch,</w:t>
      </w:r>
    </w:p>
    <w:p>
      <w:pPr>
        <w:pStyle w:val="ListBullet"/>
        <w:widowControl/>
        <w:spacing w:after="50" w:line="259" w:lineRule="auto"/>
        <w:ind w:left="369" w:hanging="170"/>
      </w:pPr>
      <w:r>
        <w:rPr>
          <w:rFonts w:ascii="Inter" w:hAnsi="Inter" w:eastAsia="Inter"/>
          <w:color w:val="182026"/>
          <w:sz w:val="18"/>
        </w:rPr>
        <w:t>vermiedene Abfälle und Emissionen,</w:t>
      </w:r>
    </w:p>
    <w:p>
      <w:pPr>
        <w:pStyle w:val="ListBullet"/>
        <w:widowControl/>
        <w:spacing w:after="50" w:line="259" w:lineRule="auto"/>
        <w:ind w:left="369" w:hanging="170"/>
      </w:pPr>
      <w:r>
        <w:rPr>
          <w:rFonts w:ascii="Inter" w:hAnsi="Inter" w:eastAsia="Inter"/>
          <w:color w:val="182026"/>
          <w:sz w:val="18"/>
        </w:rPr>
        <w:t>Qualifizierung regionaler Reparaturpartner,</w:t>
      </w:r>
    </w:p>
    <w:p>
      <w:pPr>
        <w:pStyle w:val="ListBullet"/>
        <w:widowControl/>
        <w:spacing w:after="50" w:line="259" w:lineRule="auto"/>
        <w:ind w:left="369" w:hanging="170"/>
      </w:pPr>
      <w:r>
        <w:rPr>
          <w:rFonts w:ascii="Inter" w:hAnsi="Inter" w:eastAsia="Inter"/>
          <w:color w:val="182026"/>
          <w:sz w:val="18"/>
        </w:rPr>
        <w:t>offene Schnittstellen für Rücknahmedaten,</w:t>
      </w:r>
    </w:p>
    <w:p>
      <w:pPr>
        <w:pStyle w:val="ListBullet"/>
        <w:widowControl/>
        <w:spacing w:after="50" w:line="259" w:lineRule="auto"/>
        <w:ind w:left="369" w:hanging="170"/>
      </w:pPr>
      <w:r>
        <w:rPr>
          <w:rFonts w:ascii="Inter" w:hAnsi="Inter" w:eastAsia="Inter"/>
          <w:color w:val="182026"/>
          <w:sz w:val="18"/>
        </w:rPr>
        <w:t>veränderte Lieferantenstandards,</w:t>
      </w:r>
    </w:p>
    <w:p>
      <w:pPr>
        <w:pStyle w:val="ListBullet"/>
        <w:widowControl/>
        <w:spacing w:after="50" w:line="259" w:lineRule="auto"/>
        <w:ind w:left="369" w:hanging="170"/>
      </w:pPr>
      <w:r>
        <w:rPr>
          <w:rFonts w:ascii="Inter" w:hAnsi="Inter" w:eastAsia="Inter"/>
          <w:color w:val="182026"/>
          <w:sz w:val="18"/>
        </w:rPr>
        <w:t>mögliche Branchenwirkung.</w:t>
      </w:r>
    </w:p>
    <w:p>
      <w:pPr>
        <w:pStyle w:val="BodyText"/>
        <w:widowControl/>
        <w:spacing w:after="110" w:line="278" w:lineRule="auto"/>
        <w:ind w:firstLine="255"/>
      </w:pPr>
      <w:r>
        <w:rPr>
          <w:rFonts w:ascii="Inter" w:hAnsi="Inter" w:eastAsia="Inter"/>
          <w:color w:val="182026"/>
          <w:sz w:val="19"/>
        </w:rPr>
        <w:t>Diese Nutzen fallen nicht vollständig beim Hersteller an. Ein regionaler Transformationsfonds und ein Branchenverband haben ein eigenes Mandat für Kreislaufwirtschaft und Qualifizierung.</w:t>
      </w:r>
    </w:p>
    <w:p>
      <w:pPr>
        <w:pStyle w:val="Heading3"/>
        <w:widowControl/>
      </w:pPr>
      <w:r>
        <w:t>Vertrags- und Finanzierungsarchitektur</w:t>
      </w:r>
    </w:p>
    <w:p>
      <w:pPr>
        <w:pStyle w:val="BodyText"/>
        <w:widowControl/>
        <w:spacing w:after="110" w:line="278" w:lineRule="auto"/>
        <w:ind w:firstLine="255"/>
      </w:pPr>
      <w:r>
        <w:rPr>
          <w:rFonts w:ascii="Inter" w:hAnsi="Inter" w:eastAsia="Inter"/>
          <w:color w:val="182026"/>
          <w:sz w:val="19"/>
        </w:rPr>
        <w:t>Hersteller:</w:t>
      </w:r>
    </w:p>
    <w:p>
      <w:pPr>
        <w:pStyle w:val="ListBullet"/>
        <w:widowControl/>
        <w:spacing w:after="50" w:line="259" w:lineRule="auto"/>
        <w:ind w:left="369" w:hanging="170"/>
      </w:pPr>
      <w:r>
        <w:rPr>
          <w:rFonts w:ascii="Inter" w:hAnsi="Inter" w:eastAsia="Inter"/>
          <w:color w:val="182026"/>
          <w:sz w:val="18"/>
        </w:rPr>
        <w:t>Basisvergütung 260.000 Euro,</w:t>
      </w:r>
    </w:p>
    <w:p>
      <w:pPr>
        <w:pStyle w:val="ListBullet"/>
        <w:widowControl/>
        <w:spacing w:after="50" w:line="259" w:lineRule="auto"/>
        <w:ind w:left="369" w:hanging="170"/>
      </w:pPr>
      <w:r>
        <w:rPr>
          <w:rFonts w:ascii="Inter" w:hAnsi="Inter" w:eastAsia="Inter"/>
          <w:color w:val="182026"/>
          <w:sz w:val="18"/>
        </w:rPr>
        <w:t>Value-Komponente 6 Prozent des verifizierten direkten Nettokundenwerts im ersten Jahr, Cap 60.000 Euro.</w:t>
      </w:r>
    </w:p>
    <w:p>
      <w:pPr>
        <w:pStyle w:val="BodyText"/>
        <w:widowControl/>
        <w:spacing w:after="110" w:line="278" w:lineRule="auto"/>
        <w:ind w:firstLine="255"/>
      </w:pPr>
      <w:r>
        <w:rPr>
          <w:rFonts w:ascii="Inter" w:hAnsi="Inter" w:eastAsia="Inter"/>
          <w:color w:val="182026"/>
          <w:sz w:val="19"/>
        </w:rPr>
        <w:t>Transformationsfonds:</w:t>
      </w:r>
    </w:p>
    <w:p>
      <w:pPr>
        <w:pStyle w:val="ListBullet"/>
        <w:widowControl/>
        <w:spacing w:after="50" w:line="259" w:lineRule="auto"/>
        <w:ind w:left="369" w:hanging="170"/>
      </w:pPr>
      <w:r>
        <w:rPr>
          <w:rFonts w:ascii="Inter" w:hAnsi="Inter" w:eastAsia="Inter"/>
          <w:color w:val="182026"/>
          <w:sz w:val="18"/>
        </w:rPr>
        <w:t>bis zu 90.000 Euro für verifizierte Qualifizierung, regionale Reparaturinfrastruktur und offene Datenschnittstellen.</w:t>
      </w:r>
    </w:p>
    <w:p>
      <w:pPr>
        <w:pStyle w:val="BodyText"/>
        <w:widowControl/>
        <w:spacing w:after="110" w:line="278" w:lineRule="auto"/>
        <w:ind w:firstLine="255"/>
      </w:pPr>
      <w:r>
        <w:rPr>
          <w:rFonts w:ascii="Inter" w:hAnsi="Inter" w:eastAsia="Inter"/>
          <w:color w:val="182026"/>
          <w:sz w:val="19"/>
        </w:rPr>
        <w:t>Branchenverband:</w:t>
      </w:r>
    </w:p>
    <w:p>
      <w:pPr>
        <w:pStyle w:val="ListBullet"/>
        <w:widowControl/>
        <w:spacing w:after="50" w:line="259" w:lineRule="auto"/>
        <w:ind w:left="369" w:hanging="170"/>
      </w:pPr>
      <w:r>
        <w:rPr>
          <w:rFonts w:ascii="Inter" w:hAnsi="Inter" w:eastAsia="Inter"/>
          <w:color w:val="182026"/>
          <w:sz w:val="18"/>
        </w:rPr>
        <w:t>40.000 Euro für dokumentierten Standard- und Transferbaustein, der mehreren Mitgliedern zugänglich ist.</w:t>
      </w:r>
    </w:p>
    <w:p>
      <w:pPr>
        <w:pStyle w:val="Heading3"/>
        <w:widowControl/>
      </w:pPr>
      <w:r>
        <w:t>Wirkungsmessung</w:t>
      </w:r>
    </w:p>
    <w:p>
      <w:pPr>
        <w:pStyle w:val="BodyText"/>
        <w:widowControl/>
        <w:spacing w:after="110" w:line="278" w:lineRule="auto"/>
        <w:ind w:firstLine="255"/>
      </w:pPr>
      <w:r>
        <w:rPr>
          <w:rFonts w:ascii="Inter" w:hAnsi="Inter" w:eastAsia="Inter"/>
          <w:color w:val="182026"/>
          <w:sz w:val="19"/>
        </w:rPr>
        <w:t>Die Scorecard verwendet KII zu Material, Emissionen, Reparierbarkeit, Arbeitsstandards, Zugang kleiner Partner, Datenrechten und Rücknahmequalität. Der NWI muss positiv sein und darf keine rote Linie bei Arbeit, Produktsicherheit oder Datenmissbrauch zeigen.</w:t>
      </w:r>
    </w:p>
    <w:p>
      <w:pPr>
        <w:pStyle w:val="BodyText"/>
        <w:widowControl/>
        <w:spacing w:after="110" w:line="278" w:lineRule="auto"/>
        <w:ind w:firstLine="255"/>
      </w:pPr>
      <w:r>
        <w:rPr>
          <w:rFonts w:ascii="Inter" w:hAnsi="Inter" w:eastAsia="Inter"/>
          <w:color w:val="182026"/>
          <w:sz w:val="19"/>
        </w:rPr>
        <w:t>T-SROI wird nur für separat belegte Transformationsnutzenströme verwendet. Ein bloßer „Branchenmultiplikator“ ist nicht zulässig. Beispielsweise werden nur tatsächlich übernommene Standards, belegte zusätzliche Reparaturkapazitäten und monetarisierbare vermiedene Systemkosten berücksichtigt.</w:t>
      </w:r>
    </w:p>
    <w:p>
      <w:pPr>
        <w:pStyle w:val="BodyText"/>
        <w:widowControl/>
        <w:spacing w:after="110" w:line="278" w:lineRule="auto"/>
        <w:ind w:firstLine="255"/>
      </w:pPr>
      <w:r>
        <w:rPr>
          <w:rFonts w:ascii="Inter" w:hAnsi="Inter" w:eastAsia="Inter"/>
          <w:color w:val="182026"/>
          <w:sz w:val="19"/>
        </w:rPr>
        <w:t>Ergebnis: Der Kundenpreis bildet den privaten Nutzen ab; die verteilte Wirkung wird durch weitere Nutzenempfänger finanziert. WVP verhindert, dass der Hersteller allein für öffentlichen Nutzen zahlen muss oder der Dienstleister gesellschaftliche Wirkung kostenlos bereitstellt.</w:t>
      </w:r>
    </w:p>
    <w:p>
      <w:pPr>
        <w:pStyle w:val="Heading2"/>
        <w:widowControl/>
      </w:pPr>
      <w:r>
        <w:t>11.6 Fall E: Kultur- und Führungsentwicklung</w:t>
      </w:r>
    </w:p>
    <w:p>
      <w:pPr>
        <w:pStyle w:val="Heading3"/>
        <w:widowControl/>
      </w:pPr>
      <w:r>
        <w:t>Ausgangslage</w:t>
      </w:r>
    </w:p>
    <w:p>
      <w:pPr>
        <w:pStyle w:val="BodyText"/>
        <w:widowControl/>
        <w:spacing w:after="110" w:line="278" w:lineRule="auto"/>
        <w:ind w:firstLine="255"/>
      </w:pPr>
      <w:r>
        <w:rPr>
          <w:rFonts w:ascii="Inter" w:hAnsi="Inter" w:eastAsia="Inter"/>
          <w:color w:val="182026"/>
          <w:sz w:val="19"/>
        </w:rPr>
        <w:t>Ein Unternehmen möchte psychologische Sicherheit, bereichsübergreifende Zusammenarbeit und Fehlerlernen verbessern. Fluktuation, Krankheitsquote und Projektverzögerungen sind erhöht. Ein Beratungsunternehmen bietet Diagnose, Führungslabore, Teamarbeit und Governance-Anpassungen an.</w:t>
      </w:r>
    </w:p>
    <w:p>
      <w:pPr>
        <w:pStyle w:val="Heading3"/>
        <w:widowControl/>
      </w:pPr>
      <w:r>
        <w:t>Warum Gainsharing hier riskant ist</w:t>
      </w:r>
    </w:p>
    <w:p>
      <w:pPr>
        <w:pStyle w:val="BodyText"/>
        <w:widowControl/>
        <w:spacing w:after="110" w:line="278" w:lineRule="auto"/>
        <w:ind w:firstLine="255"/>
      </w:pPr>
      <w:r>
        <w:rPr>
          <w:rFonts w:ascii="Inter" w:hAnsi="Inter" w:eastAsia="Inter"/>
          <w:color w:val="182026"/>
          <w:sz w:val="19"/>
        </w:rPr>
        <w:t>Fluktuation und Krankheit werden von Arbeitsmarkt, Führung, Vergütung, privater Situation, Reorganisation und Meldekultur beeinflusst. Ein Erfolgsbonus auf sinkende Krankheitsquote könnte Druck zur Nichtmeldung erzeugen. Ein Bonus auf niedrige Fluktuation könnte notwendige Veränderungen verhindern. Kausalität ist begrenzt.</w:t>
      </w:r>
    </w:p>
    <w:p>
      <w:pPr>
        <w:pStyle w:val="Heading3"/>
        <w:widowControl/>
      </w:pPr>
      <w:r>
        <w:t>Geeignete Architektur</w:t>
      </w:r>
    </w:p>
    <w:p>
      <w:pPr>
        <w:pStyle w:val="ListBullet"/>
        <w:widowControl/>
        <w:spacing w:after="50" w:line="259" w:lineRule="auto"/>
        <w:ind w:left="369" w:hanging="170"/>
      </w:pPr>
      <w:r>
        <w:rPr>
          <w:rFonts w:ascii="Inter" w:hAnsi="Inter" w:eastAsia="Inter"/>
          <w:color w:val="182026"/>
          <w:sz w:val="18"/>
        </w:rPr>
        <w:t>wertbegründeter Festpreis für Diagnose und Intervention,</w:t>
      </w:r>
    </w:p>
    <w:p>
      <w:pPr>
        <w:pStyle w:val="ListBullet"/>
        <w:widowControl/>
        <w:spacing w:after="50" w:line="259" w:lineRule="auto"/>
        <w:ind w:left="369" w:hanging="170"/>
      </w:pPr>
      <w:r>
        <w:rPr>
          <w:rFonts w:ascii="Inter" w:hAnsi="Inter" w:eastAsia="Inter"/>
          <w:color w:val="182026"/>
          <w:sz w:val="18"/>
        </w:rPr>
        <w:t>Meilensteine für implementierte Governance- und Lernstrukturen,</w:t>
      </w:r>
    </w:p>
    <w:p>
      <w:pPr>
        <w:pStyle w:val="ListBullet"/>
        <w:widowControl/>
        <w:spacing w:after="50" w:line="259" w:lineRule="auto"/>
        <w:ind w:left="369" w:hanging="170"/>
      </w:pPr>
      <w:r>
        <w:rPr>
          <w:rFonts w:ascii="Inter" w:hAnsi="Inter" w:eastAsia="Inter"/>
          <w:color w:val="182026"/>
          <w:sz w:val="18"/>
        </w:rPr>
        <w:t>kleiner Outcome-Anteil auf ein Portfolio aus validierten Indikatoren,</w:t>
      </w:r>
    </w:p>
    <w:p>
      <w:pPr>
        <w:pStyle w:val="ListBullet"/>
        <w:widowControl/>
        <w:spacing w:after="50" w:line="259" w:lineRule="auto"/>
        <w:ind w:left="369" w:hanging="170"/>
      </w:pPr>
      <w:r>
        <w:rPr>
          <w:rFonts w:ascii="Inter" w:hAnsi="Inter" w:eastAsia="Inter"/>
          <w:color w:val="182026"/>
          <w:sz w:val="18"/>
        </w:rPr>
        <w:t>kein Bonus auf einzelne sensible Personaldaten,</w:t>
      </w:r>
    </w:p>
    <w:p>
      <w:pPr>
        <w:pStyle w:val="ListBullet"/>
        <w:widowControl/>
        <w:spacing w:after="50" w:line="259" w:lineRule="auto"/>
        <w:ind w:left="369" w:hanging="170"/>
      </w:pPr>
      <w:r>
        <w:rPr>
          <w:rFonts w:ascii="Inter" w:hAnsi="Inter" w:eastAsia="Inter"/>
          <w:color w:val="182026"/>
          <w:sz w:val="18"/>
        </w:rPr>
        <w:t>anonyme und aggregierte Erhebung,</w:t>
      </w:r>
    </w:p>
    <w:p>
      <w:pPr>
        <w:pStyle w:val="ListBullet"/>
        <w:widowControl/>
        <w:spacing w:after="50" w:line="259" w:lineRule="auto"/>
        <w:ind w:left="369" w:hanging="170"/>
      </w:pPr>
      <w:r>
        <w:rPr>
          <w:rFonts w:ascii="Inter" w:hAnsi="Inter" w:eastAsia="Inter"/>
          <w:color w:val="182026"/>
          <w:sz w:val="18"/>
        </w:rPr>
        <w:t>unabhängige Mitarbeitendenperspektive,</w:t>
      </w:r>
    </w:p>
    <w:p>
      <w:pPr>
        <w:pStyle w:val="ListBullet"/>
        <w:widowControl/>
        <w:spacing w:after="50" w:line="259" w:lineRule="auto"/>
        <w:ind w:left="369" w:hanging="170"/>
      </w:pPr>
      <w:r>
        <w:rPr>
          <w:rFonts w:ascii="Inter" w:hAnsi="Inter" w:eastAsia="Inter"/>
          <w:color w:val="182026"/>
          <w:sz w:val="18"/>
        </w:rPr>
        <w:t>Schutz-Gate für Arbeitsverdichtung, Diskriminierung und Repressalien.</w:t>
      </w:r>
    </w:p>
    <w:p>
      <w:pPr>
        <w:pStyle w:val="Heading3"/>
        <w:widowControl/>
      </w:pPr>
      <w:r>
        <w:t>Kundenwert</w:t>
      </w:r>
    </w:p>
    <w:p>
      <w:pPr>
        <w:pStyle w:val="BodyText"/>
        <w:widowControl/>
        <w:spacing w:after="110" w:line="278" w:lineRule="auto"/>
        <w:ind w:firstLine="255"/>
      </w:pPr>
      <w:r>
        <w:rPr>
          <w:rFonts w:ascii="Inter" w:hAnsi="Inter" w:eastAsia="Inter"/>
          <w:color w:val="182026"/>
          <w:sz w:val="19"/>
        </w:rPr>
        <w:t>Der wirtschaftliche Wert wird als Szenario beschrieben:</w:t>
      </w:r>
    </w:p>
    <w:p>
      <w:pPr>
        <w:pStyle w:val="ListBullet"/>
        <w:widowControl/>
        <w:spacing w:after="50" w:line="259" w:lineRule="auto"/>
        <w:ind w:left="369" w:hanging="170"/>
      </w:pPr>
      <w:r>
        <w:rPr>
          <w:rFonts w:ascii="Inter" w:hAnsi="Inter" w:eastAsia="Inter"/>
          <w:color w:val="182026"/>
          <w:sz w:val="18"/>
        </w:rPr>
        <w:t>vermiedene Projektverzögerungen,</w:t>
      </w:r>
    </w:p>
    <w:p>
      <w:pPr>
        <w:pStyle w:val="ListBullet"/>
        <w:widowControl/>
        <w:spacing w:after="50" w:line="259" w:lineRule="auto"/>
        <w:ind w:left="369" w:hanging="170"/>
      </w:pPr>
      <w:r>
        <w:rPr>
          <w:rFonts w:ascii="Inter" w:hAnsi="Inter" w:eastAsia="Inter"/>
          <w:color w:val="182026"/>
          <w:sz w:val="18"/>
        </w:rPr>
        <w:t>geringere Rekrutierungs- und Einarbeitungskosten,</w:t>
      </w:r>
    </w:p>
    <w:p>
      <w:pPr>
        <w:pStyle w:val="ListBullet"/>
        <w:widowControl/>
        <w:spacing w:after="50" w:line="259" w:lineRule="auto"/>
        <w:ind w:left="369" w:hanging="170"/>
      </w:pPr>
      <w:r>
        <w:rPr>
          <w:rFonts w:ascii="Inter" w:hAnsi="Inter" w:eastAsia="Inter"/>
          <w:color w:val="182026"/>
          <w:sz w:val="18"/>
        </w:rPr>
        <w:t>bessere Risikofrüherkennung,</w:t>
      </w:r>
    </w:p>
    <w:p>
      <w:pPr>
        <w:pStyle w:val="ListBullet"/>
        <w:widowControl/>
        <w:spacing w:after="50" w:line="259" w:lineRule="auto"/>
        <w:ind w:left="369" w:hanging="170"/>
      </w:pPr>
      <w:r>
        <w:rPr>
          <w:rFonts w:ascii="Inter" w:hAnsi="Inter" w:eastAsia="Inter"/>
          <w:color w:val="182026"/>
          <w:sz w:val="18"/>
        </w:rPr>
        <w:t>höhere Entscheidungsqualität,</w:t>
      </w:r>
    </w:p>
    <w:p>
      <w:pPr>
        <w:pStyle w:val="ListBullet"/>
        <w:widowControl/>
        <w:spacing w:after="50" w:line="259" w:lineRule="auto"/>
        <w:ind w:left="369" w:hanging="170"/>
      </w:pPr>
      <w:r>
        <w:rPr>
          <w:rFonts w:ascii="Inter" w:hAnsi="Inter" w:eastAsia="Inter"/>
          <w:color w:val="182026"/>
          <w:sz w:val="18"/>
        </w:rPr>
        <w:t>weniger Blind- und Verlustleistung.</w:t>
      </w:r>
    </w:p>
    <w:p>
      <w:pPr>
        <w:pStyle w:val="BodyText"/>
        <w:widowControl/>
        <w:spacing w:after="110" w:line="278" w:lineRule="auto"/>
        <w:ind w:firstLine="255"/>
      </w:pPr>
      <w:r>
        <w:rPr>
          <w:rFonts w:ascii="Inter" w:hAnsi="Inter" w:eastAsia="Inter"/>
          <w:color w:val="182026"/>
          <w:sz w:val="19"/>
        </w:rPr>
        <w:t>Nur nachweisbare oder plausibilisierte Komponenten fließen in die Preisbegründung. Die Leistung wird nicht danach bezahlt, ob Mitarbeitende „zufriedener“ antworten.</w:t>
      </w:r>
    </w:p>
    <w:p>
      <w:pPr>
        <w:pStyle w:val="Heading3"/>
        <w:widowControl/>
      </w:pPr>
      <w:r>
        <w:t>Wirkungsrechnung</w:t>
      </w:r>
    </w:p>
    <w:p>
      <w:pPr>
        <w:pStyle w:val="BodyText"/>
        <w:widowControl/>
        <w:spacing w:after="110" w:line="278" w:lineRule="auto"/>
        <w:ind w:firstLine="255"/>
      </w:pPr>
      <w:r>
        <w:rPr>
          <w:rFonts w:ascii="Inter" w:hAnsi="Inter" w:eastAsia="Inter"/>
          <w:color w:val="182026"/>
          <w:sz w:val="19"/>
        </w:rPr>
        <w:t>Die Wirkungsrechnung steht hier im Vordergrund: psychische Sicherheit, Gesundheit, Fairness, Beteiligung, Beschwerdewirksamkeit, Lernkultur und Machtverteilung. Ein positiver NWI setzt voraus, dass Ergebnisse nicht zur individuellen Leistungsbewertung missbraucht werden.</w:t>
      </w:r>
    </w:p>
    <w:p>
      <w:pPr>
        <w:pStyle w:val="BodyText"/>
        <w:widowControl/>
        <w:spacing w:after="110" w:line="278" w:lineRule="auto"/>
        <w:ind w:firstLine="255"/>
      </w:pPr>
      <w:r>
        <w:rPr>
          <w:rFonts w:ascii="Inter" w:hAnsi="Inter" w:eastAsia="Inter"/>
          <w:color w:val="182026"/>
          <w:sz w:val="19"/>
        </w:rPr>
        <w:t>Ergebnis: hoher möglicher Kundenwert, aber schwache Zurechenbarkeit. Deshalb hoher Festanteil, geringe variable Komponente und starke Schutzarchitektur.</w:t>
      </w:r>
    </w:p>
    <w:p>
      <w:pPr>
        <w:pStyle w:val="Heading2"/>
        <w:widowControl/>
      </w:pPr>
      <w:r>
        <w:t>11.7 Vergleich der Fälle</w:t>
      </w:r>
    </w:p>
    <w:tbl>
      <w:tblPr>
        <w:tblStyle w:val="TableGrid"/>
        <w:tblW w:type="auto" w:w="0"/>
        <w:jc w:val="center"/>
        <w:tblLayout w:type="fixed"/>
        <w:tblLook w:firstColumn="1" w:firstRow="1" w:lastColumn="0" w:lastRow="0" w:noHBand="0" w:noVBand="1" w:val="04A0"/>
      </w:tblPr>
      <w:tblGrid>
        <w:gridCol w:w="1972"/>
        <w:gridCol w:w="1972"/>
        <w:gridCol w:w="1972"/>
        <w:gridCol w:w="1972"/>
        <w:gridCol w:w="1972"/>
      </w:tblGrid>
      <w:tr>
        <w:trPr>
          <w:tblHeader w:val="true"/>
        </w:trPr>
        <w:tc>
          <w:tcPr>
            <w:tcW w:type="dxa" w:w="1800"/>
            <w:shd w:fill="163F3D"/>
            <w:tcMar>
              <w:top w:w="100" w:type="dxa"/>
              <w:start w:w="100" w:type="dxa"/>
              <w:bottom w:w="100" w:type="dxa"/>
              <w:end w:w="100" w:type="dxa"/>
            </w:tcMar>
          </w:tcPr>
          <w:p>
            <w:pPr>
              <w:widowControl/>
              <w:jc w:val="left"/>
            </w:pPr>
            <w:r>
              <w:rPr>
                <w:rFonts w:ascii="Inter" w:hAnsi="Inter" w:eastAsia="Inter"/>
                <w:b/>
                <w:color w:val="FFFFFF"/>
                <w:sz w:val="15"/>
              </w:rPr>
              <w:t>Fall</w:t>
            </w:r>
          </w:p>
        </w:tc>
        <w:tc>
          <w:tcPr>
            <w:tcW w:type="dxa" w:w="2232"/>
            <w:shd w:fill="163F3D"/>
            <w:tcMar>
              <w:top w:w="100" w:type="dxa"/>
              <w:start w:w="100" w:type="dxa"/>
              <w:bottom w:w="100" w:type="dxa"/>
              <w:end w:w="100" w:type="dxa"/>
            </w:tcMar>
          </w:tcPr>
          <w:p>
            <w:pPr>
              <w:widowControl/>
              <w:jc w:val="left"/>
            </w:pPr>
            <w:r>
              <w:rPr>
                <w:rFonts w:ascii="Inter" w:hAnsi="Inter" w:eastAsia="Inter"/>
                <w:b/>
                <w:color w:val="FFFFFF"/>
                <w:sz w:val="15"/>
              </w:rPr>
              <w:t>Kundenwert</w:t>
            </w:r>
          </w:p>
        </w:tc>
        <w:tc>
          <w:tcPr>
            <w:tcW w:type="dxa" w:w="1800"/>
            <w:shd w:fill="163F3D"/>
            <w:tcMar>
              <w:top w:w="100" w:type="dxa"/>
              <w:start w:w="100" w:type="dxa"/>
              <w:bottom w:w="100" w:type="dxa"/>
              <w:end w:w="100" w:type="dxa"/>
            </w:tcMar>
          </w:tcPr>
          <w:p>
            <w:pPr>
              <w:widowControl/>
              <w:jc w:val="left"/>
            </w:pPr>
            <w:r>
              <w:rPr>
                <w:rFonts w:ascii="Inter" w:hAnsi="Inter" w:eastAsia="Inter"/>
                <w:b/>
                <w:color w:val="FFFFFF"/>
                <w:sz w:val="15"/>
              </w:rPr>
              <w:t>Zurechenbarkeit</w:t>
            </w:r>
          </w:p>
        </w:tc>
        <w:tc>
          <w:tcPr>
            <w:tcW w:type="dxa" w:w="2088"/>
            <w:shd w:fill="163F3D"/>
            <w:tcMar>
              <w:top w:w="100" w:type="dxa"/>
              <w:start w:w="100" w:type="dxa"/>
              <w:bottom w:w="100" w:type="dxa"/>
              <w:end w:w="100" w:type="dxa"/>
            </w:tcMar>
          </w:tcPr>
          <w:p>
            <w:pPr>
              <w:widowControl/>
              <w:jc w:val="left"/>
            </w:pPr>
            <w:r>
              <w:rPr>
                <w:rFonts w:ascii="Inter" w:hAnsi="Inter" w:eastAsia="Inter"/>
                <w:b/>
                <w:color w:val="FFFFFF"/>
                <w:sz w:val="15"/>
              </w:rPr>
              <w:t>Wirkungsrelevanz</w:t>
            </w:r>
          </w:p>
        </w:tc>
        <w:tc>
          <w:tcPr>
            <w:tcW w:type="dxa" w:w="2232"/>
            <w:shd w:fill="163F3D"/>
            <w:tcMar>
              <w:top w:w="100" w:type="dxa"/>
              <w:start w:w="100" w:type="dxa"/>
              <w:bottom w:w="100" w:type="dxa"/>
              <w:end w:w="100" w:type="dxa"/>
            </w:tcMar>
          </w:tcPr>
          <w:p>
            <w:pPr>
              <w:widowControl/>
              <w:jc w:val="left"/>
            </w:pPr>
            <w:r>
              <w:rPr>
                <w:rFonts w:ascii="Inter" w:hAnsi="Inter" w:eastAsia="Inter"/>
                <w:b/>
                <w:color w:val="FFFFFF"/>
                <w:sz w:val="15"/>
              </w:rPr>
              <w:t>Empfohlenes Modell</w:t>
            </w:r>
          </w:p>
        </w:tc>
      </w:tr>
      <w:tr>
        <w:trPr>
          <w:cantSplit/>
        </w:trPr>
        <w:tc>
          <w:tcPr>
            <w:tcW w:type="dxa" w:w="1800"/>
            <w:shd w:fill="FFFFFF"/>
            <w:tcMar>
              <w:top w:w="75" w:type="dxa"/>
              <w:start w:w="90" w:type="dxa"/>
              <w:bottom w:w="75" w:type="dxa"/>
              <w:end w:w="90" w:type="dxa"/>
            </w:tcMar>
            <w:vAlign w:val="top"/>
          </w:tcPr>
          <w:p>
            <w:r>
              <w:t>A Analyse mit KI</w:t>
            </w:r>
          </w:p>
        </w:tc>
        <w:tc>
          <w:tcPr>
            <w:tcW w:type="dxa" w:w="2232"/>
            <w:shd w:fill="FFFFFF"/>
            <w:tcMar>
              <w:top w:w="75" w:type="dxa"/>
              <w:start w:w="90" w:type="dxa"/>
              <w:bottom w:w="75" w:type="dxa"/>
              <w:end w:w="90" w:type="dxa"/>
            </w:tcMar>
            <w:vAlign w:val="top"/>
          </w:tcPr>
          <w:p>
            <w:r>
              <w:t>hoch und kurzfristig entscheidungsrelevant</w:t>
            </w:r>
          </w:p>
        </w:tc>
        <w:tc>
          <w:tcPr>
            <w:tcW w:type="dxa" w:w="1800"/>
            <w:shd w:fill="FFFFFF"/>
            <w:tcMar>
              <w:top w:w="75" w:type="dxa"/>
              <w:start w:w="90" w:type="dxa"/>
              <w:bottom w:w="75" w:type="dxa"/>
              <w:end w:w="90" w:type="dxa"/>
            </w:tcMar>
            <w:vAlign w:val="top"/>
          </w:tcPr>
          <w:p>
            <w:r>
              <w:t>mittel</w:t>
            </w:r>
          </w:p>
        </w:tc>
        <w:tc>
          <w:tcPr>
            <w:tcW w:type="dxa" w:w="2088"/>
            <w:shd w:fill="FFFFFF"/>
            <w:tcMar>
              <w:top w:w="75" w:type="dxa"/>
              <w:start w:w="90" w:type="dxa"/>
              <w:bottom w:w="75" w:type="dxa"/>
              <w:end w:w="90" w:type="dxa"/>
            </w:tcMar>
            <w:vAlign w:val="top"/>
          </w:tcPr>
          <w:p>
            <w:r>
              <w:t>Daten, Bias, Datenschutz, Investitionswirkung</w:t>
            </w:r>
          </w:p>
        </w:tc>
        <w:tc>
          <w:tcPr>
            <w:tcW w:type="dxa" w:w="2232"/>
            <w:shd w:fill="FFFFFF"/>
            <w:tcMar>
              <w:top w:w="75" w:type="dxa"/>
              <w:start w:w="90" w:type="dxa"/>
              <w:bottom w:w="75" w:type="dxa"/>
              <w:end w:w="90" w:type="dxa"/>
            </w:tcMar>
            <w:vAlign w:val="top"/>
          </w:tcPr>
          <w:p>
            <w:r>
              <w:t>wertbegründeter Festpreis</w:t>
            </w:r>
          </w:p>
        </w:tc>
      </w:tr>
      <w:tr>
        <w:trPr>
          <w:cantSplit/>
        </w:trPr>
        <w:tc>
          <w:tcPr>
            <w:tcW w:type="dxa" w:w="1800"/>
            <w:shd w:fill="FFFFFF"/>
            <w:tcMar>
              <w:top w:w="75" w:type="dxa"/>
              <w:start w:w="90" w:type="dxa"/>
              <w:bottom w:w="75" w:type="dxa"/>
              <w:end w:w="90" w:type="dxa"/>
            </w:tcMar>
            <w:vAlign w:val="top"/>
          </w:tcPr>
          <w:p>
            <w:r>
              <w:t>B Prozessoptimierung</w:t>
            </w:r>
          </w:p>
        </w:tc>
        <w:tc>
          <w:tcPr>
            <w:tcW w:type="dxa" w:w="223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hoch und kurzfristig messbar</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mittel bis hoch</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Arbeitsorganisation, Daten, Sicherheit</w:t>
            </w:r>
          </w:p>
        </w:tc>
        <w:tc>
          <w:tcPr>
            <w:tcW w:type="dxa" w:w="223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Basis + begrenzter Value-Bonus</w:t>
            </w:r>
          </w:p>
        </w:tc>
      </w:tr>
      <w:tr>
        <w:trPr>
          <w:cantSplit/>
        </w:trPr>
        <w:tc>
          <w:tcPr>
            <w:tcW w:type="dxa" w:w="1800"/>
            <w:shd w:fill="F4F6F5"/>
            <w:tcMar>
              <w:top w:w="75" w:type="dxa"/>
              <w:start w:w="90" w:type="dxa"/>
              <w:bottom w:w="75" w:type="dxa"/>
              <w:end w:w="90" w:type="dxa"/>
            </w:tcMar>
            <w:vAlign w:val="top"/>
          </w:tcPr>
          <w:p>
            <w:r>
              <w:t>C Forschung / Innovation</w:t>
            </w:r>
          </w:p>
        </w:tc>
        <w:tc>
          <w:tcPr>
            <w:tcW w:type="dxa" w:w="223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hoch, stark szenariobasiert</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mittel bis gering</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Integrität, Lock-in, Wissenstransfer</w:t>
            </w:r>
          </w:p>
        </w:tc>
        <w:tc>
          <w:tcPr>
            <w:tcW w:type="dxa" w:w="223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wertbegründeter Festpreis + Meilenstein</w:t>
            </w:r>
          </w:p>
        </w:tc>
      </w:tr>
      <w:tr>
        <w:trPr>
          <w:cantSplit/>
        </w:trPr>
        <w:tc>
          <w:tcPr>
            <w:tcW w:type="dxa" w:w="1800"/>
            <w:shd w:fill="FFFFFF"/>
            <w:tcMar>
              <w:top w:w="75" w:type="dxa"/>
              <w:start w:w="90" w:type="dxa"/>
              <w:bottom w:w="75" w:type="dxa"/>
              <w:end w:w="90" w:type="dxa"/>
            </w:tcMar>
            <w:vAlign w:val="top"/>
          </w:tcPr>
          <w:p>
            <w:r>
              <w:t>D Kreislauftransformation</w:t>
            </w:r>
          </w:p>
        </w:tc>
        <w:tc>
          <w:tcPr>
            <w:tcW w:type="dxa" w:w="223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hoch und verteilt</w:t>
            </w:r>
          </w:p>
        </w:tc>
        <w:tc>
          <w:tcPr>
            <w:tcW w:type="dxa" w:w="18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mittel</w:t>
            </w:r>
          </w:p>
        </w:tc>
        <w:tc>
          <w:tcPr>
            <w:tcW w:type="dxa" w:w="2088"/>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Material, Klima, Arbeit, Standards</w:t>
            </w:r>
          </w:p>
        </w:tc>
        <w:tc>
          <w:tcPr>
            <w:tcW w:type="dxa" w:w="223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5"/>
              </w:rPr>
              <w:t>Dreikomponenten-/Multi-Payer-Modell</w:t>
            </w:r>
          </w:p>
        </w:tc>
      </w:tr>
      <w:tr>
        <w:trPr>
          <w:cantSplit/>
        </w:trPr>
        <w:tc>
          <w:tcPr>
            <w:tcW w:type="dxa" w:w="1800"/>
            <w:shd w:fill="F4F6F5"/>
            <w:tcMar>
              <w:top w:w="75" w:type="dxa"/>
              <w:start w:w="90" w:type="dxa"/>
              <w:bottom w:w="75" w:type="dxa"/>
              <w:end w:w="90" w:type="dxa"/>
            </w:tcMar>
            <w:vAlign w:val="top"/>
          </w:tcPr>
          <w:p>
            <w:r>
              <w:t>E Kultur / Führung</w:t>
            </w:r>
          </w:p>
        </w:tc>
        <w:tc>
          <w:tcPr>
            <w:tcW w:type="dxa" w:w="223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potenziell hoch, indirekt</w:t>
            </w:r>
          </w:p>
        </w:tc>
        <w:tc>
          <w:tcPr>
            <w:tcW w:type="dxa" w:w="18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gering bis mittel</w:t>
            </w:r>
          </w:p>
        </w:tc>
        <w:tc>
          <w:tcPr>
            <w:tcW w:type="dxa" w:w="2088"/>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Gesundheit, Fairness, Beteiligung</w:t>
            </w:r>
          </w:p>
        </w:tc>
        <w:tc>
          <w:tcPr>
            <w:tcW w:type="dxa" w:w="223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5"/>
              </w:rPr>
              <w:t>hoher Festanteil + kleine Portfolio-Komponente</w:t>
            </w:r>
          </w:p>
        </w:tc>
      </w:tr>
    </w:tbl>
    <w:p>
      <w:pPr>
        <w:widowControl/>
        <w:spacing w:after="0"/>
      </w:pPr>
    </w:p>
    <w:p>
      <w:pPr>
        <w:pStyle w:val="Heading1"/>
        <w:widowControl/>
        <w:pBdr>
          <w:bottom w:val="single" w:sz="10" w:space="6" w:color="C99A43"/>
        </w:pBdr>
      </w:pPr>
      <w:r>
        <w:t>12 Strategischer Nutzen für Anbieter, Kunden und Gesellschaft</w:t>
      </w:r>
    </w:p>
    <w:p>
      <w:pPr>
        <w:pStyle w:val="Heading2"/>
        <w:widowControl/>
      </w:pPr>
      <w:r>
        <w:t>12.1 Nutzen für Dienstleistungsanbieter</w:t>
      </w:r>
    </w:p>
    <w:p>
      <w:pPr>
        <w:pStyle w:val="Heading3"/>
        <w:widowControl/>
      </w:pPr>
      <w:r>
        <w:t>Bessere Positionierung</w:t>
      </w:r>
    </w:p>
    <w:p>
      <w:pPr>
        <w:pStyle w:val="BodyText"/>
        <w:widowControl/>
        <w:spacing w:after="110" w:line="278" w:lineRule="auto"/>
        <w:ind w:firstLine="255"/>
      </w:pPr>
      <w:r>
        <w:rPr>
          <w:rFonts w:ascii="Inter" w:hAnsi="Inter" w:eastAsia="Inter"/>
          <w:color w:val="182026"/>
          <w:sz w:val="19"/>
        </w:rPr>
        <w:t>WVP verschiebt das Verkaufsgespräch von Tagessatz und Kapazität zu Problem, Veränderung und Evidenz. Anbieter können ihre Expertise differenzieren, ohne sich durch künstliche Komplexität oder bloße Reputation zu rechtfertigen. Der Fokus liegt auf dem konkreten Wertpfad.</w:t>
      </w:r>
    </w:p>
    <w:p>
      <w:pPr>
        <w:pStyle w:val="Heading3"/>
        <w:widowControl/>
      </w:pPr>
      <w:r>
        <w:t>Schutz vor Unterpreisung</w:t>
      </w:r>
    </w:p>
    <w:p>
      <w:pPr>
        <w:pStyle w:val="BodyText"/>
        <w:widowControl/>
        <w:spacing w:after="110" w:line="278" w:lineRule="auto"/>
        <w:ind w:firstLine="255"/>
      </w:pPr>
      <w:r>
        <w:rPr>
          <w:rFonts w:ascii="Inter" w:hAnsi="Inter" w:eastAsia="Inter"/>
          <w:color w:val="182026"/>
          <w:sz w:val="19"/>
        </w:rPr>
        <w:t>Erfahrene Anbieter lösen Probleme oft schneller. Eine reine Zeitlogik bestraft diese Effizienz. WVP macht wiederverwendbares Wissen, Entscheidungsqualität, Risikoreduktion und systemische Fähigkeiten sichtbar. Das ermöglicht tragfähige Preise, ohne jede Minute abrechnen zu müssen.</w:t>
      </w:r>
    </w:p>
    <w:p>
      <w:pPr>
        <w:pStyle w:val="Heading3"/>
        <w:widowControl/>
      </w:pPr>
      <w:r>
        <w:t>Produktisierung ohne Standardblindheit</w:t>
      </w:r>
    </w:p>
    <w:p>
      <w:pPr>
        <w:pStyle w:val="BodyText"/>
        <w:widowControl/>
        <w:spacing w:after="110" w:line="278" w:lineRule="auto"/>
        <w:ind w:firstLine="255"/>
      </w:pPr>
      <w:r>
        <w:rPr>
          <w:rFonts w:ascii="Inter" w:hAnsi="Inter" w:eastAsia="Inter"/>
          <w:color w:val="182026"/>
          <w:sz w:val="19"/>
        </w:rPr>
        <w:t>Wertpfade können wiederverwendbar werden. Ein Anbieter erkennt, welche Module häufig denselben Mechanismus auslösen und welche Teile kundenspezifisch bleiben. Daraus entstehen standardisierte Diagnose-, Daten-, Workshop- oder Verifikationsbausteine. Produktisierung senkt Kosten, während der Preis am Kundenwert ausgerichtet bleiben kann.</w:t>
      </w:r>
    </w:p>
    <w:p>
      <w:pPr>
        <w:pStyle w:val="Heading3"/>
        <w:widowControl/>
      </w:pPr>
      <w:r>
        <w:t>Bessere Kundenauswahl</w:t>
      </w:r>
    </w:p>
    <w:p>
      <w:pPr>
        <w:pStyle w:val="BodyText"/>
        <w:widowControl/>
        <w:spacing w:after="110" w:line="278" w:lineRule="auto"/>
        <w:ind w:firstLine="255"/>
      </w:pPr>
      <w:r>
        <w:rPr>
          <w:rFonts w:ascii="Inter" w:hAnsi="Inter" w:eastAsia="Inter"/>
          <w:color w:val="182026"/>
          <w:sz w:val="19"/>
        </w:rPr>
        <w:t>Nicht jeder Kunde kann oder will Wert und Wirkung messen. WVP macht früh sichtbar, ob Datenzugang, Mitwirkung, Governance und Zweck zusammenpassen. Das reduziert Projekte, in denen der Anbieter nur als Kapazitätslieferant genutzt oder für unsteuerbare Ergebnisse verantwortlich gemacht wird.</w:t>
      </w:r>
    </w:p>
    <w:p>
      <w:pPr>
        <w:pStyle w:val="Heading3"/>
        <w:widowControl/>
      </w:pPr>
      <w:r>
        <w:t>Lernende Preisfähigkeit</w:t>
      </w:r>
    </w:p>
    <w:p>
      <w:pPr>
        <w:pStyle w:val="BodyText"/>
        <w:widowControl/>
        <w:spacing w:after="110" w:line="278" w:lineRule="auto"/>
        <w:ind w:firstLine="255"/>
      </w:pPr>
      <w:r>
        <w:rPr>
          <w:rFonts w:ascii="Inter" w:hAnsi="Inter" w:eastAsia="Inter"/>
          <w:color w:val="182026"/>
          <w:sz w:val="19"/>
        </w:rPr>
        <w:t>Verifizierte Value Cases bilden eine Evidenzbasis. Der Anbieter lernt, welche Annahmen tragen, welche Nutzenströme überschätzt werden und welche Branchenwerte verlässlich sind. Pricing wird zur Organisationsfähigkeit statt zur individuellen Verhandlungskunst.</w:t>
      </w:r>
    </w:p>
    <w:p>
      <w:pPr>
        <w:pStyle w:val="Heading3"/>
      </w:pPr>
      <w:r>
        <w:rPr>
          <w:b w:val="0"/>
          <w:i w:val="0"/>
        </w:rPr>
        <w:t>Anerkennung von Erfahrung und Produktivität</w:t>
      </w:r>
    </w:p>
    <w:p>
      <w:pPr>
        <w:pStyle w:val="BodyText"/>
      </w:pPr>
      <w:r>
        <w:rPr>
          <w:b w:val="0"/>
          <w:i w:val="0"/>
        </w:rPr>
        <w:t>Erfahrung, Methodenwissen und verantwortet eingesetzte KI werden nicht länger dadurch entwertet, dass sie sichtbare Projektstunden reduzieren. Anbieter können in Qualität, Wissensaufbau und Automatisierung investieren, ohne damit automatisch ihre Erlösbasis zu zerstören.</w:t>
      </w:r>
    </w:p>
    <w:p>
      <w:pPr>
        <w:pStyle w:val="Heading2"/>
        <w:widowControl/>
      </w:pPr>
      <w:r>
        <w:t>12.2 Nutzen für Kunden</w:t>
      </w:r>
    </w:p>
    <w:p>
      <w:pPr>
        <w:pStyle w:val="Heading3"/>
        <w:widowControl/>
      </w:pPr>
      <w:r>
        <w:t>Transparente Wirtschaftlichkeit</w:t>
      </w:r>
    </w:p>
    <w:p>
      <w:pPr>
        <w:pStyle w:val="BodyText"/>
        <w:widowControl/>
        <w:spacing w:after="110" w:line="278" w:lineRule="auto"/>
        <w:ind w:firstLine="255"/>
      </w:pPr>
      <w:r>
        <w:rPr>
          <w:rFonts w:ascii="Inter" w:hAnsi="Inter" w:eastAsia="Inter"/>
          <w:color w:val="182026"/>
          <w:sz w:val="19"/>
        </w:rPr>
        <w:t>Der Kunde erhält eine nachvollziehbare Verbindung zwischen Problem, Alternative, Nutzen, Preis und Risiko. Er kann Angebote nicht nur nach Tagessatz, sondern nach erwarteter Wertbeitragslogik vergleichen.</w:t>
      </w:r>
    </w:p>
    <w:p>
      <w:pPr>
        <w:pStyle w:val="Heading3"/>
        <w:widowControl/>
      </w:pPr>
      <w:r>
        <w:t>Fokus auf Nutzung und Umsetzung</w:t>
      </w:r>
    </w:p>
    <w:p>
      <w:pPr>
        <w:pStyle w:val="BodyText"/>
        <w:widowControl/>
        <w:spacing w:after="110" w:line="278" w:lineRule="auto"/>
        <w:ind w:firstLine="255"/>
      </w:pPr>
      <w:r>
        <w:rPr>
          <w:rFonts w:ascii="Inter" w:hAnsi="Inter" w:eastAsia="Inter"/>
          <w:color w:val="182026"/>
          <w:sz w:val="19"/>
        </w:rPr>
        <w:t>WVP macht sichtbar, dass Wert im Kundensystem entsteht. Damit werden Mitwirkung, Implementierung und Daten nicht als Nebensache behandelt. Der Kunde übernimmt Verantwortung für die Bedingungen, unter denen die Leistung wirken kann.</w:t>
      </w:r>
    </w:p>
    <w:p>
      <w:pPr>
        <w:pStyle w:val="Heading3"/>
        <w:widowControl/>
      </w:pPr>
      <w:r>
        <w:t>Faire Risikoteilung</w:t>
      </w:r>
    </w:p>
    <w:p>
      <w:pPr>
        <w:pStyle w:val="BodyText"/>
        <w:widowControl/>
        <w:spacing w:after="110" w:line="278" w:lineRule="auto"/>
        <w:ind w:firstLine="255"/>
      </w:pPr>
      <w:r>
        <w:rPr>
          <w:rFonts w:ascii="Inter" w:hAnsi="Inter" w:eastAsia="Inter"/>
          <w:color w:val="182026"/>
          <w:sz w:val="19"/>
        </w:rPr>
        <w:t>Variable Vergütung kann Interessen ausrichten, ohne das gesamte Risiko zu verschieben. Caps, Floors, Baseline und Schockregeln schaffen Planbarkeit. Der Kunde zahlt nicht für bloße Aktivität, der Anbieter nicht für nicht steuerbare Umweltbedingungen.</w:t>
      </w:r>
    </w:p>
    <w:p>
      <w:pPr>
        <w:pStyle w:val="Heading3"/>
        <w:widowControl/>
      </w:pPr>
      <w:r>
        <w:t>Bessere Beschaffung</w:t>
      </w:r>
    </w:p>
    <w:p>
      <w:pPr>
        <w:pStyle w:val="BodyText"/>
        <w:widowControl/>
        <w:spacing w:after="110" w:line="278" w:lineRule="auto"/>
        <w:ind w:firstLine="255"/>
      </w:pPr>
      <w:r>
        <w:rPr>
          <w:rFonts w:ascii="Inter" w:hAnsi="Inter" w:eastAsia="Inter"/>
          <w:color w:val="182026"/>
          <w:sz w:val="19"/>
        </w:rPr>
        <w:t>Beschaffung kann Leistungsbeschreibungen von Personentagen auf Zielzustände, Wertpfade, Evidenz und Schutzanforderungen umstellen. Das fördert Vergleichbarkeit, Innovation und Mittelstandszugang, wenn Anforderungen proportional bleiben.</w:t>
      </w:r>
    </w:p>
    <w:p>
      <w:pPr>
        <w:pStyle w:val="Heading3"/>
        <w:widowControl/>
      </w:pPr>
      <w:r>
        <w:t>Wirkungs- und Risikofrüherkennung</w:t>
      </w:r>
    </w:p>
    <w:p>
      <w:pPr>
        <w:pStyle w:val="BodyText"/>
        <w:widowControl/>
        <w:spacing w:after="110" w:line="278" w:lineRule="auto"/>
        <w:ind w:firstLine="255"/>
      </w:pPr>
      <w:r>
        <w:rPr>
          <w:rFonts w:ascii="Inter" w:hAnsi="Inter" w:eastAsia="Inter"/>
          <w:color w:val="182026"/>
          <w:sz w:val="19"/>
        </w:rPr>
        <w:t>Die zusätzliche Wirkungsrechnung zeigt Nebenwirkungen, die später zu Kosten, Haftung, Reputationsverlust oder Transformationsrisiko werden könnten. Wirkungsdaten werden dadurch zu Risikodaten und Steuerungsdaten.</w:t>
      </w:r>
    </w:p>
    <w:p>
      <w:pPr>
        <w:pStyle w:val="Heading3"/>
      </w:pPr>
      <w:r>
        <w:rPr>
          <w:b w:val="0"/>
          <w:i w:val="0"/>
        </w:rPr>
        <w:t>Schnellere Leistung und faire Produktivitätsteilung</w:t>
      </w:r>
    </w:p>
    <w:p>
      <w:pPr>
        <w:pStyle w:val="BodyText"/>
      </w:pPr>
      <w:r>
        <w:rPr>
          <w:b w:val="0"/>
          <w:i w:val="0"/>
        </w:rPr>
        <w:t>Kunden erhalten Ergebnisse früher, behalten einen transparenten Anteil des erzeugten Werts und müssen nicht für künstlich verlängerte Bearbeitungszeiten zahlen. Gleichzeitig bleibt die Qualitätssicherung sichtbar und vertraglich abgesichert.</w:t>
      </w:r>
    </w:p>
    <w:p>
      <w:pPr>
        <w:pStyle w:val="Heading2"/>
        <w:widowControl/>
      </w:pPr>
      <w:r>
        <w:t>12.3 Nutzen für Mitarbeitende und Leistungsteams</w:t>
      </w:r>
    </w:p>
    <w:p>
      <w:pPr>
        <w:pStyle w:val="BodyText"/>
        <w:widowControl/>
        <w:spacing w:after="110" w:line="278" w:lineRule="auto"/>
        <w:ind w:firstLine="255"/>
      </w:pPr>
      <w:r>
        <w:rPr>
          <w:rFonts w:ascii="Inter" w:hAnsi="Inter" w:eastAsia="Inter"/>
          <w:color w:val="182026"/>
          <w:sz w:val="19"/>
        </w:rPr>
        <w:t>Eine gute WVP-Architektur kann Teams von der Logik maximaler Auslastung entlasten. Leistung wird nicht daran gemessen, möglichst viele Stunden zu fakturieren, sondern relevante Veränderung zu ermöglichen. Das kann Qualität, Kooperation, Lernen und Wiederverwendbarkeit fördern.</w:t>
      </w:r>
    </w:p>
    <w:p>
      <w:pPr>
        <w:pStyle w:val="BodyText"/>
        <w:widowControl/>
        <w:spacing w:after="110" w:line="278" w:lineRule="auto"/>
        <w:ind w:firstLine="255"/>
      </w:pPr>
      <w:r>
        <w:rPr>
          <w:rFonts w:ascii="Inter" w:hAnsi="Inter" w:eastAsia="Inter"/>
          <w:color w:val="182026"/>
          <w:sz w:val="19"/>
        </w:rPr>
        <w:t>Dieser Vorteil entsteht nicht automatisch. Wenn Kundenwertquoten direkt auf Einzelpersonen übertragen werden, können neue Leistungszwänge, interne Konkurrenz und Scheinkausalität entstehen. WVP bewertet deshalb Projekte, Services und Organisationen - nicht den moralischen Wert einzelner Menschen.</w:t>
      </w:r>
    </w:p>
    <w:p>
      <w:pPr>
        <w:pStyle w:val="BodyText"/>
      </w:pPr>
      <w:r>
        <w:rPr>
          <w:b w:val="0"/>
          <w:i w:val="0"/>
        </w:rPr>
        <w:t>WVP kann den Druck reduzieren, Auslastung und Beschäftigtsein mit Leistung gleichzusetzen. Expertise, Urteil, Lernfähigkeit und verantwortete Werkzeugnutzung werden als Wertbeiträge sichtbar. Voraussetzung ist, dass Effizienzgewinne nicht ausschließlich in Arbeitsverdichtung oder Personalabbau übersetzt werden.</w:t>
      </w:r>
    </w:p>
    <w:p>
      <w:pPr>
        <w:pStyle w:val="Heading2"/>
        <w:widowControl/>
      </w:pPr>
      <w:r>
        <w:t>12.4 Gesellschaftlicher Nutzen</w:t>
      </w:r>
    </w:p>
    <w:p>
      <w:pPr>
        <w:pStyle w:val="BodyText"/>
        <w:widowControl/>
        <w:spacing w:after="110" w:line="278" w:lineRule="auto"/>
        <w:ind w:firstLine="255"/>
      </w:pPr>
      <w:r>
        <w:rPr>
          <w:rFonts w:ascii="Inter" w:hAnsi="Inter" w:eastAsia="Inter"/>
          <w:color w:val="182026"/>
          <w:sz w:val="19"/>
        </w:rPr>
        <w:t>WVP macht verteilte Nutzen und negative externe Effekte sichtbar. Dadurch können:</w:t>
      </w:r>
    </w:p>
    <w:p>
      <w:pPr>
        <w:pStyle w:val="ListBullet"/>
        <w:widowControl/>
        <w:spacing w:after="50" w:line="259" w:lineRule="auto"/>
        <w:ind w:left="369" w:hanging="170"/>
      </w:pPr>
      <w:r>
        <w:rPr>
          <w:rFonts w:ascii="Inter" w:hAnsi="Inter" w:eastAsia="Inter"/>
          <w:color w:val="182026"/>
          <w:sz w:val="18"/>
        </w:rPr>
        <w:t>positive Wirkungsleistungen besser finanziert werden,</w:t>
      </w:r>
    </w:p>
    <w:p>
      <w:pPr>
        <w:pStyle w:val="ListBullet"/>
        <w:widowControl/>
        <w:spacing w:after="50" w:line="259" w:lineRule="auto"/>
        <w:ind w:left="369" w:hanging="170"/>
      </w:pPr>
      <w:r>
        <w:rPr>
          <w:rFonts w:ascii="Inter" w:hAnsi="Inter" w:eastAsia="Inter"/>
          <w:color w:val="182026"/>
          <w:sz w:val="18"/>
        </w:rPr>
        <w:t>öffentliche und private Nutzenanteile getrennt werden,</w:t>
      </w:r>
    </w:p>
    <w:p>
      <w:pPr>
        <w:pStyle w:val="ListBullet"/>
        <w:widowControl/>
        <w:spacing w:after="50" w:line="259" w:lineRule="auto"/>
        <w:ind w:left="369" w:hanging="170"/>
      </w:pPr>
      <w:r>
        <w:rPr>
          <w:rFonts w:ascii="Inter" w:hAnsi="Inter" w:eastAsia="Inter"/>
          <w:color w:val="182026"/>
          <w:sz w:val="18"/>
        </w:rPr>
        <w:t>Beschaffung Wirkung ohne bloße Symbolik berücksichtigen,</w:t>
      </w:r>
    </w:p>
    <w:p>
      <w:pPr>
        <w:pStyle w:val="ListBullet"/>
        <w:widowControl/>
        <w:spacing w:after="50" w:line="259" w:lineRule="auto"/>
        <w:ind w:left="369" w:hanging="170"/>
      </w:pPr>
      <w:r>
        <w:rPr>
          <w:rFonts w:ascii="Inter" w:hAnsi="Inter" w:eastAsia="Inter"/>
          <w:color w:val="182026"/>
          <w:sz w:val="18"/>
        </w:rPr>
        <w:t>schädliche Kundenwerte erkannt werden,</w:t>
      </w:r>
    </w:p>
    <w:p>
      <w:pPr>
        <w:pStyle w:val="ListBullet"/>
        <w:widowControl/>
        <w:spacing w:after="50" w:line="259" w:lineRule="auto"/>
        <w:ind w:left="369" w:hanging="170"/>
      </w:pPr>
      <w:r>
        <w:rPr>
          <w:rFonts w:ascii="Inter" w:hAnsi="Inter" w:eastAsia="Inter"/>
          <w:color w:val="182026"/>
          <w:sz w:val="18"/>
        </w:rPr>
        <w:t>Dienstleistungen als Teil von Transformationsarchitekturen gestaltet werden.</w:t>
      </w:r>
    </w:p>
    <w:p>
      <w:pPr>
        <w:pStyle w:val="BodyText"/>
        <w:widowControl/>
        <w:spacing w:after="110" w:line="278" w:lineRule="auto"/>
        <w:ind w:firstLine="255"/>
      </w:pPr>
      <w:r>
        <w:rPr>
          <w:rFonts w:ascii="Inter" w:hAnsi="Inter" w:eastAsia="Inter"/>
          <w:color w:val="182026"/>
          <w:sz w:val="19"/>
        </w:rPr>
        <w:t>Die gesellschaftliche Stärke liegt nicht in einem neuen Etikett. Sie liegt darin, dass Wirkung in Scope, Preis, Finanzierung und Entscheidung zurückgekoppelt wird.</w:t>
      </w:r>
    </w:p>
    <w:p>
      <w:pPr>
        <w:pStyle w:val="Heading2"/>
        <w:widowControl/>
      </w:pPr>
      <w:r>
        <w:t>12.5 Verbindung zu Strategie und Geschäftsmodell</w:t>
      </w:r>
    </w:p>
    <w:p>
      <w:pPr>
        <w:pStyle w:val="BodyText"/>
        <w:widowControl/>
        <w:spacing w:after="110" w:line="278" w:lineRule="auto"/>
        <w:ind w:firstLine="255"/>
      </w:pPr>
      <w:r>
        <w:rPr>
          <w:rFonts w:ascii="Inter" w:hAnsi="Inter" w:eastAsia="Inter"/>
          <w:color w:val="182026"/>
          <w:sz w:val="19"/>
        </w:rPr>
        <w:t>WVP verändert nicht nur Preise. Es kann das Geschäftsmodell neu ordnen:</w:t>
      </w:r>
    </w:p>
    <w:p>
      <w:pPr>
        <w:pStyle w:val="ListBullet"/>
        <w:widowControl/>
        <w:spacing w:after="50" w:line="259" w:lineRule="auto"/>
        <w:ind w:left="369" w:hanging="170"/>
      </w:pPr>
      <w:r>
        <w:rPr>
          <w:rFonts w:ascii="Inter" w:hAnsi="Inter" w:eastAsia="Inter"/>
          <w:color w:val="182026"/>
          <w:sz w:val="18"/>
        </w:rPr>
        <w:t>Welche Kundengruppen erhalten welchen Wert?</w:t>
      </w:r>
    </w:p>
    <w:p>
      <w:pPr>
        <w:pStyle w:val="ListBullet"/>
        <w:widowControl/>
        <w:spacing w:after="50" w:line="259" w:lineRule="auto"/>
        <w:ind w:left="369" w:hanging="170"/>
      </w:pPr>
      <w:r>
        <w:rPr>
          <w:rFonts w:ascii="Inter" w:hAnsi="Inter" w:eastAsia="Inter"/>
          <w:color w:val="182026"/>
          <w:sz w:val="18"/>
        </w:rPr>
        <w:t>Welche Nutzenströme sind privat, geteilt oder öffentlich?</w:t>
      </w:r>
    </w:p>
    <w:p>
      <w:pPr>
        <w:pStyle w:val="ListBullet"/>
        <w:widowControl/>
        <w:spacing w:after="50" w:line="259" w:lineRule="auto"/>
        <w:ind w:left="369" w:hanging="170"/>
      </w:pPr>
      <w:r>
        <w:rPr>
          <w:rFonts w:ascii="Inter" w:hAnsi="Inter" w:eastAsia="Inter"/>
          <w:color w:val="182026"/>
          <w:sz w:val="18"/>
        </w:rPr>
        <w:t>Welche Wirkungskosten müssen internalisiert werden?</w:t>
      </w:r>
    </w:p>
    <w:p>
      <w:pPr>
        <w:pStyle w:val="ListBullet"/>
        <w:widowControl/>
        <w:spacing w:after="50" w:line="259" w:lineRule="auto"/>
        <w:ind w:left="369" w:hanging="170"/>
      </w:pPr>
      <w:r>
        <w:rPr>
          <w:rFonts w:ascii="Inter" w:hAnsi="Inter" w:eastAsia="Inter"/>
          <w:color w:val="182026"/>
          <w:sz w:val="18"/>
        </w:rPr>
        <w:t>Welche Leistungen eignen sich für Plattform-, Lizenz-, Retainer- oder Outcome-Modelle?</w:t>
      </w:r>
    </w:p>
    <w:p>
      <w:pPr>
        <w:pStyle w:val="ListBullet"/>
        <w:widowControl/>
        <w:spacing w:after="50" w:line="259" w:lineRule="auto"/>
        <w:ind w:left="369" w:hanging="170"/>
      </w:pPr>
      <w:r>
        <w:rPr>
          <w:rFonts w:ascii="Inter" w:hAnsi="Inter" w:eastAsia="Inter"/>
          <w:color w:val="182026"/>
          <w:sz w:val="18"/>
        </w:rPr>
        <w:t>Welche Partner werden benötigt, um Wirkung zu skalieren?</w:t>
      </w:r>
    </w:p>
    <w:p>
      <w:pPr>
        <w:pStyle w:val="ListBullet"/>
        <w:widowControl/>
        <w:spacing w:after="50" w:line="259" w:lineRule="auto"/>
        <w:ind w:left="369" w:hanging="170"/>
      </w:pPr>
      <w:r>
        <w:rPr>
          <w:rFonts w:ascii="Inter" w:hAnsi="Inter" w:eastAsia="Inter"/>
          <w:color w:val="182026"/>
          <w:sz w:val="18"/>
        </w:rPr>
        <w:t>Welche hohen Margen beruhen auf negativen Wirkungen oder Informationsasymmetrien?</w:t>
      </w:r>
    </w:p>
    <w:p>
      <w:pPr>
        <w:pStyle w:val="BodyText"/>
        <w:widowControl/>
        <w:spacing w:after="110" w:line="278" w:lineRule="auto"/>
        <w:ind w:firstLine="255"/>
      </w:pPr>
      <w:r>
        <w:rPr>
          <w:rFonts w:ascii="Inter" w:hAnsi="Inter" w:eastAsia="Inter"/>
          <w:color w:val="182026"/>
          <w:sz w:val="19"/>
        </w:rPr>
        <w:t>Damit wird Preisstrategie zur Wirkungsstrategie.</w:t>
      </w:r>
    </w:p>
    <w:p>
      <w:pPr>
        <w:pStyle w:val="Heading1"/>
        <w:widowControl/>
        <w:pBdr>
          <w:bottom w:val="single" w:sz="10" w:space="6" w:color="C99A43"/>
        </w:pBdr>
      </w:pPr>
      <w:r>
        <w:t>13 Risiken, Fehlanreize und Grenzen</w:t>
      </w:r>
    </w:p>
    <w:p>
      <w:pPr>
        <w:pStyle w:val="Heading2"/>
        <w:widowControl/>
      </w:pPr>
      <w:r>
        <w:t>13.1 Value Inflation</w:t>
      </w:r>
    </w:p>
    <w:p>
      <w:pPr>
        <w:pStyle w:val="BodyText"/>
        <w:widowControl/>
        <w:spacing w:after="110" w:line="278" w:lineRule="auto"/>
        <w:ind w:firstLine="255"/>
      </w:pPr>
      <w:r>
        <w:rPr>
          <w:rFonts w:ascii="Inter" w:hAnsi="Inter" w:eastAsia="Inter"/>
          <w:color w:val="182026"/>
          <w:sz w:val="19"/>
        </w:rPr>
        <w:t>Anbieter können jeden möglichen Vorteil addieren und dadurch unrealistisch hohe Werte erzeugen. Gegenmaßnahmen:</w:t>
      </w:r>
    </w:p>
    <w:p>
      <w:pPr>
        <w:pStyle w:val="ListBullet"/>
        <w:widowControl/>
        <w:spacing w:after="50" w:line="259" w:lineRule="auto"/>
        <w:ind w:left="369" w:hanging="170"/>
      </w:pPr>
      <w:r>
        <w:rPr>
          <w:rFonts w:ascii="Inter" w:hAnsi="Inter" w:eastAsia="Inter"/>
          <w:color w:val="182026"/>
          <w:sz w:val="18"/>
        </w:rPr>
        <w:t>klare Referenzalternative,</w:t>
      </w:r>
    </w:p>
    <w:p>
      <w:pPr>
        <w:pStyle w:val="ListBullet"/>
        <w:widowControl/>
        <w:spacing w:after="50" w:line="259" w:lineRule="auto"/>
        <w:ind w:left="369" w:hanging="170"/>
      </w:pPr>
      <w:r>
        <w:rPr>
          <w:rFonts w:ascii="Inter" w:hAnsi="Inter" w:eastAsia="Inter"/>
          <w:color w:val="182026"/>
          <w:sz w:val="18"/>
        </w:rPr>
        <w:t>komponentenweise Wertpfade,</w:t>
      </w:r>
    </w:p>
    <w:p>
      <w:pPr>
        <w:pStyle w:val="ListBullet"/>
        <w:widowControl/>
        <w:spacing w:after="50" w:line="259" w:lineRule="auto"/>
        <w:ind w:left="369" w:hanging="170"/>
      </w:pPr>
      <w:r>
        <w:rPr>
          <w:rFonts w:ascii="Inter" w:hAnsi="Inter" w:eastAsia="Inter"/>
          <w:color w:val="182026"/>
          <w:sz w:val="18"/>
        </w:rPr>
        <w:t>Vermeidung von Doppelzählung,</w:t>
      </w:r>
    </w:p>
    <w:p>
      <w:pPr>
        <w:pStyle w:val="ListBullet"/>
        <w:widowControl/>
        <w:spacing w:after="50" w:line="259" w:lineRule="auto"/>
        <w:ind w:left="369" w:hanging="170"/>
      </w:pPr>
      <w:r>
        <w:rPr>
          <w:rFonts w:ascii="Inter" w:hAnsi="Inter" w:eastAsia="Inter"/>
          <w:color w:val="182026"/>
          <w:sz w:val="18"/>
        </w:rPr>
        <w:t>Abzug kundenseitiger Kosten,</w:t>
      </w:r>
    </w:p>
    <w:p>
      <w:pPr>
        <w:pStyle w:val="ListBullet"/>
        <w:widowControl/>
        <w:spacing w:after="50" w:line="259" w:lineRule="auto"/>
        <w:ind w:left="369" w:hanging="170"/>
      </w:pPr>
      <w:r>
        <w:rPr>
          <w:rFonts w:ascii="Inter" w:hAnsi="Inter" w:eastAsia="Inter"/>
          <w:color w:val="182026"/>
          <w:sz w:val="18"/>
        </w:rPr>
        <w:t>konservative Szenarien,</w:t>
      </w:r>
    </w:p>
    <w:p>
      <w:pPr>
        <w:pStyle w:val="ListBullet"/>
        <w:widowControl/>
        <w:spacing w:after="50" w:line="259" w:lineRule="auto"/>
        <w:ind w:left="369" w:hanging="170"/>
      </w:pPr>
      <w:r>
        <w:rPr>
          <w:rFonts w:ascii="Inter" w:hAnsi="Inter" w:eastAsia="Inter"/>
          <w:color w:val="182026"/>
          <w:sz w:val="18"/>
        </w:rPr>
        <w:t>Evidenzklassen,</w:t>
      </w:r>
    </w:p>
    <w:p>
      <w:pPr>
        <w:pStyle w:val="ListBullet"/>
        <w:widowControl/>
        <w:spacing w:after="50" w:line="259" w:lineRule="auto"/>
        <w:ind w:left="369" w:hanging="170"/>
      </w:pPr>
      <w:r>
        <w:rPr>
          <w:rFonts w:ascii="Inter" w:hAnsi="Inter" w:eastAsia="Inter"/>
          <w:color w:val="182026"/>
          <w:sz w:val="18"/>
        </w:rPr>
        <w:t>Mindestkundensurplus.</w:t>
      </w:r>
    </w:p>
    <w:p>
      <w:pPr>
        <w:pStyle w:val="Heading2"/>
        <w:widowControl/>
      </w:pPr>
      <w:r>
        <w:t>13.2 Attributionsillusion</w:t>
      </w:r>
    </w:p>
    <w:p>
      <w:pPr>
        <w:pStyle w:val="BodyText"/>
        <w:widowControl/>
        <w:spacing w:after="110" w:line="278" w:lineRule="auto"/>
        <w:ind w:firstLine="255"/>
      </w:pPr>
      <w:r>
        <w:rPr>
          <w:rFonts w:ascii="Inter" w:hAnsi="Inter" w:eastAsia="Inter"/>
          <w:color w:val="182026"/>
          <w:sz w:val="19"/>
        </w:rPr>
        <w:t>Komplexe Ergebnisse haben viele Ursachen. Ein pauschaler Anbieteranteil kann Scheingenauigkeit erzeugen. Gegenmaßnahmen:</w:t>
      </w:r>
    </w:p>
    <w:p>
      <w:pPr>
        <w:pStyle w:val="ListBullet"/>
        <w:widowControl/>
        <w:spacing w:after="50" w:line="259" w:lineRule="auto"/>
        <w:ind w:left="369" w:hanging="170"/>
      </w:pPr>
      <w:r>
        <w:rPr>
          <w:rFonts w:ascii="Inter" w:hAnsi="Inter" w:eastAsia="Inter"/>
          <w:color w:val="182026"/>
          <w:sz w:val="18"/>
        </w:rPr>
        <w:t>contribution statt erzwungener Kausalität,</w:t>
      </w:r>
    </w:p>
    <w:p>
      <w:pPr>
        <w:pStyle w:val="ListBullet"/>
        <w:widowControl/>
        <w:spacing w:after="50" w:line="259" w:lineRule="auto"/>
        <w:ind w:left="369" w:hanging="170"/>
      </w:pPr>
      <w:r>
        <w:rPr>
          <w:rFonts w:ascii="Inter" w:hAnsi="Inter" w:eastAsia="Inter"/>
          <w:color w:val="182026"/>
          <w:sz w:val="18"/>
        </w:rPr>
        <w:t>unterschiedliche Zurechnung je Wertpfad,</w:t>
      </w:r>
    </w:p>
    <w:p>
      <w:pPr>
        <w:pStyle w:val="ListBullet"/>
        <w:widowControl/>
        <w:spacing w:after="50" w:line="259" w:lineRule="auto"/>
        <w:ind w:left="369" w:hanging="170"/>
      </w:pPr>
      <w:r>
        <w:rPr>
          <w:rFonts w:ascii="Inter" w:hAnsi="Inter" w:eastAsia="Inter"/>
          <w:color w:val="182026"/>
          <w:sz w:val="18"/>
        </w:rPr>
        <w:t>gemeinsame und unabhängige Prüfung,</w:t>
      </w:r>
    </w:p>
    <w:p>
      <w:pPr>
        <w:pStyle w:val="ListBullet"/>
        <w:widowControl/>
        <w:spacing w:after="50" w:line="259" w:lineRule="auto"/>
        <w:ind w:left="369" w:hanging="170"/>
      </w:pPr>
      <w:r>
        <w:rPr>
          <w:rFonts w:ascii="Inter" w:hAnsi="Inter" w:eastAsia="Inter"/>
          <w:color w:val="182026"/>
          <w:sz w:val="18"/>
        </w:rPr>
        <w:t>kleiner variabler Anteil bei schwacher Evidenz,</w:t>
      </w:r>
    </w:p>
    <w:p>
      <w:pPr>
        <w:pStyle w:val="ListBullet"/>
        <w:widowControl/>
        <w:spacing w:after="50" w:line="259" w:lineRule="auto"/>
        <w:ind w:left="369" w:hanging="170"/>
      </w:pPr>
      <w:r>
        <w:rPr>
          <w:rFonts w:ascii="Inter" w:hAnsi="Inter" w:eastAsia="Inter"/>
          <w:color w:val="182026"/>
          <w:sz w:val="18"/>
        </w:rPr>
        <w:t>explizite alternative Erklärungen.</w:t>
      </w:r>
    </w:p>
    <w:p>
      <w:pPr>
        <w:pStyle w:val="Heading2"/>
        <w:widowControl/>
      </w:pPr>
      <w:r>
        <w:t>13.3 Kennzahlenfixierung und Gaming</w:t>
      </w:r>
    </w:p>
    <w:p>
      <w:pPr>
        <w:pStyle w:val="BodyText"/>
        <w:widowControl/>
        <w:spacing w:after="110" w:line="278" w:lineRule="auto"/>
        <w:ind w:firstLine="255"/>
      </w:pPr>
      <w:r>
        <w:rPr>
          <w:rFonts w:ascii="Inter" w:hAnsi="Inter" w:eastAsia="Inter"/>
          <w:color w:val="182026"/>
          <w:sz w:val="19"/>
        </w:rPr>
        <w:t>Was vergütet wird, wird optimiert. Einzelkennzahlen können Verhalten verzerren. Beispiele sind Unterberichterstattung von Vorfällen, Verschiebung von Kosten oder Auswahl leichter Fälle. Gegenmaßnahmen:</w:t>
      </w:r>
    </w:p>
    <w:p>
      <w:pPr>
        <w:pStyle w:val="ListBullet"/>
        <w:widowControl/>
        <w:spacing w:after="50" w:line="259" w:lineRule="auto"/>
        <w:ind w:left="369" w:hanging="170"/>
      </w:pPr>
      <w:r>
        <w:rPr>
          <w:rFonts w:ascii="Inter" w:hAnsi="Inter" w:eastAsia="Inter"/>
          <w:color w:val="182026"/>
          <w:sz w:val="18"/>
        </w:rPr>
        <w:t>Kennzahlenportfolio statt Einzelmetrik,</w:t>
      </w:r>
    </w:p>
    <w:p>
      <w:pPr>
        <w:pStyle w:val="ListBullet"/>
        <w:widowControl/>
        <w:spacing w:after="50" w:line="259" w:lineRule="auto"/>
        <w:ind w:left="369" w:hanging="170"/>
      </w:pPr>
      <w:r>
        <w:rPr>
          <w:rFonts w:ascii="Inter" w:hAnsi="Inter" w:eastAsia="Inter"/>
          <w:color w:val="182026"/>
          <w:sz w:val="18"/>
        </w:rPr>
        <w:t>qualitative Prüfungen,</w:t>
      </w:r>
    </w:p>
    <w:p>
      <w:pPr>
        <w:pStyle w:val="ListBullet"/>
        <w:widowControl/>
        <w:spacing w:after="50" w:line="259" w:lineRule="auto"/>
        <w:ind w:left="369" w:hanging="170"/>
      </w:pPr>
      <w:r>
        <w:rPr>
          <w:rFonts w:ascii="Inter" w:hAnsi="Inter" w:eastAsia="Inter"/>
          <w:color w:val="182026"/>
          <w:sz w:val="18"/>
        </w:rPr>
        <w:t>Schutz-Gate und Reverse Merit Order,</w:t>
      </w:r>
    </w:p>
    <w:p>
      <w:pPr>
        <w:pStyle w:val="ListBullet"/>
        <w:widowControl/>
        <w:spacing w:after="50" w:line="259" w:lineRule="auto"/>
        <w:ind w:left="369" w:hanging="170"/>
      </w:pPr>
      <w:r>
        <w:rPr>
          <w:rFonts w:ascii="Inter" w:hAnsi="Inter" w:eastAsia="Inter"/>
          <w:color w:val="182026"/>
          <w:sz w:val="18"/>
        </w:rPr>
        <w:t>unerwünschte Nebenwirkungen als eigene Indikatoren,</w:t>
      </w:r>
    </w:p>
    <w:p>
      <w:pPr>
        <w:pStyle w:val="ListBullet"/>
        <w:widowControl/>
        <w:spacing w:after="50" w:line="259" w:lineRule="auto"/>
        <w:ind w:left="369" w:hanging="170"/>
      </w:pPr>
      <w:r>
        <w:rPr>
          <w:rFonts w:ascii="Inter" w:hAnsi="Inter" w:eastAsia="Inter"/>
          <w:color w:val="182026"/>
          <w:sz w:val="18"/>
        </w:rPr>
        <w:t>Clawback und Audit,</w:t>
      </w:r>
    </w:p>
    <w:p>
      <w:pPr>
        <w:pStyle w:val="ListBullet"/>
        <w:widowControl/>
        <w:spacing w:after="50" w:line="259" w:lineRule="auto"/>
        <w:ind w:left="369" w:hanging="170"/>
      </w:pPr>
      <w:r>
        <w:rPr>
          <w:rFonts w:ascii="Inter" w:hAnsi="Inter" w:eastAsia="Inter"/>
          <w:color w:val="182026"/>
          <w:sz w:val="18"/>
        </w:rPr>
        <w:t>Beteiligung betroffener Stakeholder.</w:t>
      </w:r>
    </w:p>
    <w:p>
      <w:pPr>
        <w:pStyle w:val="Heading2"/>
        <w:widowControl/>
      </w:pPr>
      <w:r>
        <w:t>13.4 Cream Skimming</w:t>
      </w:r>
    </w:p>
    <w:p>
      <w:pPr>
        <w:pStyle w:val="BodyText"/>
        <w:widowControl/>
        <w:spacing w:after="110" w:line="278" w:lineRule="auto"/>
        <w:ind w:firstLine="255"/>
      </w:pPr>
      <w:r>
        <w:rPr>
          <w:rFonts w:ascii="Inter" w:hAnsi="Inter" w:eastAsia="Inter"/>
          <w:color w:val="182026"/>
          <w:sz w:val="19"/>
        </w:rPr>
        <w:t>Outcome-basierte Anbieter können sich auf profitable Kunden, Regionen oder Fälle konzentrieren. Gegenmaßnahmen:</w:t>
      </w:r>
    </w:p>
    <w:p>
      <w:pPr>
        <w:pStyle w:val="ListBullet"/>
        <w:widowControl/>
        <w:spacing w:after="50" w:line="259" w:lineRule="auto"/>
        <w:ind w:left="369" w:hanging="170"/>
      </w:pPr>
      <w:r>
        <w:rPr>
          <w:rFonts w:ascii="Inter" w:hAnsi="Inter" w:eastAsia="Inter"/>
          <w:color w:val="182026"/>
          <w:sz w:val="18"/>
        </w:rPr>
        <w:t>Risikoadjustierung,</w:t>
      </w:r>
    </w:p>
    <w:p>
      <w:pPr>
        <w:pStyle w:val="ListBullet"/>
        <w:widowControl/>
        <w:spacing w:after="50" w:line="259" w:lineRule="auto"/>
        <w:ind w:left="369" w:hanging="170"/>
      </w:pPr>
      <w:r>
        <w:rPr>
          <w:rFonts w:ascii="Inter" w:hAnsi="Inter" w:eastAsia="Inter"/>
          <w:color w:val="182026"/>
          <w:sz w:val="18"/>
        </w:rPr>
        <w:t>Mindestabdeckung und Zugangsregeln,</w:t>
      </w:r>
    </w:p>
    <w:p>
      <w:pPr>
        <w:pStyle w:val="ListBullet"/>
        <w:widowControl/>
        <w:spacing w:after="50" w:line="259" w:lineRule="auto"/>
        <w:ind w:left="369" w:hanging="170"/>
      </w:pPr>
      <w:r>
        <w:rPr>
          <w:rFonts w:ascii="Inter" w:hAnsi="Inter" w:eastAsia="Inter"/>
          <w:color w:val="182026"/>
          <w:sz w:val="18"/>
        </w:rPr>
        <w:t>getrennte Vergütung besonders schwieriger Fälle,</w:t>
      </w:r>
    </w:p>
    <w:p>
      <w:pPr>
        <w:pStyle w:val="ListBullet"/>
        <w:widowControl/>
        <w:spacing w:after="50" w:line="259" w:lineRule="auto"/>
        <w:ind w:left="369" w:hanging="170"/>
      </w:pPr>
      <w:r>
        <w:rPr>
          <w:rFonts w:ascii="Inter" w:hAnsi="Inter" w:eastAsia="Inter"/>
          <w:color w:val="182026"/>
          <w:sz w:val="18"/>
        </w:rPr>
        <w:t>Equity- und Teilhabe-KII,</w:t>
      </w:r>
    </w:p>
    <w:p>
      <w:pPr>
        <w:pStyle w:val="ListBullet"/>
        <w:widowControl/>
        <w:spacing w:after="50" w:line="259" w:lineRule="auto"/>
        <w:ind w:left="369" w:hanging="170"/>
      </w:pPr>
      <w:r>
        <w:rPr>
          <w:rFonts w:ascii="Inter" w:hAnsi="Inter" w:eastAsia="Inter"/>
          <w:color w:val="182026"/>
          <w:sz w:val="18"/>
        </w:rPr>
        <w:t>öffentliche oder solidarische Co-Finanzierung.</w:t>
      </w:r>
    </w:p>
    <w:p>
      <w:pPr>
        <w:pStyle w:val="Heading2"/>
        <w:widowControl/>
      </w:pPr>
      <w:r>
        <w:t>13.5 Risikoabwälzung</w:t>
      </w:r>
    </w:p>
    <w:p>
      <w:pPr>
        <w:pStyle w:val="BodyText"/>
        <w:widowControl/>
        <w:spacing w:after="110" w:line="278" w:lineRule="auto"/>
        <w:ind w:firstLine="255"/>
      </w:pPr>
      <w:r>
        <w:rPr>
          <w:rFonts w:ascii="Inter" w:hAnsi="Inter" w:eastAsia="Inter"/>
          <w:color w:val="182026"/>
          <w:sz w:val="19"/>
        </w:rPr>
        <w:t>Große Kunden können kleine Anbieter zwingen, Markt-, Management- oder Umsetzungsrisiken zu übernehmen, die diese nicht steuern können. Gegenmaßnahmen:</w:t>
      </w:r>
    </w:p>
    <w:p>
      <w:pPr>
        <w:pStyle w:val="ListBullet"/>
        <w:widowControl/>
        <w:spacing w:after="50" w:line="259" w:lineRule="auto"/>
        <w:ind w:left="369" w:hanging="170"/>
      </w:pPr>
      <w:r>
        <w:rPr>
          <w:rFonts w:ascii="Inter" w:hAnsi="Inter" w:eastAsia="Inter"/>
          <w:color w:val="182026"/>
          <w:sz w:val="18"/>
        </w:rPr>
        <w:t>tragfähige Basisvergütung,</w:t>
      </w:r>
    </w:p>
    <w:p>
      <w:pPr>
        <w:pStyle w:val="ListBullet"/>
        <w:widowControl/>
        <w:spacing w:after="50" w:line="259" w:lineRule="auto"/>
        <w:ind w:left="369" w:hanging="170"/>
      </w:pPr>
      <w:r>
        <w:rPr>
          <w:rFonts w:ascii="Inter" w:hAnsi="Inter" w:eastAsia="Inter"/>
          <w:color w:val="182026"/>
          <w:sz w:val="18"/>
        </w:rPr>
        <w:t>variable Anteile nur für steuerbare Outcomes,</w:t>
      </w:r>
    </w:p>
    <w:p>
      <w:pPr>
        <w:pStyle w:val="ListBullet"/>
        <w:widowControl/>
        <w:spacing w:after="50" w:line="259" w:lineRule="auto"/>
        <w:ind w:left="369" w:hanging="170"/>
      </w:pPr>
      <w:r>
        <w:rPr>
          <w:rFonts w:ascii="Inter" w:hAnsi="Inter" w:eastAsia="Inter"/>
          <w:color w:val="182026"/>
          <w:sz w:val="18"/>
        </w:rPr>
        <w:t>symmetrische Mitwirkungspflichten,</w:t>
      </w:r>
    </w:p>
    <w:p>
      <w:pPr>
        <w:pStyle w:val="ListBullet"/>
        <w:widowControl/>
        <w:spacing w:after="50" w:line="259" w:lineRule="auto"/>
        <w:ind w:left="369" w:hanging="170"/>
      </w:pPr>
      <w:r>
        <w:rPr>
          <w:rFonts w:ascii="Inter" w:hAnsi="Inter" w:eastAsia="Inter"/>
          <w:color w:val="182026"/>
          <w:sz w:val="18"/>
        </w:rPr>
        <w:t>Caps, Floors und Schockklauseln,</w:t>
      </w:r>
    </w:p>
    <w:p>
      <w:pPr>
        <w:pStyle w:val="ListBullet"/>
        <w:widowControl/>
        <w:spacing w:after="50" w:line="259" w:lineRule="auto"/>
        <w:ind w:left="369" w:hanging="170"/>
      </w:pPr>
      <w:r>
        <w:rPr>
          <w:rFonts w:ascii="Inter" w:hAnsi="Inter" w:eastAsia="Inter"/>
          <w:color w:val="182026"/>
          <w:sz w:val="18"/>
        </w:rPr>
        <w:t>keine unbegrenzte Vorfinanzierung.</w:t>
      </w:r>
    </w:p>
    <w:p>
      <w:pPr>
        <w:pStyle w:val="Heading2"/>
        <w:widowControl/>
      </w:pPr>
      <w:r>
        <w:t>13.6 Macht- und Informationsasymmetrie</w:t>
      </w:r>
    </w:p>
    <w:p>
      <w:pPr>
        <w:pStyle w:val="BodyText"/>
        <w:widowControl/>
        <w:spacing w:after="110" w:line="278" w:lineRule="auto"/>
        <w:ind w:firstLine="255"/>
      </w:pPr>
      <w:r>
        <w:rPr>
          <w:rFonts w:ascii="Inter" w:hAnsi="Inter" w:eastAsia="Inter"/>
          <w:color w:val="182026"/>
          <w:sz w:val="19"/>
        </w:rPr>
        <w:t>Value Pricing kann zur maximalen Abschöpfung individueller Zahlungsbereitschaft missbraucht werden. Gegenmaßnahmen:</w:t>
      </w:r>
    </w:p>
    <w:p>
      <w:pPr>
        <w:pStyle w:val="ListBullet"/>
        <w:widowControl/>
        <w:spacing w:after="50" w:line="259" w:lineRule="auto"/>
        <w:ind w:left="369" w:hanging="170"/>
      </w:pPr>
      <w:r>
        <w:rPr>
          <w:rFonts w:ascii="Inter" w:hAnsi="Inter" w:eastAsia="Inter"/>
          <w:color w:val="182026"/>
          <w:sz w:val="18"/>
        </w:rPr>
        <w:t>konsistente Bewertungsmethode,</w:t>
      </w:r>
    </w:p>
    <w:p>
      <w:pPr>
        <w:pStyle w:val="ListBullet"/>
        <w:widowControl/>
        <w:spacing w:after="50" w:line="259" w:lineRule="auto"/>
        <w:ind w:left="369" w:hanging="170"/>
      </w:pPr>
      <w:r>
        <w:rPr>
          <w:rFonts w:ascii="Inter" w:hAnsi="Inter" w:eastAsia="Inter"/>
          <w:color w:val="182026"/>
          <w:sz w:val="18"/>
        </w:rPr>
        <w:t>Begründung unterschiedlicher Preise,</w:t>
      </w:r>
    </w:p>
    <w:p>
      <w:pPr>
        <w:pStyle w:val="ListBullet"/>
        <w:widowControl/>
        <w:spacing w:after="50" w:line="259" w:lineRule="auto"/>
        <w:ind w:left="369" w:hanging="170"/>
      </w:pPr>
      <w:r>
        <w:rPr>
          <w:rFonts w:ascii="Inter" w:hAnsi="Inter" w:eastAsia="Inter"/>
          <w:color w:val="182026"/>
          <w:sz w:val="18"/>
        </w:rPr>
        <w:t>Kundensurplus und Fairnessprüfung,</w:t>
      </w:r>
    </w:p>
    <w:p>
      <w:pPr>
        <w:pStyle w:val="ListBullet"/>
        <w:widowControl/>
        <w:spacing w:after="50" w:line="259" w:lineRule="auto"/>
        <w:ind w:left="369" w:hanging="170"/>
      </w:pPr>
      <w:r>
        <w:rPr>
          <w:rFonts w:ascii="Inter" w:hAnsi="Inter" w:eastAsia="Inter"/>
          <w:color w:val="182026"/>
          <w:sz w:val="18"/>
        </w:rPr>
        <w:t>keine Ausnutzung von Notlagen,</w:t>
      </w:r>
    </w:p>
    <w:p>
      <w:pPr>
        <w:pStyle w:val="ListBullet"/>
        <w:widowControl/>
        <w:spacing w:after="50" w:line="259" w:lineRule="auto"/>
        <w:ind w:left="369" w:hanging="170"/>
      </w:pPr>
      <w:r>
        <w:rPr>
          <w:rFonts w:ascii="Inter" w:hAnsi="Inter" w:eastAsia="Inter"/>
          <w:color w:val="182026"/>
          <w:sz w:val="18"/>
        </w:rPr>
        <w:t>Transparenz über Modelle und Annahmen,</w:t>
      </w:r>
    </w:p>
    <w:p>
      <w:pPr>
        <w:pStyle w:val="ListBullet"/>
        <w:widowControl/>
        <w:spacing w:after="50" w:line="259" w:lineRule="auto"/>
        <w:ind w:left="369" w:hanging="170"/>
      </w:pPr>
      <w:r>
        <w:rPr>
          <w:rFonts w:ascii="Inter" w:hAnsi="Inter" w:eastAsia="Inter"/>
          <w:color w:val="182026"/>
          <w:sz w:val="18"/>
        </w:rPr>
        <w:t>Beschwerde- und Vergleichsmöglichkeiten.</w:t>
      </w:r>
    </w:p>
    <w:p>
      <w:pPr>
        <w:pStyle w:val="Heading2"/>
        <w:widowControl/>
      </w:pPr>
      <w:r>
        <w:t>13.7 Impact-Washing</w:t>
      </w:r>
    </w:p>
    <w:p>
      <w:pPr>
        <w:pStyle w:val="BodyText"/>
        <w:widowControl/>
        <w:spacing w:after="110" w:line="278" w:lineRule="auto"/>
        <w:ind w:firstLine="255"/>
      </w:pPr>
      <w:r>
        <w:rPr>
          <w:rFonts w:ascii="Inter" w:hAnsi="Inter" w:eastAsia="Inter"/>
          <w:color w:val="182026"/>
          <w:sz w:val="19"/>
        </w:rPr>
        <w:t>Wirkung kann zur Begründung höherer Preise oder besserer Reputation behauptet werden. Gegenmaßnahmen:</w:t>
      </w:r>
    </w:p>
    <w:p>
      <w:pPr>
        <w:pStyle w:val="ListBullet"/>
        <w:widowControl/>
        <w:spacing w:after="50" w:line="259" w:lineRule="auto"/>
        <w:ind w:left="369" w:hanging="170"/>
      </w:pPr>
      <w:r>
        <w:rPr>
          <w:rFonts w:ascii="Inter" w:hAnsi="Inter" w:eastAsia="Inter"/>
          <w:color w:val="182026"/>
          <w:sz w:val="18"/>
        </w:rPr>
        <w:t>Wirkung neutral definieren,</w:t>
      </w:r>
    </w:p>
    <w:p>
      <w:pPr>
        <w:pStyle w:val="ListBullet"/>
        <w:widowControl/>
        <w:spacing w:after="50" w:line="259" w:lineRule="auto"/>
        <w:ind w:left="369" w:hanging="170"/>
      </w:pPr>
      <w:r>
        <w:rPr>
          <w:rFonts w:ascii="Inter" w:hAnsi="Inter" w:eastAsia="Inter"/>
          <w:color w:val="182026"/>
          <w:sz w:val="18"/>
        </w:rPr>
        <w:t>Referenzrahmen offenlegen,</w:t>
      </w:r>
    </w:p>
    <w:p>
      <w:pPr>
        <w:pStyle w:val="ListBullet"/>
        <w:widowControl/>
        <w:spacing w:after="50" w:line="259" w:lineRule="auto"/>
        <w:ind w:left="369" w:hanging="170"/>
      </w:pPr>
      <w:r>
        <w:rPr>
          <w:rFonts w:ascii="Inter" w:hAnsi="Inter" w:eastAsia="Inter"/>
          <w:color w:val="182026"/>
          <w:sz w:val="18"/>
        </w:rPr>
        <w:t>NWI nicht monetarisieren,</w:t>
      </w:r>
    </w:p>
    <w:p>
      <w:pPr>
        <w:pStyle w:val="ListBullet"/>
        <w:widowControl/>
        <w:spacing w:after="50" w:line="259" w:lineRule="auto"/>
        <w:ind w:left="369" w:hanging="170"/>
      </w:pPr>
      <w:r>
        <w:rPr>
          <w:rFonts w:ascii="Inter" w:hAnsi="Inter" w:eastAsia="Inter"/>
          <w:color w:val="182026"/>
          <w:sz w:val="18"/>
        </w:rPr>
        <w:t>Schutz-Gate,</w:t>
      </w:r>
    </w:p>
    <w:p>
      <w:pPr>
        <w:pStyle w:val="ListBullet"/>
        <w:widowControl/>
        <w:spacing w:after="50" w:line="259" w:lineRule="auto"/>
        <w:ind w:left="369" w:hanging="170"/>
      </w:pPr>
      <w:r>
        <w:rPr>
          <w:rFonts w:ascii="Inter" w:hAnsi="Inter" w:eastAsia="Inter"/>
          <w:color w:val="182026"/>
          <w:sz w:val="18"/>
        </w:rPr>
        <w:t>Datenqualität und Assurance,</w:t>
      </w:r>
    </w:p>
    <w:p>
      <w:pPr>
        <w:pStyle w:val="ListBullet"/>
        <w:widowControl/>
        <w:spacing w:after="50" w:line="259" w:lineRule="auto"/>
        <w:ind w:left="369" w:hanging="170"/>
      </w:pPr>
      <w:r>
        <w:rPr>
          <w:rFonts w:ascii="Inter" w:hAnsi="Inter" w:eastAsia="Inter"/>
          <w:color w:val="182026"/>
          <w:sz w:val="18"/>
        </w:rPr>
        <w:t>Trennung von Kundenwert und Systemwirkung,</w:t>
      </w:r>
    </w:p>
    <w:p>
      <w:pPr>
        <w:pStyle w:val="ListBullet"/>
        <w:widowControl/>
        <w:spacing w:after="50" w:line="259" w:lineRule="auto"/>
        <w:ind w:left="369" w:hanging="170"/>
      </w:pPr>
      <w:r>
        <w:rPr>
          <w:rFonts w:ascii="Inter" w:hAnsi="Inter" w:eastAsia="Inter"/>
          <w:color w:val="182026"/>
          <w:sz w:val="18"/>
        </w:rPr>
        <w:t>keine freie Transformationsprämie.</w:t>
      </w:r>
    </w:p>
    <w:p>
      <w:pPr>
        <w:pStyle w:val="Heading2"/>
        <w:widowControl/>
      </w:pPr>
      <w:r>
        <w:t>13.8 KI-Washing und Qualitätsrisiko</w:t>
      </w:r>
    </w:p>
    <w:p>
      <w:pPr>
        <w:pStyle w:val="BodyText"/>
        <w:widowControl/>
        <w:spacing w:after="110" w:line="276" w:lineRule="auto"/>
        <w:ind w:firstLine="255"/>
      </w:pPr>
      <w:r>
        <w:rPr>
          <w:rFonts w:ascii="Inter" w:hAnsi="Inter" w:eastAsia="Inter"/>
          <w:color w:val="182026"/>
          <w:sz w:val="19"/>
        </w:rPr>
        <w:t>Ein Anbieter kann eine KI-generierte Leistung als hochindividuelle Expertenarbeit verkaufen, ohne ausreichende Prüfung oder eigene Wertschöpfung. Umgekehrt kann ein Kunde den Einsatz von KI pauschal als Grund für massive Preissenkung nutzen. Beide Positionen sind zu kurz.</w:t>
      </w:r>
    </w:p>
    <w:p>
      <w:pPr>
        <w:pStyle w:val="BodyText"/>
        <w:widowControl/>
        <w:spacing w:after="110" w:line="276" w:lineRule="auto"/>
        <w:ind w:firstLine="255"/>
      </w:pPr>
      <w:r>
        <w:rPr>
          <w:rFonts w:ascii="Inter" w:hAnsi="Inter" w:eastAsia="Inter"/>
          <w:color w:val="182026"/>
          <w:sz w:val="19"/>
        </w:rPr>
        <w:t>Entscheidend sind:</w:t>
      </w:r>
    </w:p>
    <w:p>
      <w:pPr>
        <w:pStyle w:val="ListBullet"/>
        <w:widowControl/>
        <w:spacing w:after="50" w:line="259" w:lineRule="auto"/>
        <w:ind w:left="369" w:hanging="170"/>
      </w:pPr>
      <w:r>
        <w:rPr>
          <w:rFonts w:ascii="Inter" w:hAnsi="Inter" w:eastAsia="Inter"/>
          <w:color w:val="182026"/>
          <w:sz w:val="18"/>
        </w:rPr>
        <w:t>Qualität und Differenzierung des Ergebnisses,</w:t>
      </w:r>
    </w:p>
    <w:p>
      <w:pPr>
        <w:pStyle w:val="ListBullet"/>
        <w:widowControl/>
        <w:spacing w:after="50" w:line="259" w:lineRule="auto"/>
        <w:ind w:left="369" w:hanging="170"/>
      </w:pPr>
      <w:r>
        <w:rPr>
          <w:rFonts w:ascii="Inter" w:hAnsi="Inter" w:eastAsia="Inter"/>
          <w:color w:val="182026"/>
          <w:sz w:val="18"/>
        </w:rPr>
        <w:t>menschliche Prüfung und Verantwortung,</w:t>
      </w:r>
    </w:p>
    <w:p>
      <w:pPr>
        <w:pStyle w:val="ListBullet"/>
        <w:widowControl/>
        <w:spacing w:after="50" w:line="259" w:lineRule="auto"/>
        <w:ind w:left="369" w:hanging="170"/>
      </w:pPr>
      <w:r>
        <w:rPr>
          <w:rFonts w:ascii="Inter" w:hAnsi="Inter" w:eastAsia="Inter"/>
          <w:color w:val="182026"/>
          <w:sz w:val="18"/>
        </w:rPr>
        <w:t>Daten-, Sicherheits- und Haftungsrisiken,</w:t>
      </w:r>
    </w:p>
    <w:p>
      <w:pPr>
        <w:pStyle w:val="ListBullet"/>
        <w:widowControl/>
        <w:spacing w:after="50" w:line="259" w:lineRule="auto"/>
        <w:ind w:left="369" w:hanging="170"/>
      </w:pPr>
      <w:r>
        <w:rPr>
          <w:rFonts w:ascii="Inter" w:hAnsi="Inter" w:eastAsia="Inter"/>
          <w:color w:val="182026"/>
          <w:sz w:val="18"/>
        </w:rPr>
        <w:t>eigener Methoden- und Wissensanteil,</w:t>
      </w:r>
    </w:p>
    <w:p>
      <w:pPr>
        <w:pStyle w:val="ListBullet"/>
        <w:widowControl/>
        <w:spacing w:after="50" w:line="259" w:lineRule="auto"/>
        <w:ind w:left="369" w:hanging="170"/>
      </w:pPr>
      <w:r>
        <w:rPr>
          <w:rFonts w:ascii="Inter" w:hAnsi="Inter" w:eastAsia="Inter"/>
          <w:color w:val="182026"/>
          <w:sz w:val="18"/>
        </w:rPr>
        <w:t>Marktverfügbarkeit vergleichbarer Alternativen,</w:t>
      </w:r>
    </w:p>
    <w:p>
      <w:pPr>
        <w:pStyle w:val="ListBullet"/>
        <w:widowControl/>
        <w:spacing w:after="50" w:line="259" w:lineRule="auto"/>
        <w:ind w:left="369" w:hanging="170"/>
      </w:pPr>
      <w:r>
        <w:rPr>
          <w:rFonts w:ascii="Inter" w:hAnsi="Inter" w:eastAsia="Inter"/>
          <w:color w:val="182026"/>
          <w:sz w:val="18"/>
        </w:rPr>
        <w:t>tatsächlicher Kundenwert.</w:t>
      </w:r>
    </w:p>
    <w:p>
      <w:pPr>
        <w:pStyle w:val="Heading2"/>
        <w:widowControl/>
      </w:pPr>
      <w:r>
        <w:t>13.9 Messbürokratie</w:t>
      </w:r>
    </w:p>
    <w:p>
      <w:pPr>
        <w:pStyle w:val="BodyText"/>
        <w:widowControl/>
        <w:spacing w:after="110" w:line="278" w:lineRule="auto"/>
        <w:ind w:firstLine="255"/>
      </w:pPr>
      <w:r>
        <w:rPr>
          <w:rFonts w:ascii="Inter" w:hAnsi="Inter" w:eastAsia="Inter"/>
          <w:color w:val="182026"/>
          <w:sz w:val="19"/>
        </w:rPr>
        <w:t>Ein zu komplexes System kann kleine Anbieter und Kunden überfordern. Gegenmaßnahmen:</w:t>
      </w:r>
    </w:p>
    <w:p>
      <w:pPr>
        <w:pStyle w:val="ListBullet"/>
        <w:widowControl/>
        <w:spacing w:after="50" w:line="259" w:lineRule="auto"/>
        <w:ind w:left="369" w:hanging="170"/>
      </w:pPr>
      <w:r>
        <w:rPr>
          <w:rFonts w:ascii="Inter" w:hAnsi="Inter" w:eastAsia="Inter"/>
          <w:color w:val="182026"/>
          <w:sz w:val="18"/>
        </w:rPr>
        <w:t>Proportionalitätsstufen,</w:t>
      </w:r>
    </w:p>
    <w:p>
      <w:pPr>
        <w:pStyle w:val="ListBullet"/>
        <w:widowControl/>
        <w:spacing w:after="50" w:line="259" w:lineRule="auto"/>
        <w:ind w:left="369" w:hanging="170"/>
      </w:pPr>
      <w:r>
        <w:rPr>
          <w:rFonts w:ascii="Inter" w:hAnsi="Inter" w:eastAsia="Inter"/>
          <w:color w:val="182026"/>
          <w:sz w:val="18"/>
        </w:rPr>
        <w:t>vorhandene Daten zuerst nutzen,</w:t>
      </w:r>
    </w:p>
    <w:p>
      <w:pPr>
        <w:pStyle w:val="ListBullet"/>
        <w:widowControl/>
        <w:spacing w:after="50" w:line="259" w:lineRule="auto"/>
        <w:ind w:left="369" w:hanging="170"/>
      </w:pPr>
      <w:r>
        <w:rPr>
          <w:rFonts w:ascii="Inter" w:hAnsi="Inter" w:eastAsia="Inter"/>
          <w:color w:val="182026"/>
          <w:sz w:val="18"/>
        </w:rPr>
        <w:t>Standard-Scorecards und Branchenwerte,</w:t>
      </w:r>
    </w:p>
    <w:p>
      <w:pPr>
        <w:pStyle w:val="ListBullet"/>
        <w:widowControl/>
        <w:spacing w:after="50" w:line="259" w:lineRule="auto"/>
        <w:ind w:left="369" w:hanging="170"/>
      </w:pPr>
      <w:r>
        <w:rPr>
          <w:rFonts w:ascii="Inter" w:hAnsi="Inter" w:eastAsia="Inter"/>
          <w:color w:val="182026"/>
          <w:sz w:val="18"/>
        </w:rPr>
        <w:t>wiederverwendbare Messbausteine,</w:t>
      </w:r>
    </w:p>
    <w:p>
      <w:pPr>
        <w:pStyle w:val="ListBullet"/>
        <w:widowControl/>
        <w:spacing w:after="50" w:line="259" w:lineRule="auto"/>
        <w:ind w:left="369" w:hanging="170"/>
      </w:pPr>
      <w:r>
        <w:rPr>
          <w:rFonts w:ascii="Inter" w:hAnsi="Inter" w:eastAsia="Inter"/>
          <w:color w:val="182026"/>
          <w:sz w:val="18"/>
        </w:rPr>
        <w:t>klare Messbudgets,</w:t>
      </w:r>
    </w:p>
    <w:p>
      <w:pPr>
        <w:pStyle w:val="ListBullet"/>
        <w:widowControl/>
        <w:spacing w:after="50" w:line="259" w:lineRule="auto"/>
        <w:ind w:left="369" w:hanging="170"/>
      </w:pPr>
      <w:r>
        <w:rPr>
          <w:rFonts w:ascii="Inter" w:hAnsi="Inter" w:eastAsia="Inter"/>
          <w:color w:val="182026"/>
          <w:sz w:val="18"/>
        </w:rPr>
        <w:t>Pilotierung vor Vollausbau.</w:t>
      </w:r>
    </w:p>
    <w:p>
      <w:pPr>
        <w:pStyle w:val="Heading2"/>
        <w:widowControl/>
      </w:pPr>
      <w:r>
        <w:t>13.10 Datenschutz und Überwachung</w:t>
      </w:r>
    </w:p>
    <w:p>
      <w:pPr>
        <w:pStyle w:val="BodyText"/>
        <w:widowControl/>
        <w:spacing w:after="110" w:line="278" w:lineRule="auto"/>
        <w:ind w:firstLine="255"/>
      </w:pPr>
      <w:r>
        <w:rPr>
          <w:rFonts w:ascii="Inter" w:hAnsi="Inter" w:eastAsia="Inter"/>
          <w:color w:val="182026"/>
          <w:sz w:val="19"/>
        </w:rPr>
        <w:t>Outcome-Messung kann zu intensiver Beobachtung von Beschäftigten oder Nutzer:innen führen. Gegenmaßnahmen:</w:t>
      </w:r>
    </w:p>
    <w:p>
      <w:pPr>
        <w:pStyle w:val="ListBullet"/>
        <w:widowControl/>
        <w:spacing w:after="50" w:line="259" w:lineRule="auto"/>
        <w:ind w:left="369" w:hanging="170"/>
      </w:pPr>
      <w:r>
        <w:rPr>
          <w:rFonts w:ascii="Inter" w:hAnsi="Inter" w:eastAsia="Inter"/>
          <w:color w:val="182026"/>
          <w:sz w:val="18"/>
        </w:rPr>
        <w:t>Datenminimierung,</w:t>
      </w:r>
    </w:p>
    <w:p>
      <w:pPr>
        <w:pStyle w:val="ListBullet"/>
        <w:widowControl/>
        <w:spacing w:after="50" w:line="259" w:lineRule="auto"/>
        <w:ind w:left="369" w:hanging="170"/>
      </w:pPr>
      <w:r>
        <w:rPr>
          <w:rFonts w:ascii="Inter" w:hAnsi="Inter" w:eastAsia="Inter"/>
          <w:color w:val="182026"/>
          <w:sz w:val="18"/>
        </w:rPr>
        <w:t>Aggregation und Anonymisierung,</w:t>
      </w:r>
    </w:p>
    <w:p>
      <w:pPr>
        <w:pStyle w:val="ListBullet"/>
        <w:widowControl/>
        <w:spacing w:after="50" w:line="259" w:lineRule="auto"/>
        <w:ind w:left="369" w:hanging="170"/>
      </w:pPr>
      <w:r>
        <w:rPr>
          <w:rFonts w:ascii="Inter" w:hAnsi="Inter" w:eastAsia="Inter"/>
          <w:color w:val="182026"/>
          <w:sz w:val="18"/>
        </w:rPr>
        <w:t>keine individuellen Leistungs- oder Gesundheitsscores,</w:t>
      </w:r>
    </w:p>
    <w:p>
      <w:pPr>
        <w:pStyle w:val="ListBullet"/>
        <w:widowControl/>
        <w:spacing w:after="50" w:line="259" w:lineRule="auto"/>
        <w:ind w:left="369" w:hanging="170"/>
      </w:pPr>
      <w:r>
        <w:rPr>
          <w:rFonts w:ascii="Inter" w:hAnsi="Inter" w:eastAsia="Inter"/>
          <w:color w:val="182026"/>
          <w:sz w:val="18"/>
        </w:rPr>
        <w:t>Zweckbindung und Löschung,</w:t>
      </w:r>
    </w:p>
    <w:p>
      <w:pPr>
        <w:pStyle w:val="ListBullet"/>
        <w:widowControl/>
        <w:spacing w:after="50" w:line="259" w:lineRule="auto"/>
        <w:ind w:left="369" w:hanging="170"/>
      </w:pPr>
      <w:r>
        <w:rPr>
          <w:rFonts w:ascii="Inter" w:hAnsi="Inter" w:eastAsia="Inter"/>
          <w:color w:val="182026"/>
          <w:sz w:val="18"/>
        </w:rPr>
        <w:t>unabhängige Interessenvertretung,</w:t>
      </w:r>
    </w:p>
    <w:p>
      <w:pPr>
        <w:pStyle w:val="ListBullet"/>
        <w:widowControl/>
        <w:spacing w:after="50" w:line="259" w:lineRule="auto"/>
        <w:ind w:left="369" w:hanging="170"/>
      </w:pPr>
      <w:r>
        <w:rPr>
          <w:rFonts w:ascii="Inter" w:hAnsi="Inter" w:eastAsia="Inter"/>
          <w:color w:val="182026"/>
          <w:sz w:val="18"/>
        </w:rPr>
        <w:t>Wirkung ohne Überwachung gestalten.</w:t>
      </w:r>
    </w:p>
    <w:p>
      <w:pPr>
        <w:pStyle w:val="Heading2"/>
        <w:widowControl/>
      </w:pPr>
      <w:r>
        <w:t>13.11 Zeitverzug</w:t>
      </w:r>
    </w:p>
    <w:p>
      <w:pPr>
        <w:pStyle w:val="BodyText"/>
        <w:widowControl/>
        <w:spacing w:after="110" w:line="278" w:lineRule="auto"/>
        <w:ind w:firstLine="255"/>
      </w:pPr>
      <w:r>
        <w:rPr>
          <w:rFonts w:ascii="Inter" w:hAnsi="Inter" w:eastAsia="Inter"/>
          <w:color w:val="182026"/>
          <w:sz w:val="19"/>
        </w:rPr>
        <w:t>Viele Wirkungen treten spät ein. Anbieter können nicht jahrelang auf Vergütung warten; Kunden wollen keine dauerhafte Unsicherheit. Gegenmaßnahmen:</w:t>
      </w:r>
    </w:p>
    <w:p>
      <w:pPr>
        <w:pStyle w:val="ListBullet"/>
        <w:widowControl/>
        <w:spacing w:after="50" w:line="259" w:lineRule="auto"/>
        <w:ind w:left="369" w:hanging="170"/>
      </w:pPr>
      <w:r>
        <w:rPr>
          <w:rFonts w:ascii="Inter" w:hAnsi="Inter" w:eastAsia="Inter"/>
          <w:color w:val="182026"/>
          <w:sz w:val="18"/>
        </w:rPr>
        <w:t>Basisvergütung,</w:t>
      </w:r>
    </w:p>
    <w:p>
      <w:pPr>
        <w:pStyle w:val="ListBullet"/>
        <w:widowControl/>
        <w:spacing w:after="50" w:line="259" w:lineRule="auto"/>
        <w:ind w:left="369" w:hanging="170"/>
      </w:pPr>
      <w:r>
        <w:rPr>
          <w:rFonts w:ascii="Inter" w:hAnsi="Inter" w:eastAsia="Inter"/>
          <w:color w:val="182026"/>
          <w:sz w:val="18"/>
        </w:rPr>
        <w:t>frühe validierte Meilensteine,</w:t>
      </w:r>
    </w:p>
    <w:p>
      <w:pPr>
        <w:pStyle w:val="ListBullet"/>
        <w:widowControl/>
        <w:spacing w:after="50" w:line="259" w:lineRule="auto"/>
        <w:ind w:left="369" w:hanging="170"/>
      </w:pPr>
      <w:r>
        <w:rPr>
          <w:rFonts w:ascii="Inter" w:hAnsi="Inter" w:eastAsia="Inter"/>
          <w:color w:val="182026"/>
          <w:sz w:val="18"/>
        </w:rPr>
        <w:t>zeitlich begrenzte Earn-outs,</w:t>
      </w:r>
    </w:p>
    <w:p>
      <w:pPr>
        <w:pStyle w:val="ListBullet"/>
        <w:widowControl/>
        <w:spacing w:after="50" w:line="259" w:lineRule="auto"/>
        <w:ind w:left="369" w:hanging="170"/>
      </w:pPr>
      <w:r>
        <w:rPr>
          <w:rFonts w:ascii="Inter" w:hAnsi="Inter" w:eastAsia="Inter"/>
          <w:color w:val="182026"/>
          <w:sz w:val="18"/>
        </w:rPr>
        <w:t>Drop-off-Annahmen,</w:t>
      </w:r>
    </w:p>
    <w:p>
      <w:pPr>
        <w:pStyle w:val="ListBullet"/>
        <w:widowControl/>
        <w:spacing w:after="50" w:line="259" w:lineRule="auto"/>
        <w:ind w:left="369" w:hanging="170"/>
      </w:pPr>
      <w:r>
        <w:rPr>
          <w:rFonts w:ascii="Inter" w:hAnsi="Inter" w:eastAsia="Inter"/>
          <w:color w:val="182026"/>
          <w:sz w:val="18"/>
        </w:rPr>
        <w:t>Review-Punkte statt unbegrenzter Nachlauf.</w:t>
      </w:r>
    </w:p>
    <w:p>
      <w:pPr>
        <w:pStyle w:val="Heading2"/>
        <w:widowControl/>
      </w:pPr>
      <w:r>
        <w:t>13.12 Nichtmonetarisierbare Werte</w:t>
      </w:r>
    </w:p>
    <w:p>
      <w:pPr>
        <w:pStyle w:val="BodyText"/>
        <w:widowControl/>
        <w:spacing w:after="110" w:line="278" w:lineRule="auto"/>
        <w:ind w:firstLine="255"/>
      </w:pPr>
      <w:r>
        <w:rPr>
          <w:rFonts w:ascii="Inter" w:hAnsi="Inter" w:eastAsia="Inter"/>
          <w:color w:val="182026"/>
          <w:sz w:val="19"/>
        </w:rPr>
        <w:t>Würde, Rechte, Vertrauen, Biodiversität oder demokratische Stabilität lassen sich nicht vollständig in Euro ausdrücken. WVP erkennt Monetarisierungsgrenzen an. Solche Werte werden über KII, Scorecards, rote Linien und qualitative Evidenz geführt. Ein Preis kann ihre Verletzung nicht legitimieren.</w:t>
      </w:r>
    </w:p>
    <w:p>
      <w:pPr>
        <w:pStyle w:val="Heading2"/>
        <w:widowControl/>
      </w:pPr>
      <w:r>
        <w:t>13.13 Sektorale Grenzen</w:t>
      </w:r>
    </w:p>
    <w:p>
      <w:pPr>
        <w:pStyle w:val="BodyText"/>
        <w:widowControl/>
        <w:spacing w:after="110" w:line="278" w:lineRule="auto"/>
        <w:ind w:firstLine="255"/>
      </w:pPr>
      <w:r>
        <w:rPr>
          <w:rFonts w:ascii="Inter" w:hAnsi="Inter" w:eastAsia="Inter"/>
          <w:color w:val="182026"/>
          <w:sz w:val="19"/>
        </w:rPr>
        <w:t>WVP ist nicht in jedem Bereich gleich geeignet. Besondere Vorsicht gilt bei:</w:t>
      </w:r>
    </w:p>
    <w:p>
      <w:pPr>
        <w:pStyle w:val="ListBullet"/>
        <w:widowControl/>
        <w:spacing w:after="50" w:line="259" w:lineRule="auto"/>
        <w:ind w:left="369" w:hanging="170"/>
      </w:pPr>
      <w:r>
        <w:rPr>
          <w:rFonts w:ascii="Inter" w:hAnsi="Inter" w:eastAsia="Inter"/>
          <w:color w:val="182026"/>
          <w:sz w:val="18"/>
        </w:rPr>
        <w:t>medizinischen und therapeutischen Leistungen,</w:t>
      </w:r>
    </w:p>
    <w:p>
      <w:pPr>
        <w:pStyle w:val="ListBullet"/>
        <w:widowControl/>
        <w:spacing w:after="50" w:line="259" w:lineRule="auto"/>
        <w:ind w:left="369" w:hanging="170"/>
      </w:pPr>
      <w:r>
        <w:rPr>
          <w:rFonts w:ascii="Inter" w:hAnsi="Inter" w:eastAsia="Inter"/>
          <w:color w:val="182026"/>
          <w:sz w:val="18"/>
        </w:rPr>
        <w:t>Rechtsberatung und regulatorisch gebundenen Vergütungen,</w:t>
      </w:r>
    </w:p>
    <w:p>
      <w:pPr>
        <w:pStyle w:val="ListBullet"/>
        <w:widowControl/>
        <w:spacing w:after="50" w:line="259" w:lineRule="auto"/>
        <w:ind w:left="369" w:hanging="170"/>
      </w:pPr>
      <w:r>
        <w:rPr>
          <w:rFonts w:ascii="Inter" w:hAnsi="Inter" w:eastAsia="Inter"/>
          <w:color w:val="182026"/>
          <w:sz w:val="18"/>
        </w:rPr>
        <w:t>öffentlichen Kernaufgaben,</w:t>
      </w:r>
    </w:p>
    <w:p>
      <w:pPr>
        <w:pStyle w:val="ListBullet"/>
        <w:widowControl/>
        <w:spacing w:after="50" w:line="259" w:lineRule="auto"/>
        <w:ind w:left="369" w:hanging="170"/>
      </w:pPr>
      <w:r>
        <w:rPr>
          <w:rFonts w:ascii="Inter" w:hAnsi="Inter" w:eastAsia="Inter"/>
          <w:color w:val="182026"/>
          <w:sz w:val="18"/>
        </w:rPr>
        <w:t>Bildung und Pflege,</w:t>
      </w:r>
    </w:p>
    <w:p>
      <w:pPr>
        <w:pStyle w:val="ListBullet"/>
        <w:widowControl/>
        <w:spacing w:after="50" w:line="259" w:lineRule="auto"/>
        <w:ind w:left="369" w:hanging="170"/>
      </w:pPr>
      <w:r>
        <w:rPr>
          <w:rFonts w:ascii="Inter" w:hAnsi="Inter" w:eastAsia="Inter"/>
          <w:color w:val="182026"/>
          <w:sz w:val="18"/>
        </w:rPr>
        <w:t>existenziellen Notlagen,</w:t>
      </w:r>
    </w:p>
    <w:p>
      <w:pPr>
        <w:pStyle w:val="ListBullet"/>
        <w:widowControl/>
        <w:spacing w:after="50" w:line="259" w:lineRule="auto"/>
        <w:ind w:left="369" w:hanging="170"/>
      </w:pPr>
      <w:r>
        <w:rPr>
          <w:rFonts w:ascii="Inter" w:hAnsi="Inter" w:eastAsia="Inter"/>
          <w:color w:val="182026"/>
          <w:sz w:val="18"/>
        </w:rPr>
        <w:t>Entscheidungen mit Grundrechtsbezug,</w:t>
      </w:r>
    </w:p>
    <w:p>
      <w:pPr>
        <w:pStyle w:val="ListBullet"/>
        <w:widowControl/>
        <w:spacing w:after="50" w:line="259" w:lineRule="auto"/>
        <w:ind w:left="369" w:hanging="170"/>
      </w:pPr>
      <w:r>
        <w:rPr>
          <w:rFonts w:ascii="Inter" w:hAnsi="Inter" w:eastAsia="Inter"/>
          <w:color w:val="182026"/>
          <w:sz w:val="18"/>
        </w:rPr>
        <w:t>Leistungen mit sehr langen oder kollektiven Wirkpfaden.</w:t>
      </w:r>
    </w:p>
    <w:p>
      <w:pPr>
        <w:pStyle w:val="BodyText"/>
        <w:widowControl/>
        <w:spacing w:after="110" w:line="278" w:lineRule="auto"/>
        <w:ind w:firstLine="255"/>
      </w:pPr>
      <w:r>
        <w:rPr>
          <w:rFonts w:ascii="Inter" w:hAnsi="Inter" w:eastAsia="Inter"/>
          <w:color w:val="182026"/>
          <w:sz w:val="19"/>
        </w:rPr>
        <w:t>Hier können Gleichzugang, Berufsrecht, Schutzpflichten oder öffentliche Finanzierung Vorrang vor individueller Wertabschöpfung haben.</w:t>
      </w:r>
    </w:p>
    <w:p>
      <w:pPr>
        <w:pStyle w:val="Heading2"/>
        <w:widowControl/>
      </w:pPr>
      <w:r>
        <w:t>13.14 Keine Automatisierung der Verantwortung</w:t>
      </w:r>
    </w:p>
    <w:p>
      <w:pPr>
        <w:pStyle w:val="BodyText"/>
        <w:widowControl/>
        <w:spacing w:after="110" w:line="278" w:lineRule="auto"/>
        <w:ind w:firstLine="255"/>
      </w:pPr>
      <w:r>
        <w:rPr>
          <w:rFonts w:ascii="Inter" w:hAnsi="Inter" w:eastAsia="Inter"/>
          <w:color w:val="182026"/>
          <w:sz w:val="19"/>
        </w:rPr>
        <w:t>Algorithmen können Wertpfade berechnen, Szenarien simulieren und Daten prüfen. Sie dürfen die Verantwortung nicht ersetzen. Annahmen, Gewichtungen, Benchmarks und Zahlungsfolgen müssen anfechtbar, erklärbar und korrigierbar bleiben. Der Score unterstützt die Entscheidung; er trifft sie nicht.</w:t>
      </w:r>
    </w:p>
    <w:p>
      <w:pPr>
        <w:pStyle w:val="Heading1"/>
        <w:widowControl/>
        <w:pBdr>
          <w:bottom w:val="single" w:sz="10" w:space="6" w:color="C99A43"/>
        </w:pBdr>
      </w:pPr>
      <w:r>
        <w:t>14 Einführung und Reifegradmodell</w:t>
      </w:r>
    </w:p>
    <w:p>
      <w:pPr>
        <w:pStyle w:val="Heading2"/>
        <w:widowControl/>
      </w:pPr>
      <w:r>
        <w:t>14.1 Grundsatz der Einführung</w:t>
      </w:r>
    </w:p>
    <w:p>
      <w:pPr>
        <w:pStyle w:val="BodyText"/>
        <w:widowControl/>
        <w:spacing w:after="110" w:line="278" w:lineRule="auto"/>
        <w:ind w:firstLine="255"/>
      </w:pPr>
      <w:r>
        <w:rPr>
          <w:rFonts w:ascii="Inter" w:hAnsi="Inter" w:eastAsia="Inter"/>
          <w:color w:val="182026"/>
          <w:sz w:val="19"/>
        </w:rPr>
        <w:t>WVP sollte nicht unternehmensweit mit maximaler Komplexität starten. Geeignet ist ein begrenzter Pilot mit klarer Lernfrage. Ziel ist nicht, sofort perfekte Preise zu berechnen, sondern die wichtigsten Wert- und Wirkungsannahmen sichtbar zu machen.</w:t>
      </w:r>
    </w:p>
    <w:p>
      <w:pPr>
        <w:widowControl/>
        <w:spacing w:before="100" w:after="40"/>
        <w:jc w:val="center"/>
      </w:pPr>
      <w:r>
        <w:drawing>
          <wp:inline xmlns:a="http://schemas.openxmlformats.org/drawingml/2006/main" xmlns:pic="http://schemas.openxmlformats.org/drawingml/2006/picture">
            <wp:extent cx="6080760" cy="3281047"/>
            <wp:docPr id="9" name="Picture 9" descr="Abbildung 8: Fünf Reifegrade führen von Aufwandstransparenz zur lernenden Wert- und Wirkungsarchitektur." title="Abbildung 8: Fünf Reifegrade führen von Aufwandstransparenz zur lernenden Wert- und Wirkungsarchitektur."/>
            <wp:cNvGraphicFramePr>
              <a:graphicFrameLocks noChangeAspect="1"/>
            </wp:cNvGraphicFramePr>
            <a:graphic>
              <a:graphicData uri="http://schemas.openxmlformats.org/drawingml/2006/picture">
                <pic:pic>
                  <pic:nvPicPr>
                    <pic:cNvPr id="0" name="fig_maturity_model.png"/>
                    <pic:cNvPicPr/>
                  </pic:nvPicPr>
                  <pic:blipFill>
                    <a:blip r:embed="rId19"/>
                    <a:stretch>
                      <a:fillRect/>
                    </a:stretch>
                  </pic:blipFill>
                  <pic:spPr>
                    <a:xfrm>
                      <a:off x="0" y="0"/>
                      <a:ext cx="6080760" cy="3281047"/>
                    </a:xfrm>
                    <a:prstGeom prst="rect"/>
                  </pic:spPr>
                </pic:pic>
              </a:graphicData>
            </a:graphic>
          </wp:inline>
        </w:drawing>
      </w:r>
    </w:p>
    <w:p>
      <w:pPr>
        <w:widowControl/>
        <w:spacing w:after="160"/>
        <w:jc w:val="center"/>
      </w:pPr>
      <w:r>
        <w:rPr>
          <w:rFonts w:ascii="Inter" w:hAnsi="Inter" w:eastAsia="Inter"/>
          <w:i/>
          <w:color w:val="5B6670"/>
          <w:sz w:val="16"/>
        </w:rPr>
        <w:t>Abbildung 8: Fünf Reifegrade führen von Aufwandstransparenz zur lernenden Wert- und Wirkungsarchitektur.</w:t>
      </w:r>
    </w:p>
    <w:p>
      <w:pPr>
        <w:pStyle w:val="Heading2"/>
        <w:widowControl/>
      </w:pPr>
      <w:r>
        <w:t>14.2 Reifegrad 1: Aufwand sichtbar</w:t>
      </w:r>
    </w:p>
    <w:p>
      <w:pPr>
        <w:pStyle w:val="BodyText"/>
        <w:widowControl/>
        <w:spacing w:after="110" w:line="278" w:lineRule="auto"/>
        <w:ind w:firstLine="255"/>
      </w:pPr>
      <w:r>
        <w:rPr>
          <w:rFonts w:ascii="Inter" w:hAnsi="Inter" w:eastAsia="Inter"/>
          <w:color w:val="182026"/>
          <w:sz w:val="19"/>
        </w:rPr>
        <w:t>Das Unternehmen kennt Vollkosten, Kapazität, Auslastung, Risiko und Mindestmarge. Stunden werden nicht abgeschafft, sondern richtig eingeordnet. Voraussetzungen:</w:t>
      </w:r>
    </w:p>
    <w:p>
      <w:pPr>
        <w:pStyle w:val="ListBullet"/>
        <w:widowControl/>
        <w:spacing w:after="50" w:line="259" w:lineRule="auto"/>
        <w:ind w:left="369" w:hanging="170"/>
      </w:pPr>
      <w:r>
        <w:rPr>
          <w:rFonts w:ascii="Inter" w:hAnsi="Inter" w:eastAsia="Inter"/>
          <w:color w:val="182026"/>
          <w:sz w:val="18"/>
        </w:rPr>
        <w:t>belastbare Kostenrechnung,</w:t>
      </w:r>
    </w:p>
    <w:p>
      <w:pPr>
        <w:pStyle w:val="ListBullet"/>
        <w:widowControl/>
        <w:spacing w:after="50" w:line="259" w:lineRule="auto"/>
        <w:ind w:left="369" w:hanging="170"/>
      </w:pPr>
      <w:r>
        <w:rPr>
          <w:rFonts w:ascii="Inter" w:hAnsi="Inter" w:eastAsia="Inter"/>
          <w:color w:val="182026"/>
          <w:sz w:val="18"/>
        </w:rPr>
        <w:t>klares Leistungsportfolio,</w:t>
      </w:r>
    </w:p>
    <w:p>
      <w:pPr>
        <w:pStyle w:val="ListBullet"/>
        <w:widowControl/>
        <w:spacing w:after="50" w:line="259" w:lineRule="auto"/>
        <w:ind w:left="369" w:hanging="170"/>
      </w:pPr>
      <w:r>
        <w:rPr>
          <w:rFonts w:ascii="Inter" w:hAnsi="Inter" w:eastAsia="Inter"/>
          <w:color w:val="182026"/>
          <w:sz w:val="18"/>
        </w:rPr>
        <w:t>Scope- und Risikomanagement,</w:t>
      </w:r>
    </w:p>
    <w:p>
      <w:pPr>
        <w:pStyle w:val="ListBullet"/>
        <w:widowControl/>
        <w:spacing w:after="50" w:line="259" w:lineRule="auto"/>
        <w:ind w:left="369" w:hanging="170"/>
      </w:pPr>
      <w:r>
        <w:rPr>
          <w:rFonts w:ascii="Inter" w:hAnsi="Inter" w:eastAsia="Inter"/>
          <w:color w:val="182026"/>
          <w:sz w:val="18"/>
        </w:rPr>
        <w:t>Qualitätsstandards.</w:t>
      </w:r>
    </w:p>
    <w:p>
      <w:pPr>
        <w:pStyle w:val="Heading2"/>
        <w:widowControl/>
      </w:pPr>
      <w:r>
        <w:t>14.3 Reifegrad 2: Kundenwert hypothesiert</w:t>
      </w:r>
    </w:p>
    <w:p>
      <w:pPr>
        <w:pStyle w:val="BodyText"/>
        <w:widowControl/>
        <w:spacing w:after="110" w:line="278" w:lineRule="auto"/>
        <w:ind w:firstLine="255"/>
      </w:pPr>
      <w:r>
        <w:rPr>
          <w:rFonts w:ascii="Inter" w:hAnsi="Inter" w:eastAsia="Inter"/>
          <w:color w:val="182026"/>
          <w:sz w:val="19"/>
        </w:rPr>
        <w:t>Für ausgewählte Leistungen werden Referenzalternativen, Wertpfade und Wertkomponenten formuliert. Vertrieb und Fachteam arbeiten gemeinsam. Noch gibt es keine hohe variable Vergütung.</w:t>
      </w:r>
    </w:p>
    <w:p>
      <w:pPr>
        <w:pStyle w:val="BodyText"/>
        <w:widowControl/>
        <w:spacing w:after="110" w:line="278" w:lineRule="auto"/>
        <w:ind w:firstLine="255"/>
      </w:pPr>
      <w:r>
        <w:rPr>
          <w:rFonts w:ascii="Inter" w:hAnsi="Inter" w:eastAsia="Inter"/>
          <w:color w:val="182026"/>
          <w:sz w:val="19"/>
        </w:rPr>
        <w:t>Ergebnisse:</w:t>
      </w:r>
    </w:p>
    <w:p>
      <w:pPr>
        <w:pStyle w:val="ListBullet"/>
        <w:widowControl/>
        <w:spacing w:after="50" w:line="259" w:lineRule="auto"/>
        <w:ind w:left="369" w:hanging="170"/>
      </w:pPr>
      <w:r>
        <w:rPr>
          <w:rFonts w:ascii="Inter" w:hAnsi="Inter" w:eastAsia="Inter"/>
          <w:color w:val="182026"/>
          <w:sz w:val="18"/>
        </w:rPr>
        <w:t>Value Case Canvas,</w:t>
      </w:r>
    </w:p>
    <w:p>
      <w:pPr>
        <w:pStyle w:val="ListBullet"/>
        <w:widowControl/>
        <w:spacing w:after="50" w:line="259" w:lineRule="auto"/>
        <w:ind w:left="369" w:hanging="170"/>
      </w:pPr>
      <w:r>
        <w:rPr>
          <w:rFonts w:ascii="Inter" w:hAnsi="Inter" w:eastAsia="Inter"/>
          <w:color w:val="182026"/>
          <w:sz w:val="18"/>
        </w:rPr>
        <w:t>Low-/Base-/High-Case,</w:t>
      </w:r>
    </w:p>
    <w:p>
      <w:pPr>
        <w:pStyle w:val="ListBullet"/>
        <w:widowControl/>
        <w:spacing w:after="50" w:line="259" w:lineRule="auto"/>
        <w:ind w:left="369" w:hanging="170"/>
      </w:pPr>
      <w:r>
        <w:rPr>
          <w:rFonts w:ascii="Inter" w:hAnsi="Inter" w:eastAsia="Inter"/>
          <w:color w:val="182026"/>
          <w:sz w:val="18"/>
        </w:rPr>
        <w:t>wertbegründete Festpreise,</w:t>
      </w:r>
    </w:p>
    <w:p>
      <w:pPr>
        <w:pStyle w:val="ListBullet"/>
        <w:widowControl/>
        <w:spacing w:after="50" w:line="259" w:lineRule="auto"/>
        <w:ind w:left="369" w:hanging="170"/>
      </w:pPr>
      <w:r>
        <w:rPr>
          <w:rFonts w:ascii="Inter" w:hAnsi="Inter" w:eastAsia="Inter"/>
          <w:color w:val="182026"/>
          <w:sz w:val="18"/>
        </w:rPr>
        <w:t>dokumentierte Annahmen.</w:t>
      </w:r>
    </w:p>
    <w:p>
      <w:pPr>
        <w:pStyle w:val="Heading2"/>
        <w:widowControl/>
      </w:pPr>
      <w:r>
        <w:t>14.4 Reifegrad 3: Kundenwert gemessen</w:t>
      </w:r>
    </w:p>
    <w:p>
      <w:pPr>
        <w:pStyle w:val="BodyText"/>
        <w:widowControl/>
        <w:spacing w:after="110" w:line="278" w:lineRule="auto"/>
        <w:ind w:firstLine="255"/>
      </w:pPr>
      <w:r>
        <w:rPr>
          <w:rFonts w:ascii="Inter" w:hAnsi="Inter" w:eastAsia="Inter"/>
          <w:color w:val="182026"/>
          <w:sz w:val="19"/>
        </w:rPr>
        <w:t>Baseline, Outcome und Zurechnung werden systematisch erhoben. Erste hybride Verträge werden pilotiert. Das Unternehmen baut eine Bibliothek verifizierter Value Cases auf.</w:t>
      </w:r>
    </w:p>
    <w:p>
      <w:pPr>
        <w:pStyle w:val="BodyText"/>
        <w:widowControl/>
        <w:spacing w:after="110" w:line="278" w:lineRule="auto"/>
        <w:ind w:firstLine="255"/>
      </w:pPr>
      <w:r>
        <w:rPr>
          <w:rFonts w:ascii="Inter" w:hAnsi="Inter" w:eastAsia="Inter"/>
          <w:color w:val="182026"/>
          <w:sz w:val="19"/>
        </w:rPr>
        <w:t>Voraussetzungen:</w:t>
      </w:r>
    </w:p>
    <w:p>
      <w:pPr>
        <w:pStyle w:val="ListBullet"/>
        <w:widowControl/>
        <w:spacing w:after="50" w:line="259" w:lineRule="auto"/>
        <w:ind w:left="369" w:hanging="170"/>
      </w:pPr>
      <w:r>
        <w:rPr>
          <w:rFonts w:ascii="Inter" w:hAnsi="Inter" w:eastAsia="Inter"/>
          <w:color w:val="182026"/>
          <w:sz w:val="18"/>
        </w:rPr>
        <w:t>Datenzugang,</w:t>
      </w:r>
    </w:p>
    <w:p>
      <w:pPr>
        <w:pStyle w:val="ListBullet"/>
        <w:widowControl/>
        <w:spacing w:after="50" w:line="259" w:lineRule="auto"/>
        <w:ind w:left="369" w:hanging="170"/>
      </w:pPr>
      <w:r>
        <w:rPr>
          <w:rFonts w:ascii="Inter" w:hAnsi="Inter" w:eastAsia="Inter"/>
          <w:color w:val="182026"/>
          <w:sz w:val="18"/>
        </w:rPr>
        <w:t>Value Owner,</w:t>
      </w:r>
    </w:p>
    <w:p>
      <w:pPr>
        <w:pStyle w:val="ListBullet"/>
        <w:widowControl/>
        <w:spacing w:after="50" w:line="259" w:lineRule="auto"/>
        <w:ind w:left="369" w:hanging="170"/>
      </w:pPr>
      <w:r>
        <w:rPr>
          <w:rFonts w:ascii="Inter" w:hAnsi="Inter" w:eastAsia="Inter"/>
          <w:color w:val="182026"/>
          <w:sz w:val="18"/>
        </w:rPr>
        <w:t>Standardformeln,</w:t>
      </w:r>
    </w:p>
    <w:p>
      <w:pPr>
        <w:pStyle w:val="ListBullet"/>
        <w:widowControl/>
        <w:spacing w:after="50" w:line="259" w:lineRule="auto"/>
        <w:ind w:left="369" w:hanging="170"/>
      </w:pPr>
      <w:r>
        <w:rPr>
          <w:rFonts w:ascii="Inter" w:hAnsi="Inter" w:eastAsia="Inter"/>
          <w:color w:val="182026"/>
          <w:sz w:val="18"/>
        </w:rPr>
        <w:t>Review-Prozess,</w:t>
      </w:r>
    </w:p>
    <w:p>
      <w:pPr>
        <w:pStyle w:val="ListBullet"/>
        <w:widowControl/>
        <w:spacing w:after="50" w:line="259" w:lineRule="auto"/>
        <w:ind w:left="369" w:hanging="170"/>
      </w:pPr>
      <w:r>
        <w:rPr>
          <w:rFonts w:ascii="Inter" w:hAnsi="Inter" w:eastAsia="Inter"/>
          <w:color w:val="182026"/>
          <w:sz w:val="18"/>
        </w:rPr>
        <w:t>Caps und Konfliktregeln.</w:t>
      </w:r>
    </w:p>
    <w:p>
      <w:pPr>
        <w:pStyle w:val="Heading2"/>
        <w:widowControl/>
      </w:pPr>
      <w:r>
        <w:t>14.5 Reifegrad 4: Wirkung integriert</w:t>
      </w:r>
    </w:p>
    <w:p>
      <w:pPr>
        <w:pStyle w:val="BodyText"/>
        <w:widowControl/>
        <w:spacing w:after="110" w:line="278" w:lineRule="auto"/>
        <w:ind w:firstLine="255"/>
      </w:pPr>
      <w:r>
        <w:rPr>
          <w:rFonts w:ascii="Inter" w:hAnsi="Inter" w:eastAsia="Inter"/>
          <w:color w:val="182026"/>
          <w:sz w:val="19"/>
        </w:rPr>
        <w:t>KII, WÖk-IDs, Scorecards, NWI und Schutz-Gate werden in Angebots- und Projektentscheidungen eingebaut. Kundenwert und Wirkung bleiben getrennt. Positive Wirkung kann Scope, Beschaffung, Bonus oder Finanzierung verändern.</w:t>
      </w:r>
    </w:p>
    <w:p>
      <w:pPr>
        <w:pStyle w:val="BodyText"/>
        <w:widowControl/>
        <w:spacing w:after="110" w:line="278" w:lineRule="auto"/>
        <w:ind w:firstLine="255"/>
      </w:pPr>
      <w:r>
        <w:rPr>
          <w:rFonts w:ascii="Inter" w:hAnsi="Inter" w:eastAsia="Inter"/>
          <w:color w:val="182026"/>
          <w:sz w:val="19"/>
        </w:rPr>
        <w:t>Voraussetzungen:</w:t>
      </w:r>
    </w:p>
    <w:p>
      <w:pPr>
        <w:pStyle w:val="ListBullet"/>
        <w:widowControl/>
        <w:spacing w:after="50" w:line="259" w:lineRule="auto"/>
        <w:ind w:left="369" w:hanging="170"/>
      </w:pPr>
      <w:r>
        <w:rPr>
          <w:rFonts w:ascii="Inter" w:hAnsi="Inter" w:eastAsia="Inter"/>
          <w:color w:val="182026"/>
          <w:sz w:val="18"/>
        </w:rPr>
        <w:t>Impact Owner,</w:t>
      </w:r>
    </w:p>
    <w:p>
      <w:pPr>
        <w:pStyle w:val="ListBullet"/>
        <w:widowControl/>
        <w:spacing w:after="50" w:line="259" w:lineRule="auto"/>
        <w:ind w:left="369" w:hanging="170"/>
      </w:pPr>
      <w:r>
        <w:rPr>
          <w:rFonts w:ascii="Inter" w:hAnsi="Inter" w:eastAsia="Inter"/>
          <w:color w:val="182026"/>
          <w:sz w:val="18"/>
        </w:rPr>
        <w:t>Referenzrahmen SDGs/SDG+,</w:t>
      </w:r>
    </w:p>
    <w:p>
      <w:pPr>
        <w:pStyle w:val="ListBullet"/>
        <w:widowControl/>
        <w:spacing w:after="50" w:line="259" w:lineRule="auto"/>
        <w:ind w:left="369" w:hanging="170"/>
      </w:pPr>
      <w:r>
        <w:rPr>
          <w:rFonts w:ascii="Inter" w:hAnsi="Inter" w:eastAsia="Inter"/>
          <w:color w:val="182026"/>
          <w:sz w:val="18"/>
        </w:rPr>
        <w:t>Datenqualitätsklassen,</w:t>
      </w:r>
    </w:p>
    <w:p>
      <w:pPr>
        <w:pStyle w:val="ListBullet"/>
        <w:widowControl/>
        <w:spacing w:after="50" w:line="259" w:lineRule="auto"/>
        <w:ind w:left="369" w:hanging="170"/>
      </w:pPr>
      <w:r>
        <w:rPr>
          <w:rFonts w:ascii="Inter" w:hAnsi="Inter" w:eastAsia="Inter"/>
          <w:color w:val="182026"/>
          <w:sz w:val="18"/>
        </w:rPr>
        <w:t>Nichtkompensation,</w:t>
      </w:r>
    </w:p>
    <w:p>
      <w:pPr>
        <w:pStyle w:val="ListBullet"/>
        <w:widowControl/>
        <w:spacing w:after="50" w:line="259" w:lineRule="auto"/>
        <w:ind w:left="369" w:hanging="170"/>
      </w:pPr>
      <w:r>
        <w:rPr>
          <w:rFonts w:ascii="Inter" w:hAnsi="Inter" w:eastAsia="Inter"/>
          <w:color w:val="182026"/>
          <w:sz w:val="18"/>
        </w:rPr>
        <w:t>Stakeholder- und Beschwerdewege.</w:t>
      </w:r>
    </w:p>
    <w:p>
      <w:pPr>
        <w:pStyle w:val="Heading2"/>
        <w:widowControl/>
      </w:pPr>
      <w:r>
        <w:t>14.6 Reifegrad 5: Lernende Architektur</w:t>
      </w:r>
    </w:p>
    <w:p>
      <w:pPr>
        <w:pStyle w:val="BodyText"/>
        <w:widowControl/>
        <w:spacing w:after="110" w:line="278" w:lineRule="auto"/>
        <w:ind w:firstLine="255"/>
      </w:pPr>
      <w:r>
        <w:rPr>
          <w:rFonts w:ascii="Inter" w:hAnsi="Inter" w:eastAsia="Inter"/>
          <w:color w:val="182026"/>
          <w:sz w:val="19"/>
        </w:rPr>
        <w:t>WVP ist in Portfolio, Produktisierung, Partnernetzwerk, Beschaffung und Finanzierung integriert. IOI und T-SROI werden nur dort genutzt, wo monetarisierte direkte und transformative Nutzenströme belastbar sind. Multi-Payer-Modelle, externe Assurance und Datenräume werden möglich.</w:t>
      </w:r>
    </w:p>
    <w:p>
      <w:pPr>
        <w:pStyle w:val="Heading2"/>
        <w:widowControl/>
      </w:pPr>
      <w:r>
        <w:t>14.7 Ein 100-Tage-Pilot</w:t>
      </w:r>
    </w:p>
    <w:p>
      <w:pPr>
        <w:pStyle w:val="Heading3"/>
        <w:widowControl/>
      </w:pPr>
      <w:r>
        <w:t>Phase 1 - Auswahl und Diagnose, Tage 1 bis 20</w:t>
      </w:r>
    </w:p>
    <w:p>
      <w:pPr>
        <w:pStyle w:val="ListBullet"/>
        <w:widowControl/>
        <w:spacing w:after="50" w:line="259" w:lineRule="auto"/>
        <w:ind w:left="369" w:hanging="170"/>
      </w:pPr>
      <w:r>
        <w:rPr>
          <w:rFonts w:ascii="Inter" w:hAnsi="Inter" w:eastAsia="Inter"/>
          <w:color w:val="182026"/>
          <w:sz w:val="18"/>
        </w:rPr>
        <w:t>zwei bis drei geeignete Leistungen auswählen,</w:t>
      </w:r>
    </w:p>
    <w:p>
      <w:pPr>
        <w:pStyle w:val="ListBullet"/>
        <w:widowControl/>
        <w:spacing w:after="50" w:line="259" w:lineRule="auto"/>
        <w:ind w:left="369" w:hanging="170"/>
      </w:pPr>
      <w:r>
        <w:rPr>
          <w:rFonts w:ascii="Inter" w:hAnsi="Inter" w:eastAsia="Inter"/>
          <w:color w:val="182026"/>
          <w:sz w:val="18"/>
        </w:rPr>
        <w:t>vorhandene Preis- und Kostendaten prüfen,</w:t>
      </w:r>
    </w:p>
    <w:p>
      <w:pPr>
        <w:pStyle w:val="ListBullet"/>
        <w:widowControl/>
        <w:spacing w:after="50" w:line="259" w:lineRule="auto"/>
        <w:ind w:left="369" w:hanging="170"/>
      </w:pPr>
      <w:r>
        <w:rPr>
          <w:rFonts w:ascii="Inter" w:hAnsi="Inter" w:eastAsia="Inter"/>
          <w:color w:val="182026"/>
          <w:sz w:val="18"/>
        </w:rPr>
        <w:t>Kundensegmente und typische Entscheidungen identifizieren,</w:t>
      </w:r>
    </w:p>
    <w:p>
      <w:pPr>
        <w:pStyle w:val="ListBullet"/>
        <w:widowControl/>
        <w:spacing w:after="50" w:line="259" w:lineRule="auto"/>
        <w:ind w:left="369" w:hanging="170"/>
      </w:pPr>
      <w:r>
        <w:rPr>
          <w:rFonts w:ascii="Inter" w:hAnsi="Inter" w:eastAsia="Inter"/>
          <w:color w:val="182026"/>
          <w:sz w:val="18"/>
        </w:rPr>
        <w:t>Risiken und sensible Wirkungsfelder erfassen,</w:t>
      </w:r>
    </w:p>
    <w:p>
      <w:pPr>
        <w:pStyle w:val="ListBullet"/>
        <w:widowControl/>
        <w:spacing w:after="50" w:line="259" w:lineRule="auto"/>
        <w:ind w:left="369" w:hanging="170"/>
      </w:pPr>
      <w:r>
        <w:rPr>
          <w:rFonts w:ascii="Inter" w:hAnsi="Inter" w:eastAsia="Inter"/>
          <w:color w:val="182026"/>
          <w:sz w:val="18"/>
        </w:rPr>
        <w:t>Pilotteam und Rollen benennen.</w:t>
      </w:r>
    </w:p>
    <w:p>
      <w:pPr>
        <w:pStyle w:val="Heading3"/>
        <w:widowControl/>
      </w:pPr>
      <w:r>
        <w:t>Phase 2 - Modellierung, Tage 21 bis 45</w:t>
      </w:r>
    </w:p>
    <w:p>
      <w:pPr>
        <w:pStyle w:val="ListBullet"/>
        <w:widowControl/>
        <w:spacing w:after="50" w:line="259" w:lineRule="auto"/>
        <w:ind w:left="369" w:hanging="170"/>
      </w:pPr>
      <w:r>
        <w:rPr>
          <w:rFonts w:ascii="Inter" w:hAnsi="Inter" w:eastAsia="Inter"/>
          <w:color w:val="182026"/>
          <w:sz w:val="18"/>
        </w:rPr>
        <w:t>Value Case Canvas ausfüllen,</w:t>
      </w:r>
    </w:p>
    <w:p>
      <w:pPr>
        <w:pStyle w:val="ListBullet"/>
        <w:widowControl/>
        <w:spacing w:after="50" w:line="259" w:lineRule="auto"/>
        <w:ind w:left="369" w:hanging="170"/>
      </w:pPr>
      <w:r>
        <w:rPr>
          <w:rFonts w:ascii="Inter" w:hAnsi="Inter" w:eastAsia="Inter"/>
          <w:color w:val="182026"/>
          <w:sz w:val="18"/>
        </w:rPr>
        <w:t>Baseline und Alternative bestimmen,</w:t>
      </w:r>
    </w:p>
    <w:p>
      <w:pPr>
        <w:pStyle w:val="ListBullet"/>
        <w:widowControl/>
        <w:spacing w:after="50" w:line="259" w:lineRule="auto"/>
        <w:ind w:left="369" w:hanging="170"/>
      </w:pPr>
      <w:r>
        <w:rPr>
          <w:rFonts w:ascii="Inter" w:hAnsi="Inter" w:eastAsia="Inter"/>
          <w:color w:val="182026"/>
          <w:sz w:val="18"/>
        </w:rPr>
        <w:t>Wert- und Wirkungspfade erstellen,</w:t>
      </w:r>
    </w:p>
    <w:p>
      <w:pPr>
        <w:pStyle w:val="ListBullet"/>
        <w:widowControl/>
        <w:spacing w:after="50" w:line="259" w:lineRule="auto"/>
        <w:ind w:left="369" w:hanging="170"/>
      </w:pPr>
      <w:r>
        <w:rPr>
          <w:rFonts w:ascii="Inter" w:hAnsi="Inter" w:eastAsia="Inter"/>
          <w:color w:val="182026"/>
          <w:sz w:val="18"/>
        </w:rPr>
        <w:t>Evidenz- und Messplan festlegen,</w:t>
      </w:r>
    </w:p>
    <w:p>
      <w:pPr>
        <w:pStyle w:val="ListBullet"/>
        <w:widowControl/>
        <w:spacing w:after="50" w:line="259" w:lineRule="auto"/>
        <w:ind w:left="369" w:hanging="170"/>
      </w:pPr>
      <w:r>
        <w:rPr>
          <w:rFonts w:ascii="Inter" w:hAnsi="Inter" w:eastAsia="Inter"/>
          <w:color w:val="182026"/>
          <w:sz w:val="18"/>
        </w:rPr>
        <w:t>Preiskorridor und Vertragsoptionen entwickeln.</w:t>
      </w:r>
    </w:p>
    <w:p>
      <w:pPr>
        <w:pStyle w:val="Heading3"/>
        <w:widowControl/>
      </w:pPr>
      <w:r>
        <w:t>Phase 3 - Angebot und Vertrag, Tage 46 bis 65</w:t>
      </w:r>
    </w:p>
    <w:p>
      <w:pPr>
        <w:pStyle w:val="ListBullet"/>
        <w:widowControl/>
        <w:spacing w:after="50" w:line="259" w:lineRule="auto"/>
        <w:ind w:left="369" w:hanging="170"/>
      </w:pPr>
      <w:r>
        <w:rPr>
          <w:rFonts w:ascii="Inter" w:hAnsi="Inter" w:eastAsia="Inter"/>
          <w:color w:val="182026"/>
          <w:sz w:val="18"/>
        </w:rPr>
        <w:t>Pilotkunden auswählen,</w:t>
      </w:r>
    </w:p>
    <w:p>
      <w:pPr>
        <w:pStyle w:val="ListBullet"/>
        <w:widowControl/>
        <w:spacing w:after="50" w:line="259" w:lineRule="auto"/>
        <w:ind w:left="369" w:hanging="170"/>
      </w:pPr>
      <w:r>
        <w:rPr>
          <w:rFonts w:ascii="Inter" w:hAnsi="Inter" w:eastAsia="Inter"/>
          <w:color w:val="182026"/>
          <w:sz w:val="18"/>
        </w:rPr>
        <w:t>wertbegründetes Angebot erstellen,</w:t>
      </w:r>
    </w:p>
    <w:p>
      <w:pPr>
        <w:pStyle w:val="ListBullet"/>
        <w:widowControl/>
        <w:spacing w:after="50" w:line="259" w:lineRule="auto"/>
        <w:ind w:left="369" w:hanging="170"/>
      </w:pPr>
      <w:r>
        <w:rPr>
          <w:rFonts w:ascii="Inter" w:hAnsi="Inter" w:eastAsia="Inter"/>
          <w:color w:val="182026"/>
          <w:sz w:val="18"/>
        </w:rPr>
        <w:t>variable Komponenten begrenzen,</w:t>
      </w:r>
    </w:p>
    <w:p>
      <w:pPr>
        <w:pStyle w:val="ListBullet"/>
        <w:widowControl/>
        <w:spacing w:after="50" w:line="259" w:lineRule="auto"/>
        <w:ind w:left="369" w:hanging="170"/>
      </w:pPr>
      <w:r>
        <w:rPr>
          <w:rFonts w:ascii="Inter" w:hAnsi="Inter" w:eastAsia="Inter"/>
          <w:color w:val="182026"/>
          <w:sz w:val="18"/>
        </w:rPr>
        <w:t>Schutz-Gate und Datenklauseln integrieren,</w:t>
      </w:r>
    </w:p>
    <w:p>
      <w:pPr>
        <w:pStyle w:val="ListBullet"/>
        <w:widowControl/>
        <w:spacing w:after="50" w:line="259" w:lineRule="auto"/>
        <w:ind w:left="369" w:hanging="170"/>
      </w:pPr>
      <w:r>
        <w:rPr>
          <w:rFonts w:ascii="Inter" w:hAnsi="Inter" w:eastAsia="Inter"/>
          <w:color w:val="182026"/>
          <w:sz w:val="18"/>
        </w:rPr>
        <w:t>interne Freigabe durchführen.</w:t>
      </w:r>
    </w:p>
    <w:p>
      <w:pPr>
        <w:pStyle w:val="Heading3"/>
        <w:widowControl/>
      </w:pPr>
      <w:r>
        <w:t>Phase 4 - Durchführung und Monitoring, Tage 66 bis 90</w:t>
      </w:r>
    </w:p>
    <w:p>
      <w:pPr>
        <w:pStyle w:val="ListBullet"/>
        <w:widowControl/>
        <w:spacing w:after="50" w:line="259" w:lineRule="auto"/>
        <w:ind w:left="369" w:hanging="170"/>
      </w:pPr>
      <w:r>
        <w:rPr>
          <w:rFonts w:ascii="Inter" w:hAnsi="Inter" w:eastAsia="Inter"/>
          <w:color w:val="182026"/>
          <w:sz w:val="18"/>
        </w:rPr>
        <w:t>Leistung erbringen,</w:t>
      </w:r>
    </w:p>
    <w:p>
      <w:pPr>
        <w:pStyle w:val="ListBullet"/>
        <w:widowControl/>
        <w:spacing w:after="50" w:line="259" w:lineRule="auto"/>
        <w:ind w:left="369" w:hanging="170"/>
      </w:pPr>
      <w:r>
        <w:rPr>
          <w:rFonts w:ascii="Inter" w:hAnsi="Inter" w:eastAsia="Inter"/>
          <w:color w:val="182026"/>
          <w:sz w:val="18"/>
        </w:rPr>
        <w:t>Frühindikatoren beobachten,</w:t>
      </w:r>
    </w:p>
    <w:p>
      <w:pPr>
        <w:pStyle w:val="ListBullet"/>
        <w:widowControl/>
        <w:spacing w:after="50" w:line="259" w:lineRule="auto"/>
        <w:ind w:left="369" w:hanging="170"/>
      </w:pPr>
      <w:r>
        <w:rPr>
          <w:rFonts w:ascii="Inter" w:hAnsi="Inter" w:eastAsia="Inter"/>
          <w:color w:val="182026"/>
          <w:sz w:val="18"/>
        </w:rPr>
        <w:t>Annahmen versionieren,</w:t>
      </w:r>
    </w:p>
    <w:p>
      <w:pPr>
        <w:pStyle w:val="ListBullet"/>
        <w:widowControl/>
        <w:spacing w:after="50" w:line="259" w:lineRule="auto"/>
        <w:ind w:left="369" w:hanging="170"/>
      </w:pPr>
      <w:r>
        <w:rPr>
          <w:rFonts w:ascii="Inter" w:hAnsi="Inter" w:eastAsia="Inter"/>
          <w:color w:val="182026"/>
          <w:sz w:val="18"/>
        </w:rPr>
        <w:t>Datenqualität prüfen,</w:t>
      </w:r>
    </w:p>
    <w:p>
      <w:pPr>
        <w:pStyle w:val="ListBullet"/>
        <w:widowControl/>
        <w:spacing w:after="50" w:line="259" w:lineRule="auto"/>
        <w:ind w:left="369" w:hanging="170"/>
      </w:pPr>
      <w:r>
        <w:rPr>
          <w:rFonts w:ascii="Inter" w:hAnsi="Inter" w:eastAsia="Inter"/>
          <w:color w:val="182026"/>
          <w:sz w:val="18"/>
        </w:rPr>
        <w:t>Nebenwirkungen und Scopeänderungen dokumentieren.</w:t>
      </w:r>
    </w:p>
    <w:p>
      <w:pPr>
        <w:pStyle w:val="Heading3"/>
        <w:widowControl/>
      </w:pPr>
      <w:r>
        <w:t>Phase 5 - Review und Standardisierung, Tage 91 bis 100</w:t>
      </w:r>
    </w:p>
    <w:p>
      <w:pPr>
        <w:pStyle w:val="ListBullet"/>
        <w:widowControl/>
        <w:spacing w:after="50" w:line="259" w:lineRule="auto"/>
        <w:ind w:left="369" w:hanging="170"/>
      </w:pPr>
      <w:r>
        <w:rPr>
          <w:rFonts w:ascii="Inter" w:hAnsi="Inter" w:eastAsia="Inter"/>
          <w:color w:val="182026"/>
          <w:sz w:val="18"/>
        </w:rPr>
        <w:t>Wert und Wirkung auswerten,</w:t>
      </w:r>
    </w:p>
    <w:p>
      <w:pPr>
        <w:pStyle w:val="ListBullet"/>
        <w:widowControl/>
        <w:spacing w:after="50" w:line="259" w:lineRule="auto"/>
        <w:ind w:left="369" w:hanging="170"/>
      </w:pPr>
      <w:r>
        <w:rPr>
          <w:rFonts w:ascii="Inter" w:hAnsi="Inter" w:eastAsia="Inter"/>
          <w:color w:val="182026"/>
          <w:sz w:val="18"/>
        </w:rPr>
        <w:t>Abrechnung simulieren oder durchführen,</w:t>
      </w:r>
    </w:p>
    <w:p>
      <w:pPr>
        <w:pStyle w:val="ListBullet"/>
        <w:widowControl/>
        <w:spacing w:after="50" w:line="259" w:lineRule="auto"/>
        <w:ind w:left="369" w:hanging="170"/>
      </w:pPr>
      <w:r>
        <w:rPr>
          <w:rFonts w:ascii="Inter" w:hAnsi="Inter" w:eastAsia="Inter"/>
          <w:color w:val="182026"/>
          <w:sz w:val="18"/>
        </w:rPr>
        <w:t>Lernpunkte dokumentieren,</w:t>
      </w:r>
    </w:p>
    <w:p>
      <w:pPr>
        <w:pStyle w:val="ListBullet"/>
        <w:widowControl/>
        <w:spacing w:after="50" w:line="259" w:lineRule="auto"/>
        <w:ind w:left="369" w:hanging="170"/>
      </w:pPr>
      <w:r>
        <w:rPr>
          <w:rFonts w:ascii="Inter" w:hAnsi="Inter" w:eastAsia="Inter"/>
          <w:color w:val="182026"/>
          <w:sz w:val="18"/>
        </w:rPr>
        <w:t>Standardbausteine und No-Go-Kriterien definieren,</w:t>
      </w:r>
    </w:p>
    <w:p>
      <w:pPr>
        <w:pStyle w:val="ListBullet"/>
        <w:widowControl/>
        <w:spacing w:after="50" w:line="259" w:lineRule="auto"/>
        <w:ind w:left="369" w:hanging="170"/>
      </w:pPr>
      <w:r>
        <w:rPr>
          <w:rFonts w:ascii="Inter" w:hAnsi="Inter" w:eastAsia="Inter"/>
          <w:color w:val="182026"/>
          <w:sz w:val="18"/>
        </w:rPr>
        <w:t>Entscheidung über Skalierung treffen.</w:t>
      </w:r>
    </w:p>
    <w:p>
      <w:pPr>
        <w:pStyle w:val="Heading2"/>
        <w:widowControl/>
      </w:pPr>
      <w:r>
        <w:t>14.8 Pilot-Auswahlkriterien</w:t>
      </w:r>
    </w:p>
    <w:p>
      <w:pPr>
        <w:pStyle w:val="BodyText"/>
        <w:widowControl/>
        <w:spacing w:after="110" w:line="278" w:lineRule="auto"/>
        <w:ind w:firstLine="255"/>
      </w:pPr>
      <w:r>
        <w:rPr>
          <w:rFonts w:ascii="Inter" w:hAnsi="Inter" w:eastAsia="Inter"/>
          <w:color w:val="182026"/>
          <w:sz w:val="19"/>
        </w:rPr>
        <w:t>Ein guter Pilot hat:</w:t>
      </w:r>
    </w:p>
    <w:p>
      <w:pPr>
        <w:pStyle w:val="ListBullet"/>
        <w:widowControl/>
        <w:spacing w:after="50" w:line="259" w:lineRule="auto"/>
        <w:ind w:left="369" w:hanging="170"/>
      </w:pPr>
      <w:r>
        <w:rPr>
          <w:rFonts w:ascii="Inter" w:hAnsi="Inter" w:eastAsia="Inter"/>
          <w:color w:val="182026"/>
          <w:sz w:val="18"/>
        </w:rPr>
        <w:t>einen klaren wirtschaftlichen Hebel,</w:t>
      </w:r>
    </w:p>
    <w:p>
      <w:pPr>
        <w:pStyle w:val="ListBullet"/>
        <w:widowControl/>
        <w:spacing w:after="50" w:line="259" w:lineRule="auto"/>
        <w:ind w:left="369" w:hanging="170"/>
      </w:pPr>
      <w:r>
        <w:rPr>
          <w:rFonts w:ascii="Inter" w:hAnsi="Inter" w:eastAsia="Inter"/>
          <w:color w:val="182026"/>
          <w:sz w:val="18"/>
        </w:rPr>
        <w:t>einen kooperationsbereiten Kunden,</w:t>
      </w:r>
    </w:p>
    <w:p>
      <w:pPr>
        <w:pStyle w:val="ListBullet"/>
        <w:widowControl/>
        <w:spacing w:after="50" w:line="259" w:lineRule="auto"/>
        <w:ind w:left="369" w:hanging="170"/>
      </w:pPr>
      <w:r>
        <w:rPr>
          <w:rFonts w:ascii="Inter" w:hAnsi="Inter" w:eastAsia="Inter"/>
          <w:color w:val="182026"/>
          <w:sz w:val="18"/>
        </w:rPr>
        <w:t>vorhandene oder leicht zugängliche Daten,</w:t>
      </w:r>
    </w:p>
    <w:p>
      <w:pPr>
        <w:pStyle w:val="ListBullet"/>
        <w:widowControl/>
        <w:spacing w:after="50" w:line="259" w:lineRule="auto"/>
        <w:ind w:left="369" w:hanging="170"/>
      </w:pPr>
      <w:r>
        <w:rPr>
          <w:rFonts w:ascii="Inter" w:hAnsi="Inter" w:eastAsia="Inter"/>
          <w:color w:val="182026"/>
          <w:sz w:val="18"/>
        </w:rPr>
        <w:t>begrenzte Komplexität,</w:t>
      </w:r>
    </w:p>
    <w:p>
      <w:pPr>
        <w:pStyle w:val="ListBullet"/>
        <w:widowControl/>
        <w:spacing w:after="50" w:line="259" w:lineRule="auto"/>
        <w:ind w:left="369" w:hanging="170"/>
      </w:pPr>
      <w:r>
        <w:rPr>
          <w:rFonts w:ascii="Inter" w:hAnsi="Inter" w:eastAsia="Inter"/>
          <w:color w:val="182026"/>
          <w:sz w:val="18"/>
        </w:rPr>
        <w:t>keine unbeherrschbare Grundrechts- oder Sicherheitslage,</w:t>
      </w:r>
    </w:p>
    <w:p>
      <w:pPr>
        <w:pStyle w:val="ListBullet"/>
        <w:widowControl/>
        <w:spacing w:after="50" w:line="259" w:lineRule="auto"/>
        <w:ind w:left="369" w:hanging="170"/>
      </w:pPr>
      <w:r>
        <w:rPr>
          <w:rFonts w:ascii="Inter" w:hAnsi="Inter" w:eastAsia="Inter"/>
          <w:color w:val="182026"/>
          <w:sz w:val="18"/>
        </w:rPr>
        <w:t>ausreichend Wert, um Messkosten zu rechtfertigen,</w:t>
      </w:r>
    </w:p>
    <w:p>
      <w:pPr>
        <w:pStyle w:val="ListBullet"/>
        <w:widowControl/>
        <w:spacing w:after="50" w:line="259" w:lineRule="auto"/>
        <w:ind w:left="369" w:hanging="170"/>
      </w:pPr>
      <w:r>
        <w:rPr>
          <w:rFonts w:ascii="Inter" w:hAnsi="Inter" w:eastAsia="Inter"/>
          <w:color w:val="182026"/>
          <w:sz w:val="18"/>
        </w:rPr>
        <w:t>Lernpotenzial für weitere Leistungen.</w:t>
      </w:r>
    </w:p>
    <w:p>
      <w:pPr>
        <w:pStyle w:val="ListBullet"/>
      </w:pPr>
      <w:r>
        <w:rPr>
          <w:b w:val="0"/>
          <w:i w:val="0"/>
        </w:rPr>
        <w:t>Erfahrung, Methoden, Automatisierung und KI-Einsatz lassen sich so dokumentieren, dass Qualität und Produktivitätsgewinn ohne Überwachung einzelner Arbeitsschritte beurteilt werden können.</w:t>
      </w:r>
    </w:p>
    <w:p>
      <w:pPr>
        <w:pStyle w:val="BodyText"/>
        <w:widowControl/>
        <w:spacing w:after="110" w:line="278" w:lineRule="auto"/>
        <w:ind w:firstLine="255"/>
      </w:pPr>
      <w:r>
        <w:rPr>
          <w:rFonts w:ascii="Inter" w:hAnsi="Inter" w:eastAsia="Inter"/>
          <w:color w:val="182026"/>
          <w:sz w:val="19"/>
        </w:rPr>
        <w:t>Nicht geeignet ist der erste Pilot bei maximaler politischer Sensibilität, sehr langfristiger Wirkung, vollständiger Datenlücke oder existenzieller Abhängigkeit eines kleinen Anbieters.</w:t>
      </w:r>
    </w:p>
    <w:p>
      <w:pPr>
        <w:pStyle w:val="Heading2"/>
        <w:widowControl/>
      </w:pPr>
      <w:r>
        <w:t>14.9 Fähigkeiten und Organisation</w:t>
      </w:r>
    </w:p>
    <w:p>
      <w:pPr>
        <w:pStyle w:val="BodyText"/>
        <w:widowControl/>
        <w:spacing w:after="110" w:line="278" w:lineRule="auto"/>
        <w:ind w:firstLine="255"/>
      </w:pPr>
      <w:r>
        <w:rPr>
          <w:rFonts w:ascii="Inter" w:hAnsi="Inter" w:eastAsia="Inter"/>
          <w:color w:val="182026"/>
          <w:sz w:val="19"/>
        </w:rPr>
        <w:t>WVP benötigt nicht nur Pricing-Fachwissen. Erforderlich sind:</w:t>
      </w:r>
    </w:p>
    <w:p>
      <w:pPr>
        <w:pStyle w:val="ListBullet"/>
        <w:widowControl/>
        <w:spacing w:after="50" w:line="259" w:lineRule="auto"/>
        <w:ind w:left="369" w:hanging="170"/>
      </w:pPr>
      <w:r>
        <w:rPr>
          <w:rFonts w:ascii="Inter" w:hAnsi="Inter" w:eastAsia="Inter"/>
          <w:color w:val="182026"/>
          <w:sz w:val="18"/>
        </w:rPr>
        <w:t>Branchen- und Kundenprozesswissen,</w:t>
      </w:r>
    </w:p>
    <w:p>
      <w:pPr>
        <w:pStyle w:val="ListBullet"/>
        <w:widowControl/>
        <w:spacing w:after="50" w:line="259" w:lineRule="auto"/>
        <w:ind w:left="369" w:hanging="170"/>
      </w:pPr>
      <w:r>
        <w:rPr>
          <w:rFonts w:ascii="Inter" w:hAnsi="Inter" w:eastAsia="Inter"/>
          <w:color w:val="182026"/>
          <w:sz w:val="18"/>
        </w:rPr>
        <w:t>Controlling und Finanzmodellierung,</w:t>
      </w:r>
    </w:p>
    <w:p>
      <w:pPr>
        <w:pStyle w:val="ListBullet"/>
        <w:widowControl/>
        <w:spacing w:after="50" w:line="259" w:lineRule="auto"/>
        <w:ind w:left="369" w:hanging="170"/>
      </w:pPr>
      <w:r>
        <w:rPr>
          <w:rFonts w:ascii="Inter" w:hAnsi="Inter" w:eastAsia="Inter"/>
          <w:color w:val="182026"/>
          <w:sz w:val="18"/>
        </w:rPr>
        <w:t>Evaluation und Kausalitätsverständnis,</w:t>
      </w:r>
    </w:p>
    <w:p>
      <w:pPr>
        <w:pStyle w:val="ListBullet"/>
        <w:widowControl/>
        <w:spacing w:after="50" w:line="259" w:lineRule="auto"/>
        <w:ind w:left="369" w:hanging="170"/>
      </w:pPr>
      <w:r>
        <w:rPr>
          <w:rFonts w:ascii="Inter" w:hAnsi="Inter" w:eastAsia="Inter"/>
          <w:color w:val="182026"/>
          <w:sz w:val="18"/>
        </w:rPr>
        <w:t>Wirkungscontrolling,</w:t>
      </w:r>
    </w:p>
    <w:p>
      <w:pPr>
        <w:pStyle w:val="ListBullet"/>
        <w:widowControl/>
        <w:spacing w:after="50" w:line="259" w:lineRule="auto"/>
        <w:ind w:left="369" w:hanging="170"/>
      </w:pPr>
      <w:r>
        <w:rPr>
          <w:rFonts w:ascii="Inter" w:hAnsi="Inter" w:eastAsia="Inter"/>
          <w:color w:val="182026"/>
          <w:sz w:val="18"/>
        </w:rPr>
        <w:t>Vertrags- und Risikokompetenz,</w:t>
      </w:r>
    </w:p>
    <w:p>
      <w:pPr>
        <w:pStyle w:val="ListBullet"/>
        <w:widowControl/>
        <w:spacing w:after="50" w:line="259" w:lineRule="auto"/>
        <w:ind w:left="369" w:hanging="170"/>
      </w:pPr>
      <w:r>
        <w:rPr>
          <w:rFonts w:ascii="Inter" w:hAnsi="Inter" w:eastAsia="Inter"/>
          <w:color w:val="182026"/>
          <w:sz w:val="18"/>
        </w:rPr>
        <w:t>Daten- und Datenschutzkompetenz,</w:t>
      </w:r>
    </w:p>
    <w:p>
      <w:pPr>
        <w:pStyle w:val="ListBullet"/>
        <w:widowControl/>
        <w:spacing w:after="50" w:line="259" w:lineRule="auto"/>
        <w:ind w:left="369" w:hanging="170"/>
      </w:pPr>
      <w:r>
        <w:rPr>
          <w:rFonts w:ascii="Inter" w:hAnsi="Inter" w:eastAsia="Inter"/>
          <w:color w:val="182026"/>
          <w:sz w:val="18"/>
        </w:rPr>
        <w:t>Moderation und faire Verhandlung,</w:t>
      </w:r>
    </w:p>
    <w:p>
      <w:pPr>
        <w:pStyle w:val="ListBullet"/>
        <w:widowControl/>
        <w:spacing w:after="50" w:line="259" w:lineRule="auto"/>
        <w:ind w:left="369" w:hanging="170"/>
      </w:pPr>
      <w:r>
        <w:rPr>
          <w:rFonts w:ascii="Inter" w:hAnsi="Inter" w:eastAsia="Inter"/>
          <w:color w:val="182026"/>
          <w:sz w:val="18"/>
        </w:rPr>
        <w:t>Fähigkeit, Unsicherheit transparent zu kommunizieren.</w:t>
      </w:r>
    </w:p>
    <w:p>
      <w:pPr>
        <w:pStyle w:val="BodyText"/>
        <w:widowControl/>
        <w:spacing w:after="110" w:line="278" w:lineRule="auto"/>
        <w:ind w:firstLine="255"/>
      </w:pPr>
      <w:r>
        <w:rPr>
          <w:rFonts w:ascii="Inter" w:hAnsi="Inter" w:eastAsia="Inter"/>
          <w:color w:val="182026"/>
          <w:sz w:val="19"/>
        </w:rPr>
        <w:t>Vertrieb allein kann diese Architektur nicht tragen. Ebenso wenig darf Controlling den Kunden- und Wirkungskontext ignorieren. WVP ist eine Querschnittsfähigkeit.</w:t>
      </w:r>
    </w:p>
    <w:p>
      <w:pPr>
        <w:pStyle w:val="ListBullet"/>
      </w:pPr>
      <w:r>
        <w:rPr>
          <w:b w:val="0"/>
          <w:i w:val="0"/>
        </w:rPr>
        <w:t>KI-, Modell- und Tool-Governance einschließlich fachlicher Validierung, Datenschutz und Haftung,</w:t>
      </w:r>
    </w:p>
    <w:p>
      <w:pPr>
        <w:pStyle w:val="Heading2"/>
        <w:widowControl/>
      </w:pPr>
      <w:r>
        <w:t>14.10 Technische Werkzeuge</w:t>
      </w:r>
    </w:p>
    <w:p>
      <w:pPr>
        <w:pStyle w:val="BodyText"/>
        <w:widowControl/>
        <w:spacing w:after="110" w:line="278" w:lineRule="auto"/>
        <w:ind w:firstLine="255"/>
      </w:pPr>
      <w:r>
        <w:rPr>
          <w:rFonts w:ascii="Inter" w:hAnsi="Inter" w:eastAsia="Inter"/>
          <w:color w:val="182026"/>
          <w:sz w:val="19"/>
        </w:rPr>
        <w:t>Ein schlankes WVP-Toolset umfasst:</w:t>
      </w:r>
    </w:p>
    <w:p>
      <w:pPr>
        <w:pStyle w:val="ListBullet"/>
        <w:widowControl/>
        <w:spacing w:after="50" w:line="259" w:lineRule="auto"/>
        <w:ind w:left="369" w:hanging="170"/>
      </w:pPr>
      <w:r>
        <w:rPr>
          <w:rFonts w:ascii="Inter" w:hAnsi="Inter" w:eastAsia="Inter"/>
          <w:color w:val="182026"/>
          <w:sz w:val="18"/>
        </w:rPr>
        <w:t>Value Case Canvas,</w:t>
      </w:r>
    </w:p>
    <w:p>
      <w:pPr>
        <w:pStyle w:val="ListBullet"/>
        <w:widowControl/>
        <w:spacing w:after="50" w:line="259" w:lineRule="auto"/>
        <w:ind w:left="369" w:hanging="170"/>
      </w:pPr>
      <w:r>
        <w:rPr>
          <w:rFonts w:ascii="Inter" w:hAnsi="Inter" w:eastAsia="Inter"/>
          <w:color w:val="182026"/>
          <w:sz w:val="18"/>
        </w:rPr>
        <w:t>Kundenwertrechnung mit Szenarien,</w:t>
      </w:r>
    </w:p>
    <w:p>
      <w:pPr>
        <w:pStyle w:val="ListBullet"/>
        <w:widowControl/>
        <w:spacing w:after="50" w:line="259" w:lineRule="auto"/>
        <w:ind w:left="369" w:hanging="170"/>
      </w:pPr>
      <w:r>
        <w:rPr>
          <w:rFonts w:ascii="Inter" w:hAnsi="Inter" w:eastAsia="Inter"/>
          <w:color w:val="182026"/>
          <w:sz w:val="18"/>
        </w:rPr>
        <w:t>Evidenz- und Attributionsplan,</w:t>
      </w:r>
    </w:p>
    <w:p>
      <w:pPr>
        <w:pStyle w:val="ListBullet"/>
        <w:widowControl/>
        <w:spacing w:after="50" w:line="259" w:lineRule="auto"/>
        <w:ind w:left="369" w:hanging="170"/>
      </w:pPr>
      <w:r>
        <w:rPr>
          <w:rFonts w:ascii="Inter" w:hAnsi="Inter" w:eastAsia="Inter"/>
          <w:color w:val="182026"/>
          <w:sz w:val="18"/>
        </w:rPr>
        <w:t>Wirkungs-Scorecard,</w:t>
      </w:r>
    </w:p>
    <w:p>
      <w:pPr>
        <w:pStyle w:val="ListBullet"/>
        <w:widowControl/>
        <w:spacing w:after="50" w:line="259" w:lineRule="auto"/>
        <w:ind w:left="369" w:hanging="170"/>
      </w:pPr>
      <w:r>
        <w:rPr>
          <w:rFonts w:ascii="Inter" w:hAnsi="Inter" w:eastAsia="Inter"/>
          <w:color w:val="182026"/>
          <w:sz w:val="18"/>
        </w:rPr>
        <w:t>NWI-/Schutz-Gate-Prüfung,</w:t>
      </w:r>
    </w:p>
    <w:p>
      <w:pPr>
        <w:pStyle w:val="ListBullet"/>
        <w:widowControl/>
        <w:spacing w:after="50" w:line="259" w:lineRule="auto"/>
        <w:ind w:left="369" w:hanging="170"/>
      </w:pPr>
      <w:r>
        <w:rPr>
          <w:rFonts w:ascii="Inter" w:hAnsi="Inter" w:eastAsia="Inter"/>
          <w:color w:val="182026"/>
          <w:sz w:val="18"/>
        </w:rPr>
        <w:t>Preiskorridor-Rechner,</w:t>
      </w:r>
    </w:p>
    <w:p>
      <w:pPr>
        <w:pStyle w:val="ListBullet"/>
        <w:widowControl/>
        <w:spacing w:after="50" w:line="259" w:lineRule="auto"/>
        <w:ind w:left="369" w:hanging="170"/>
      </w:pPr>
      <w:r>
        <w:rPr>
          <w:rFonts w:ascii="Inter" w:hAnsi="Inter" w:eastAsia="Inter"/>
          <w:color w:val="182026"/>
          <w:sz w:val="18"/>
        </w:rPr>
        <w:t>Vertragsbausteine,</w:t>
      </w:r>
    </w:p>
    <w:p>
      <w:pPr>
        <w:pStyle w:val="ListBullet"/>
        <w:widowControl/>
        <w:spacing w:after="50" w:line="259" w:lineRule="auto"/>
        <w:ind w:left="369" w:hanging="170"/>
      </w:pPr>
      <w:r>
        <w:rPr>
          <w:rFonts w:ascii="Inter" w:hAnsi="Inter" w:eastAsia="Inter"/>
          <w:color w:val="182026"/>
          <w:sz w:val="18"/>
        </w:rPr>
        <w:t>Review- und Verifikationsbericht,</w:t>
      </w:r>
    </w:p>
    <w:p>
      <w:pPr>
        <w:pStyle w:val="ListBullet"/>
        <w:widowControl/>
        <w:spacing w:after="50" w:line="259" w:lineRule="auto"/>
        <w:ind w:left="369" w:hanging="170"/>
      </w:pPr>
      <w:r>
        <w:rPr>
          <w:rFonts w:ascii="Inter" w:hAnsi="Inter" w:eastAsia="Inter"/>
          <w:color w:val="182026"/>
          <w:sz w:val="18"/>
        </w:rPr>
        <w:t>Fallbibliothek mit Versionierung.</w:t>
      </w:r>
    </w:p>
    <w:p>
      <w:pPr>
        <w:pStyle w:val="ListBullet"/>
      </w:pPr>
      <w:r>
        <w:rPr>
          <w:b w:val="0"/>
          <w:i w:val="0"/>
        </w:rPr>
        <w:t>Produktivitätsgewinn- und Fairnesscheck,</w:t>
      </w:r>
    </w:p>
    <w:p>
      <w:pPr>
        <w:pStyle w:val="ListBullet"/>
      </w:pPr>
      <w:r>
        <w:rPr>
          <w:b w:val="0"/>
          <w:i w:val="0"/>
        </w:rPr>
        <w:t>Dokumentation wesentlicher KI- und Automatisierungsanteile,</w:t>
      </w:r>
    </w:p>
    <w:p>
      <w:pPr>
        <w:pStyle w:val="BodyText"/>
        <w:widowControl/>
        <w:spacing w:after="110" w:line="278" w:lineRule="auto"/>
        <w:ind w:firstLine="255"/>
      </w:pPr>
      <w:r>
        <w:rPr>
          <w:rFonts w:ascii="Inter" w:hAnsi="Inter" w:eastAsia="Inter"/>
          <w:color w:val="182026"/>
          <w:sz w:val="19"/>
        </w:rPr>
        <w:t>Später können CRM, Projektcontrolling, Wirkungsdatenräume und Rechnungslegung angebunden werden. Die Technik folgt der Methode, nicht umgekehrt.</w:t>
      </w:r>
    </w:p>
    <w:p>
      <w:pPr>
        <w:pStyle w:val="Heading1"/>
        <w:widowControl/>
        <w:pBdr>
          <w:bottom w:val="single" w:sz="10" w:space="6" w:color="C99A43"/>
        </w:pBdr>
      </w:pPr>
      <w:r>
        <w:t>15 Einordnung in die Wirkungsökonomie und Forschungsagenda</w:t>
      </w:r>
    </w:p>
    <w:p>
      <w:pPr>
        <w:pStyle w:val="Heading2"/>
        <w:widowControl/>
      </w:pPr>
      <w:r>
        <w:t>15.1 Ein neuer Baustein der Unternehmensarchitektur</w:t>
      </w:r>
    </w:p>
    <w:p>
      <w:pPr>
        <w:pStyle w:val="BodyText"/>
        <w:widowControl/>
        <w:spacing w:after="110" w:line="278" w:lineRule="auto"/>
        <w:ind w:firstLine="255"/>
      </w:pPr>
      <w:r>
        <w:rPr>
          <w:rFonts w:ascii="Inter" w:hAnsi="Inter" w:eastAsia="Inter"/>
          <w:color w:val="182026"/>
          <w:sz w:val="19"/>
        </w:rPr>
        <w:t>Die Wirkungsökonomie verfügt bereits über eine Mess- und Steuerungsarchitektur für Produkte, Investitionen, Unternehmen und öffentliche Entscheidungen. WVP schließt eine Lücke bei Dienstleistungen und immaterieller Wertschöpfung.</w:t>
      </w:r>
    </w:p>
    <w:p>
      <w:pPr>
        <w:pStyle w:val="BodyText"/>
        <w:widowControl/>
        <w:spacing w:after="110" w:line="278" w:lineRule="auto"/>
        <w:ind w:firstLine="255"/>
      </w:pPr>
      <w:r>
        <w:rPr>
          <w:rFonts w:ascii="Inter" w:hAnsi="Inter" w:eastAsia="Inter"/>
          <w:color w:val="182026"/>
          <w:sz w:val="19"/>
        </w:rPr>
        <w:t>Die Zuordnung lautet:</w:t>
      </w:r>
    </w:p>
    <w:p>
      <w:pPr>
        <w:pStyle w:val="ListBullet"/>
        <w:widowControl/>
        <w:spacing w:after="50" w:line="259" w:lineRule="auto"/>
        <w:ind w:left="369" w:hanging="170"/>
      </w:pPr>
      <w:r>
        <w:rPr>
          <w:rFonts w:ascii="Inter" w:hAnsi="Inter" w:eastAsia="Inter"/>
          <w:b/>
          <w:color w:val="182026"/>
          <w:sz w:val="18"/>
        </w:rPr>
        <w:t>Produkt:</w:t>
      </w:r>
      <w:r>
        <w:rPr>
          <w:rFonts w:ascii="Inter" w:hAnsi="Inter" w:eastAsia="Inter"/>
          <w:color w:val="182026"/>
          <w:sz w:val="18"/>
        </w:rPr>
        <w:t xml:space="preserve"> Wirkung → Scorecard/NWI → Preis- und Steuerungsfolge.</w:t>
      </w:r>
    </w:p>
    <w:p>
      <w:pPr>
        <w:pStyle w:val="ListBullet"/>
        <w:widowControl/>
        <w:spacing w:after="50" w:line="259" w:lineRule="auto"/>
        <w:ind w:left="369" w:hanging="170"/>
      </w:pPr>
      <w:r>
        <w:rPr>
          <w:rFonts w:ascii="Inter" w:hAnsi="Inter" w:eastAsia="Inter"/>
          <w:b/>
          <w:color w:val="182026"/>
          <w:sz w:val="18"/>
        </w:rPr>
        <w:t>Investition:</w:t>
      </w:r>
      <w:r>
        <w:rPr>
          <w:rFonts w:ascii="Inter" w:hAnsi="Inter" w:eastAsia="Inter"/>
          <w:color w:val="182026"/>
          <w:sz w:val="18"/>
        </w:rPr>
        <w:t xml:space="preserve"> Netto-Nutzen → IOI/T-SROI → Investitionsentscheidung.</w:t>
      </w:r>
    </w:p>
    <w:p>
      <w:pPr>
        <w:pStyle w:val="ListBullet"/>
        <w:widowControl/>
        <w:spacing w:after="50" w:line="259" w:lineRule="auto"/>
        <w:ind w:left="369" w:hanging="170"/>
      </w:pPr>
      <w:r>
        <w:rPr>
          <w:rFonts w:ascii="Inter" w:hAnsi="Inter" w:eastAsia="Inter"/>
          <w:b/>
          <w:color w:val="182026"/>
          <w:sz w:val="18"/>
        </w:rPr>
        <w:t>Unternehmen:</w:t>
      </w:r>
      <w:r>
        <w:rPr>
          <w:rFonts w:ascii="Inter" w:hAnsi="Inter" w:eastAsia="Inter"/>
          <w:color w:val="182026"/>
          <w:sz w:val="18"/>
        </w:rPr>
        <w:t xml:space="preserve"> KII, NWI, Risiko → Strategie und Governance.</w:t>
      </w:r>
    </w:p>
    <w:p>
      <w:pPr>
        <w:pStyle w:val="ListBullet"/>
        <w:widowControl/>
        <w:spacing w:after="50" w:line="259" w:lineRule="auto"/>
        <w:ind w:left="369" w:hanging="170"/>
      </w:pPr>
      <w:r>
        <w:rPr>
          <w:rFonts w:ascii="Inter" w:hAnsi="Inter" w:eastAsia="Inter"/>
          <w:b/>
          <w:color w:val="182026"/>
          <w:sz w:val="18"/>
        </w:rPr>
        <w:t>Dienstleistung:</w:t>
      </w:r>
      <w:r>
        <w:rPr>
          <w:rFonts w:ascii="Inter" w:hAnsi="Inter" w:eastAsia="Inter"/>
          <w:color w:val="182026"/>
          <w:sz w:val="18"/>
        </w:rPr>
        <w:t xml:space="preserve"> Aufwand, Kundenwert und Netto-Wirkung → Preis- und Vergütungsarchitektur.</w:t>
      </w:r>
    </w:p>
    <w:p>
      <w:pPr>
        <w:pStyle w:val="Heading2"/>
        <w:widowControl/>
      </w:pPr>
      <w:r>
        <w:t>15.2 Anschluss an Wirkungscontrolling</w:t>
      </w:r>
    </w:p>
    <w:p>
      <w:pPr>
        <w:pStyle w:val="BodyText"/>
        <w:widowControl/>
        <w:spacing w:after="110" w:line="278" w:lineRule="auto"/>
        <w:ind w:firstLine="255"/>
      </w:pPr>
      <w:r>
        <w:rPr>
          <w:rFonts w:ascii="Inter" w:hAnsi="Inter" w:eastAsia="Inter"/>
          <w:color w:val="182026"/>
          <w:sz w:val="19"/>
        </w:rPr>
        <w:t>WVP ist kein eigenes paralleles Messsystem. Es nutzt das Impact-Controlling der WÖk:</w:t>
      </w:r>
    </w:p>
    <w:p>
      <w:pPr>
        <w:pStyle w:val="ListBullet"/>
        <w:widowControl/>
        <w:spacing w:after="50" w:line="259" w:lineRule="auto"/>
        <w:ind w:left="369" w:hanging="170"/>
      </w:pPr>
      <w:r>
        <w:rPr>
          <w:rFonts w:ascii="Inter" w:hAnsi="Inter" w:eastAsia="Inter"/>
          <w:color w:val="182026"/>
          <w:sz w:val="18"/>
        </w:rPr>
        <w:t>WÖk-IDs für eindeutige Wirkungsindikatoren,</w:t>
      </w:r>
    </w:p>
    <w:p>
      <w:pPr>
        <w:pStyle w:val="ListBullet"/>
        <w:widowControl/>
        <w:spacing w:after="50" w:line="259" w:lineRule="auto"/>
        <w:ind w:left="369" w:hanging="170"/>
      </w:pPr>
      <w:r>
        <w:rPr>
          <w:rFonts w:ascii="Inter" w:hAnsi="Inter" w:eastAsia="Inter"/>
          <w:color w:val="182026"/>
          <w:sz w:val="18"/>
        </w:rPr>
        <w:t>Scorecards und Benchmarks für Bewertung,</w:t>
      </w:r>
    </w:p>
    <w:p>
      <w:pPr>
        <w:pStyle w:val="ListBullet"/>
        <w:widowControl/>
        <w:spacing w:after="50" w:line="259" w:lineRule="auto"/>
        <w:ind w:left="369" w:hanging="170"/>
      </w:pPr>
      <w:r>
        <w:rPr>
          <w:rFonts w:ascii="Inter" w:hAnsi="Inter" w:eastAsia="Inter"/>
          <w:color w:val="182026"/>
          <w:sz w:val="18"/>
        </w:rPr>
        <w:t>Reverse Merit Order für Nichtkompensation,</w:t>
      </w:r>
    </w:p>
    <w:p>
      <w:pPr>
        <w:pStyle w:val="ListBullet"/>
        <w:widowControl/>
        <w:spacing w:after="50" w:line="259" w:lineRule="auto"/>
        <w:ind w:left="369" w:hanging="170"/>
      </w:pPr>
      <w:r>
        <w:rPr>
          <w:rFonts w:ascii="Inter" w:hAnsi="Inter" w:eastAsia="Inter"/>
          <w:color w:val="182026"/>
          <w:sz w:val="18"/>
        </w:rPr>
        <w:t>NWI für operative Netto-Wirkung,</w:t>
      </w:r>
    </w:p>
    <w:p>
      <w:pPr>
        <w:pStyle w:val="ListBullet"/>
        <w:widowControl/>
        <w:spacing w:after="50" w:line="259" w:lineRule="auto"/>
        <w:ind w:left="369" w:hanging="170"/>
      </w:pPr>
      <w:r>
        <w:rPr>
          <w:rFonts w:ascii="Inter" w:hAnsi="Inter" w:eastAsia="Inter"/>
          <w:color w:val="182026"/>
          <w:sz w:val="18"/>
        </w:rPr>
        <w:t>IOI für direkt monetarisierten Nettonutzen je Ressourceneuro,</w:t>
      </w:r>
    </w:p>
    <w:p>
      <w:pPr>
        <w:pStyle w:val="ListBullet"/>
        <w:widowControl/>
        <w:spacing w:after="50" w:line="259" w:lineRule="auto"/>
        <w:ind w:left="369" w:hanging="170"/>
      </w:pPr>
      <w:r>
        <w:rPr>
          <w:rFonts w:ascii="Inter" w:hAnsi="Inter" w:eastAsia="Inter"/>
          <w:color w:val="182026"/>
          <w:sz w:val="18"/>
        </w:rPr>
        <w:t>T-SROI für separat belegten Transformationsnutzen,</w:t>
      </w:r>
    </w:p>
    <w:p>
      <w:pPr>
        <w:pStyle w:val="ListBullet"/>
        <w:widowControl/>
        <w:spacing w:after="50" w:line="259" w:lineRule="auto"/>
        <w:ind w:left="369" w:hanging="170"/>
      </w:pPr>
      <w:r>
        <w:rPr>
          <w:rFonts w:ascii="Inter" w:hAnsi="Inter" w:eastAsia="Inter"/>
          <w:color w:val="182026"/>
          <w:sz w:val="18"/>
        </w:rPr>
        <w:t>Datenqualität und Assurance für Verlässlichkeit,</w:t>
      </w:r>
    </w:p>
    <w:p>
      <w:pPr>
        <w:pStyle w:val="ListBullet"/>
        <w:widowControl/>
        <w:spacing w:after="50" w:line="259" w:lineRule="auto"/>
        <w:ind w:left="369" w:hanging="170"/>
      </w:pPr>
      <w:r>
        <w:rPr>
          <w:rFonts w:ascii="Inter" w:hAnsi="Inter" w:eastAsia="Inter"/>
          <w:color w:val="182026"/>
          <w:sz w:val="18"/>
        </w:rPr>
        <w:t>Wirkungsdatenräume für Interoperabilität.</w:t>
      </w:r>
    </w:p>
    <w:p>
      <w:pPr>
        <w:pStyle w:val="BodyText"/>
        <w:widowControl/>
        <w:spacing w:after="110" w:line="278" w:lineRule="auto"/>
        <w:ind w:firstLine="255"/>
      </w:pPr>
      <w:r>
        <w:rPr>
          <w:rFonts w:ascii="Inter" w:hAnsi="Inter" w:eastAsia="Inter"/>
          <w:color w:val="182026"/>
          <w:sz w:val="19"/>
        </w:rPr>
        <w:t>Die Kundenwertrechnung bleibt davon getrennt und ergänzt die finanzielle Unternehmenssteuerung.</w:t>
      </w:r>
    </w:p>
    <w:p>
      <w:pPr>
        <w:pStyle w:val="Heading2"/>
        <w:widowControl/>
      </w:pPr>
      <w:r>
        <w:t>15.3 Anschluss an Marketing und Vertrieb</w:t>
      </w:r>
    </w:p>
    <w:p>
      <w:pPr>
        <w:pStyle w:val="BodyText"/>
        <w:widowControl/>
        <w:spacing w:after="110" w:line="278" w:lineRule="auto"/>
        <w:ind w:firstLine="255"/>
      </w:pPr>
      <w:r>
        <w:rPr>
          <w:rFonts w:ascii="Inter" w:hAnsi="Inter" w:eastAsia="Inter"/>
          <w:color w:val="182026"/>
          <w:sz w:val="19"/>
        </w:rPr>
        <w:t>Marketing wird in der WÖk zur Nachfragearchitektur. Vertrieb übersetzt Angebot in Nutzung und Wirkung. WVP liefert dafür eine konkrete Methodik:</w:t>
      </w:r>
    </w:p>
    <w:p>
      <w:pPr>
        <w:pStyle w:val="ListBullet"/>
        <w:widowControl/>
        <w:spacing w:after="50" w:line="259" w:lineRule="auto"/>
        <w:ind w:left="369" w:hanging="170"/>
      </w:pPr>
      <w:r>
        <w:rPr>
          <w:rFonts w:ascii="Inter" w:hAnsi="Inter" w:eastAsia="Inter"/>
          <w:color w:val="182026"/>
          <w:sz w:val="18"/>
        </w:rPr>
        <w:t>Kundennutzen präzise statt bloß emotional behaupten,</w:t>
      </w:r>
    </w:p>
    <w:p>
      <w:pPr>
        <w:pStyle w:val="ListBullet"/>
        <w:widowControl/>
        <w:spacing w:after="50" w:line="259" w:lineRule="auto"/>
        <w:ind w:left="369" w:hanging="170"/>
      </w:pPr>
      <w:r>
        <w:rPr>
          <w:rFonts w:ascii="Inter" w:hAnsi="Inter" w:eastAsia="Inter"/>
          <w:color w:val="182026"/>
          <w:sz w:val="18"/>
        </w:rPr>
        <w:t>Wertpfade und Evidenz kommunizieren,</w:t>
      </w:r>
    </w:p>
    <w:p>
      <w:pPr>
        <w:pStyle w:val="ListBullet"/>
        <w:widowControl/>
        <w:spacing w:after="50" w:line="259" w:lineRule="auto"/>
        <w:ind w:left="369" w:hanging="170"/>
      </w:pPr>
      <w:r>
        <w:rPr>
          <w:rFonts w:ascii="Inter" w:hAnsi="Inter" w:eastAsia="Inter"/>
          <w:color w:val="182026"/>
          <w:sz w:val="18"/>
        </w:rPr>
        <w:t>Kundenwert nicht mit positiver Wirkung verwechseln,</w:t>
      </w:r>
    </w:p>
    <w:p>
      <w:pPr>
        <w:pStyle w:val="ListBullet"/>
        <w:widowControl/>
        <w:spacing w:after="50" w:line="259" w:lineRule="auto"/>
        <w:ind w:left="369" w:hanging="170"/>
      </w:pPr>
      <w:r>
        <w:rPr>
          <w:rFonts w:ascii="Inter" w:hAnsi="Inter" w:eastAsia="Inter"/>
          <w:color w:val="182026"/>
          <w:sz w:val="18"/>
        </w:rPr>
        <w:t>Wirkung nicht als Premiumetikett verwenden,</w:t>
      </w:r>
    </w:p>
    <w:p>
      <w:pPr>
        <w:pStyle w:val="ListBullet"/>
        <w:widowControl/>
        <w:spacing w:after="50" w:line="259" w:lineRule="auto"/>
        <w:ind w:left="369" w:hanging="170"/>
      </w:pPr>
      <w:r>
        <w:rPr>
          <w:rFonts w:ascii="Inter" w:hAnsi="Inter" w:eastAsia="Inter"/>
          <w:color w:val="182026"/>
          <w:sz w:val="18"/>
        </w:rPr>
        <w:t>Preis und Vertrag an Nutzung, Outcome und Verantwortung koppeln.</w:t>
      </w:r>
    </w:p>
    <w:p>
      <w:pPr>
        <w:pStyle w:val="BodyText"/>
        <w:widowControl/>
        <w:spacing w:after="110" w:line="278" w:lineRule="auto"/>
        <w:ind w:firstLine="255"/>
      </w:pPr>
      <w:r>
        <w:rPr>
          <w:rFonts w:ascii="Inter" w:hAnsi="Inter" w:eastAsia="Inter"/>
          <w:color w:val="182026"/>
          <w:sz w:val="19"/>
        </w:rPr>
        <w:t>Der Leitsatz aus der WÖk bleibt:</w:t>
      </w:r>
    </w:p>
    <w:p>
      <w:pPr>
        <w:spacing w:before="120" w:after="140"/>
        <w:ind w:left="340" w:right="227"/>
        <w:shd w:fill="DDEDEA"/>
        <w:widowControl/>
        <w:pBdr>
          <w:left w:val="single" w:sz="8" w:space="4" w:color="163F3D"/>
        </w:pBdr>
      </w:pPr>
      <w:r>
        <w:rPr>
          <w:rFonts w:ascii="Inter" w:hAnsi="Inter" w:eastAsia="Inter"/>
          <w:b/>
          <w:color w:val="163F3D"/>
          <w:sz w:val="20"/>
        </w:rPr>
        <w:t>Kundennutzen ist die Perspektive des Kunden. Wirkung ist die Perspektive des Systems.</w:t>
      </w:r>
    </w:p>
    <w:p>
      <w:pPr>
        <w:pStyle w:val="Heading2"/>
        <w:widowControl/>
      </w:pPr>
      <w:r>
        <w:t>15.4 Anschluss an Beschaffung</w:t>
      </w:r>
    </w:p>
    <w:p>
      <w:pPr>
        <w:pStyle w:val="BodyText"/>
        <w:widowControl/>
        <w:spacing w:after="110" w:line="278" w:lineRule="auto"/>
        <w:ind w:firstLine="255"/>
      </w:pPr>
      <w:r>
        <w:rPr>
          <w:rFonts w:ascii="Inter" w:hAnsi="Inter" w:eastAsia="Inter"/>
          <w:color w:val="182026"/>
          <w:sz w:val="19"/>
        </w:rPr>
        <w:t>Für private und öffentliche Beschaffung eröffnet WVP einen Übergang von Personentagen zu Ergebnis- und Wirkungsarchitekturen. Ausschreibungen können:</w:t>
      </w:r>
    </w:p>
    <w:p>
      <w:pPr>
        <w:pStyle w:val="ListBullet"/>
        <w:widowControl/>
        <w:spacing w:after="50" w:line="259" w:lineRule="auto"/>
        <w:ind w:left="369" w:hanging="170"/>
      </w:pPr>
      <w:r>
        <w:rPr>
          <w:rFonts w:ascii="Inter" w:hAnsi="Inter" w:eastAsia="Inter"/>
          <w:color w:val="182026"/>
          <w:sz w:val="18"/>
        </w:rPr>
        <w:t>Zielzustände statt detaillierter Tätigkeitslisten beschreiben,</w:t>
      </w:r>
    </w:p>
    <w:p>
      <w:pPr>
        <w:pStyle w:val="ListBullet"/>
        <w:widowControl/>
        <w:spacing w:after="50" w:line="259" w:lineRule="auto"/>
        <w:ind w:left="369" w:hanging="170"/>
      </w:pPr>
      <w:r>
        <w:rPr>
          <w:rFonts w:ascii="Inter" w:hAnsi="Inter" w:eastAsia="Inter"/>
          <w:color w:val="182026"/>
          <w:sz w:val="18"/>
        </w:rPr>
        <w:t>Wert- und Wirkpfade verlangen,</w:t>
      </w:r>
    </w:p>
    <w:p>
      <w:pPr>
        <w:pStyle w:val="ListBullet"/>
        <w:widowControl/>
        <w:spacing w:after="50" w:line="259" w:lineRule="auto"/>
        <w:ind w:left="369" w:hanging="170"/>
      </w:pPr>
      <w:r>
        <w:rPr>
          <w:rFonts w:ascii="Inter" w:hAnsi="Inter" w:eastAsia="Inter"/>
          <w:color w:val="182026"/>
          <w:sz w:val="18"/>
        </w:rPr>
        <w:t>Messbarkeit und Datenschutz prüfen,</w:t>
      </w:r>
    </w:p>
    <w:p>
      <w:pPr>
        <w:pStyle w:val="ListBullet"/>
        <w:widowControl/>
        <w:spacing w:after="50" w:line="259" w:lineRule="auto"/>
        <w:ind w:left="369" w:hanging="170"/>
      </w:pPr>
      <w:r>
        <w:rPr>
          <w:rFonts w:ascii="Inter" w:hAnsi="Inter" w:eastAsia="Inter"/>
          <w:color w:val="182026"/>
          <w:sz w:val="18"/>
        </w:rPr>
        <w:t>faire Risikoteilung bewerten,</w:t>
      </w:r>
    </w:p>
    <w:p>
      <w:pPr>
        <w:pStyle w:val="ListBullet"/>
        <w:widowControl/>
        <w:spacing w:after="50" w:line="259" w:lineRule="auto"/>
        <w:ind w:left="369" w:hanging="170"/>
      </w:pPr>
      <w:r>
        <w:rPr>
          <w:rFonts w:ascii="Inter" w:hAnsi="Inter" w:eastAsia="Inter"/>
          <w:color w:val="182026"/>
          <w:sz w:val="18"/>
        </w:rPr>
        <w:t>NWI- und Schutz-Gate-Kriterien integrieren,</w:t>
      </w:r>
    </w:p>
    <w:p>
      <w:pPr>
        <w:pStyle w:val="ListBullet"/>
        <w:widowControl/>
        <w:spacing w:after="50" w:line="259" w:lineRule="auto"/>
        <w:ind w:left="369" w:hanging="170"/>
      </w:pPr>
      <w:r>
        <w:rPr>
          <w:rFonts w:ascii="Inter" w:hAnsi="Inter" w:eastAsia="Inter"/>
          <w:color w:val="182026"/>
          <w:sz w:val="18"/>
        </w:rPr>
        <w:t>KMU-taugliche Proportionalität sichern.</w:t>
      </w:r>
    </w:p>
    <w:p>
      <w:pPr>
        <w:pStyle w:val="BodyText"/>
        <w:widowControl/>
        <w:spacing w:after="110" w:line="278" w:lineRule="auto"/>
        <w:ind w:firstLine="255"/>
      </w:pPr>
      <w:r>
        <w:rPr>
          <w:rFonts w:ascii="Inter" w:hAnsi="Inter" w:eastAsia="Inter"/>
          <w:color w:val="182026"/>
          <w:sz w:val="19"/>
        </w:rPr>
        <w:t>Öffentliche Beschaffung muss dabei Vergaberecht, Transparenz, Gleichbehandlung und Haushaltsgrundsätze wahren. WVP ist ein konzeptioneller Rahmen, kein Ersatz für rechtliche Prüfung.</w:t>
      </w:r>
    </w:p>
    <w:p>
      <w:pPr>
        <w:pStyle w:val="Heading2"/>
        <w:widowControl/>
      </w:pPr>
      <w:r>
        <w:t>15.5 Website- und Publikationsarchitektur</w:t>
      </w:r>
    </w:p>
    <w:p>
      <w:pPr>
        <w:pStyle w:val="BodyText"/>
        <w:widowControl/>
        <w:spacing w:after="110" w:line="278" w:lineRule="auto"/>
        <w:ind w:firstLine="255"/>
      </w:pPr>
      <w:r>
        <w:rPr>
          <w:rFonts w:ascii="Inter" w:hAnsi="Inter" w:eastAsia="Inter"/>
          <w:color w:val="182026"/>
          <w:sz w:val="19"/>
        </w:rPr>
        <w:t>Für die Veröffentlichung innerhalb der Wirkungsökonomie eignet sich folgende Einbindung:</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b/>
          <w:color w:val="182026"/>
          <w:sz w:val="18"/>
        </w:rPr>
        <w:t>Dossierseite:</w:t>
      </w:r>
      <w:r>
        <w:rPr>
          <w:rFonts w:ascii="Inter" w:hAnsi="Inter" w:eastAsia="Inter"/>
          <w:color w:val="182026"/>
          <w:sz w:val="18"/>
        </w:rPr>
        <w:t xml:space="preserve"> „Wirkungsbasiertes Value Pricing“ im Bereich Wirtschaft &amp; Unternehmen / Impact-Controlling.</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b/>
          <w:color w:val="182026"/>
          <w:sz w:val="18"/>
        </w:rPr>
        <w:t>Kurzartikel im Journal:</w:t>
      </w:r>
      <w:r>
        <w:rPr>
          <w:rFonts w:ascii="Inter" w:hAnsi="Inter" w:eastAsia="Inter"/>
          <w:color w:val="182026"/>
          <w:sz w:val="18"/>
        </w:rPr>
        <w:t xml:space="preserve"> verständlicher Einstieg „Eine Stunde ist kein Wertmaßstab“.</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b/>
          <w:color w:val="182026"/>
          <w:sz w:val="18"/>
        </w:rPr>
        <w:t>Glossar:</w:t>
      </w:r>
      <w:r>
        <w:rPr>
          <w:rFonts w:ascii="Inter" w:hAnsi="Inter" w:eastAsia="Inter"/>
          <w:color w:val="182026"/>
          <w:sz w:val="18"/>
        </w:rPr>
        <w:t xml:space="preserve"> Value-based Pricing und wirkungsbasiertes Value Pricing.</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b/>
          <w:color w:val="182026"/>
          <w:sz w:val="18"/>
        </w:rPr>
        <w:t>Querverweise:</w:t>
      </w:r>
      <w:r>
        <w:rPr>
          <w:rFonts w:ascii="Inter" w:hAnsi="Inter" w:eastAsia="Inter"/>
          <w:color w:val="182026"/>
          <w:sz w:val="18"/>
        </w:rPr>
        <w:t xml:space="preserve"> Kapitel 44 Wirkungscontrolling, Kapitel 46.6 Marketing und Kundennutzen, KII, NWI, IOI, T-SROI, Reverse Merit Order.</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b/>
          <w:color w:val="182026"/>
          <w:sz w:val="18"/>
        </w:rPr>
        <w:t>Werkzeug:</w:t>
      </w:r>
      <w:r>
        <w:rPr>
          <w:rFonts w:ascii="Inter" w:hAnsi="Inter" w:eastAsia="Inter"/>
          <w:color w:val="182026"/>
          <w:sz w:val="18"/>
        </w:rPr>
        <w:t xml:space="preserve"> später ein WVP-Canvas und ein modellhafter Preiskorridor-Rechner für Dienstleistungen.</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b/>
          <w:color w:val="182026"/>
          <w:sz w:val="18"/>
        </w:rPr>
        <w:t>Akademie:</w:t>
      </w:r>
      <w:r>
        <w:rPr>
          <w:rFonts w:ascii="Inter" w:hAnsi="Inter" w:eastAsia="Inter"/>
          <w:color w:val="182026"/>
          <w:sz w:val="18"/>
        </w:rPr>
        <w:t xml:space="preserve"> Fallstudie für Wirkungscontrolling, Vertrieb und Unternehmensführung.</w:t>
      </w:r>
    </w:p>
    <w:p>
      <w:pPr>
        <w:pStyle w:val="Heading2"/>
        <w:widowControl/>
      </w:pPr>
      <w:r>
        <w:t>15.6 Forschungsfragen</w:t>
      </w:r>
    </w:p>
    <w:p>
      <w:pPr>
        <w:pStyle w:val="BodyText"/>
        <w:widowControl/>
        <w:spacing w:after="110" w:line="278" w:lineRule="auto"/>
        <w:ind w:firstLine="255"/>
      </w:pPr>
      <w:r>
        <w:rPr>
          <w:rFonts w:ascii="Inter" w:hAnsi="Inter" w:eastAsia="Inter"/>
          <w:color w:val="182026"/>
          <w:sz w:val="19"/>
        </w:rPr>
        <w:t>Die Weiterentwicklung sollte empirisch prüfen:</w:t>
      </w:r>
    </w:p>
    <w:p>
      <w:pPr>
        <w:pStyle w:val="ListBullet"/>
        <w:widowControl/>
        <w:spacing w:after="50" w:line="259" w:lineRule="auto"/>
        <w:ind w:left="369" w:hanging="170"/>
      </w:pPr>
      <w:r>
        <w:rPr>
          <w:rFonts w:ascii="Inter" w:hAnsi="Inter" w:eastAsia="Inter"/>
          <w:color w:val="182026"/>
          <w:sz w:val="18"/>
        </w:rPr>
        <w:t>Wie gut lassen sich Kundenwert und Wirkung bei unterschiedlichen Dienstleistungstypen trennen?</w:t>
      </w:r>
    </w:p>
    <w:p>
      <w:pPr>
        <w:pStyle w:val="ListBullet"/>
        <w:widowControl/>
        <w:spacing w:after="50" w:line="259" w:lineRule="auto"/>
        <w:ind w:left="369" w:hanging="170"/>
      </w:pPr>
      <w:r>
        <w:rPr>
          <w:rFonts w:ascii="Inter" w:hAnsi="Inter" w:eastAsia="Inter"/>
          <w:color w:val="182026"/>
          <w:sz w:val="18"/>
        </w:rPr>
        <w:t>Welche Evidenzklassen sind für welche variable Vergütungsanteile angemessen?</w:t>
      </w:r>
    </w:p>
    <w:p>
      <w:pPr>
        <w:pStyle w:val="ListBullet"/>
        <w:widowControl/>
        <w:spacing w:after="50" w:line="259" w:lineRule="auto"/>
        <w:ind w:left="369" w:hanging="170"/>
      </w:pPr>
      <w:r>
        <w:rPr>
          <w:rFonts w:ascii="Inter" w:hAnsi="Inter" w:eastAsia="Inter"/>
          <w:color w:val="182026"/>
          <w:sz w:val="18"/>
        </w:rPr>
        <w:t>Wie verändern WVP-Verträge Verhalten, Kooperation und Datenqualität?</w:t>
      </w:r>
    </w:p>
    <w:p>
      <w:pPr>
        <w:pStyle w:val="ListBullet"/>
        <w:widowControl/>
        <w:spacing w:after="50" w:line="259" w:lineRule="auto"/>
        <w:ind w:left="369" w:hanging="170"/>
      </w:pPr>
      <w:r>
        <w:rPr>
          <w:rFonts w:ascii="Inter" w:hAnsi="Inter" w:eastAsia="Inter"/>
          <w:color w:val="182026"/>
          <w:sz w:val="18"/>
        </w:rPr>
        <w:t>Welche Fairnesswahrnehmungen entstehen bei unterschiedlichen Kundenpreisen?</w:t>
      </w:r>
    </w:p>
    <w:p>
      <w:pPr>
        <w:pStyle w:val="ListBullet"/>
        <w:widowControl/>
        <w:spacing w:after="50" w:line="259" w:lineRule="auto"/>
        <w:ind w:left="369" w:hanging="170"/>
      </w:pPr>
      <w:r>
        <w:rPr>
          <w:rFonts w:ascii="Inter" w:hAnsi="Inter" w:eastAsia="Inter"/>
          <w:color w:val="182026"/>
          <w:sz w:val="18"/>
        </w:rPr>
        <w:t>Wann führen Gainsharing-Modelle zu Gaming oder besserer Kooperation?</w:t>
      </w:r>
    </w:p>
    <w:p>
      <w:pPr>
        <w:pStyle w:val="ListBullet"/>
        <w:widowControl/>
        <w:spacing w:after="50" w:line="259" w:lineRule="auto"/>
        <w:ind w:left="369" w:hanging="170"/>
      </w:pPr>
      <w:r>
        <w:rPr>
          <w:rFonts w:ascii="Inter" w:hAnsi="Inter" w:eastAsia="Inter"/>
          <w:color w:val="182026"/>
          <w:sz w:val="18"/>
        </w:rPr>
        <w:t>Welche Multi-Payer-Architekturen funktionieren bei verteiltem Nutzen?</w:t>
      </w:r>
    </w:p>
    <w:p>
      <w:pPr>
        <w:pStyle w:val="ListBullet"/>
        <w:widowControl/>
        <w:spacing w:after="50" w:line="259" w:lineRule="auto"/>
        <w:ind w:left="369" w:hanging="170"/>
      </w:pPr>
      <w:r>
        <w:rPr>
          <w:rFonts w:ascii="Inter" w:hAnsi="Inter" w:eastAsia="Inter"/>
          <w:color w:val="182026"/>
          <w:sz w:val="18"/>
        </w:rPr>
        <w:t>Wie können KMU wirkungsbasierte Preise ohne übermäßige Datenlast einsetzen?</w:t>
      </w:r>
    </w:p>
    <w:p>
      <w:pPr>
        <w:pStyle w:val="ListBullet"/>
        <w:widowControl/>
        <w:spacing w:after="50" w:line="259" w:lineRule="auto"/>
        <w:ind w:left="369" w:hanging="170"/>
      </w:pPr>
      <w:r>
        <w:rPr>
          <w:rFonts w:ascii="Inter" w:hAnsi="Inter" w:eastAsia="Inter"/>
          <w:color w:val="182026"/>
          <w:sz w:val="18"/>
        </w:rPr>
        <w:t>Welche NWI- und Schutz-Gate-Kriterien sind für Dienstleistungen besonders relevant?</w:t>
      </w:r>
    </w:p>
    <w:p>
      <w:pPr>
        <w:pStyle w:val="ListBullet"/>
        <w:widowControl/>
        <w:spacing w:after="50" w:line="259" w:lineRule="auto"/>
        <w:ind w:left="369" w:hanging="170"/>
      </w:pPr>
      <w:r>
        <w:rPr>
          <w:rFonts w:ascii="Inter" w:hAnsi="Inter" w:eastAsia="Inter"/>
          <w:color w:val="182026"/>
          <w:sz w:val="18"/>
        </w:rPr>
        <w:t>Wie werden Langzeit-, Options- und Resilienzwert belastbar bewertet?</w:t>
      </w:r>
    </w:p>
    <w:p>
      <w:pPr>
        <w:pStyle w:val="ListBullet"/>
        <w:widowControl/>
        <w:spacing w:after="50" w:line="259" w:lineRule="auto"/>
        <w:ind w:left="369" w:hanging="170"/>
      </w:pPr>
      <w:r>
        <w:rPr>
          <w:rFonts w:ascii="Inter" w:hAnsi="Inter" w:eastAsia="Inter"/>
          <w:color w:val="182026"/>
          <w:sz w:val="18"/>
        </w:rPr>
        <w:t>Welche Rolle können Versicherungen, Banken und öffentliche Fonds übernehmen?</w:t>
      </w:r>
    </w:p>
    <w:p>
      <w:pPr>
        <w:pStyle w:val="ListBullet"/>
      </w:pPr>
      <w:r>
        <w:rPr>
          <w:b w:val="0"/>
          <w:i w:val="0"/>
        </w:rPr>
        <w:t>Welche Transparenz über Werkzeuge ist für Qualität, Datenschutz, Haftung und Vertrauen erforderlich, ohne legitimes Methodenwissen offenzulegen?</w:t>
      </w:r>
    </w:p>
    <w:p>
      <w:pPr>
        <w:pStyle w:val="ListBullet"/>
      </w:pPr>
      <w:r>
        <w:rPr>
          <w:b w:val="0"/>
          <w:i w:val="0"/>
        </w:rPr>
        <w:t>Wie verändern KI und Automatisierung Preisniveaus, Differenzierung und faire Teilung von Produktivitätsgewinnen?</w:t>
      </w:r>
    </w:p>
    <w:p>
      <w:pPr>
        <w:pStyle w:val="Heading2"/>
        <w:widowControl/>
      </w:pPr>
      <w:r>
        <w:t>15.7 Standardisierungspfad</w:t>
      </w:r>
    </w:p>
    <w:p>
      <w:pPr>
        <w:pStyle w:val="BodyText"/>
        <w:widowControl/>
        <w:spacing w:after="110" w:line="278" w:lineRule="auto"/>
        <w:ind w:firstLine="255"/>
      </w:pPr>
      <w:r>
        <w:rPr>
          <w:rFonts w:ascii="Inter" w:hAnsi="Inter" w:eastAsia="Inter"/>
          <w:color w:val="182026"/>
          <w:sz w:val="19"/>
        </w:rPr>
        <w:t>Ein möglicher Pfad lautet:</w:t>
      </w:r>
    </w:p>
    <w:p>
      <w:pPr>
        <w:pStyle w:val="BodyText"/>
        <w:widowControl/>
        <w:spacing w:after="50" w:line="259" w:lineRule="auto"/>
        <w:ind w:left="408" w:hanging="272"/>
      </w:pPr>
      <w:r>
        <w:t>1.  Veröffentlichung der zusammengeführten Masterfassung als Version 1.2.</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Pilotierung in drei bis fünf unterschiedlichen Dienstleistungstypen.</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Offene Dokumentation von Annahmen, Fehlern und Anpassungen.</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Entwicklung branchenspezifischer Value- und KII-Bausteine.</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Definition von Evidenz-, Datenqualitäts- und Vertragsstandards.</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color w:val="182026"/>
          <w:sz w:val="18"/>
        </w:rPr>
        <w:t>unabhängige fachliche Begutachtung.</w:t>
      </w:r>
    </w:p>
    <w:p>
      <w:pPr>
        <w:pStyle w:val="BodyText"/>
        <w:widowControl/>
        <w:spacing w:after="50" w:line="259" w:lineRule="auto"/>
        <w:ind w:left="408" w:hanging="272"/>
      </w:pPr>
      <w:r>
        <w:t>7.  Version 1.3 mit empirisch validierten Rechen-, KI-, Fairness- und Schutzregeln.</w:t>
      </w:r>
    </w:p>
    <w:p>
      <w:pPr>
        <w:pStyle w:val="BodyText"/>
        <w:widowControl/>
        <w:spacing w:after="50" w:line="259" w:lineRule="auto"/>
        <w:ind w:left="408" w:hanging="272"/>
      </w:pPr>
      <w:r>
        <w:rPr>
          <w:rFonts w:ascii="Inter" w:hAnsi="Inter" w:eastAsia="Inter"/>
          <w:b/>
          <w:color w:val="2D625F"/>
          <w:sz w:val="18"/>
        </w:rPr>
        <w:t xml:space="preserve">8.  </w:t>
      </w:r>
      <w:r>
        <w:rPr>
          <w:rFonts w:ascii="Inter" w:hAnsi="Inter" w:eastAsia="Inter"/>
          <w:color w:val="182026"/>
          <w:sz w:val="18"/>
        </w:rPr>
        <w:t>Integration in Impact-Controlling-Tools und Ausbildung.</w:t>
      </w:r>
    </w:p>
    <w:p>
      <w:pPr>
        <w:pStyle w:val="Heading2"/>
        <w:widowControl/>
      </w:pPr>
      <w:r>
        <w:t>15.8 Schlussfolgerung</w:t>
      </w:r>
    </w:p>
    <w:p>
      <w:pPr>
        <w:pStyle w:val="BodyText"/>
        <w:widowControl/>
        <w:spacing w:after="110" w:line="278" w:lineRule="auto"/>
        <w:ind w:firstLine="255"/>
      </w:pPr>
      <w:r>
        <w:rPr>
          <w:rFonts w:ascii="Inter" w:hAnsi="Inter" w:eastAsia="Inter"/>
          <w:color w:val="182026"/>
          <w:sz w:val="19"/>
        </w:rPr>
        <w:t>Wirkungsbasiertes Value Pricing ist kein Versuch, jede Wirkung zu Geld zu machen. Es ist der Versuch, Geld, Wert und Wirkung nicht länger zu verwechseln.</w:t>
      </w:r>
    </w:p>
    <w:p>
      <w:pPr>
        <w:pStyle w:val="BodyText"/>
        <w:widowControl/>
        <w:spacing w:after="110" w:line="278" w:lineRule="auto"/>
        <w:ind w:firstLine="255"/>
      </w:pPr>
      <w:r>
        <w:rPr>
          <w:rFonts w:ascii="Inter" w:hAnsi="Inter" w:eastAsia="Inter"/>
          <w:color w:val="182026"/>
          <w:sz w:val="19"/>
        </w:rPr>
        <w:t>Zeit bleibt eine Ressource. Kosten bleiben real. Gewinn bleibt notwendig. Kundenwert bleibt der ökonomische Bezugspunkt einer Dienstleistung. Wirkung bleibt die tatsächliche Veränderung von Zuständen für Mensch, Planet und Demokratie.</w:t>
      </w:r>
    </w:p>
    <w:p>
      <w:pPr>
        <w:pStyle w:val="BodyText"/>
      </w:pPr>
      <w:r>
        <w:rPr>
          <w:b w:val="0"/>
          <w:i w:val="0"/>
        </w:rPr>
        <w:t>Erfahrung, Methode und Technologie dürfen den Aufwand verkürzen, ohne dass der Wert der erzeugten Veränderung verschwindet. Schneller zu einer besseren Lösung zu kommen, ist kein Grund für weniger Wert; es ist ein Produktivitätsgewinn, der fair geteilt und verantwortet werden muss.</w:t>
      </w:r>
    </w:p>
    <w:p>
      <w:pPr>
        <w:pStyle w:val="BodyText"/>
        <w:widowControl/>
        <w:spacing w:after="110" w:line="278" w:lineRule="auto"/>
        <w:ind w:firstLine="255"/>
      </w:pPr>
      <w:r>
        <w:rPr>
          <w:rFonts w:ascii="Inter" w:hAnsi="Inter" w:eastAsia="Inter"/>
          <w:color w:val="182026"/>
          <w:sz w:val="19"/>
        </w:rPr>
        <w:t>Ein gutes Preismodell erkennt diese Ebenen, trennt sie und führt sie verantwortet zusammen. Dann wird der Preis nicht zur moralischen Belohnung und nicht zur mechanischen Formel. Er wird zu einer lernenden Rückkopplung:</w:t>
      </w:r>
    </w:p>
    <w:p>
      <w:pPr>
        <w:spacing w:before="120" w:after="140"/>
        <w:ind w:left="340" w:right="227"/>
        <w:shd w:fill="DDEDEA"/>
        <w:widowControl/>
        <w:pBdr>
          <w:left w:val="single" w:sz="8" w:space="4" w:color="163F3D"/>
        </w:pBdr>
      </w:pPr>
      <w:r>
        <w:rPr>
          <w:rFonts w:ascii="Inter" w:hAnsi="Inter" w:eastAsia="Inter"/>
          <w:b/>
          <w:color w:val="163F3D"/>
          <w:sz w:val="20"/>
        </w:rPr>
        <w:t>Der Anbieter bleibt tragfähig. Der Kunde erhält einen fairen Anteil des geschaffenen Werts. Negative Wirkung wird nicht verdeckt. Positive Netto-Wirkung kann gezielt ermöglicht und finanziert werden.</w:t>
      </w:r>
    </w:p>
    <w:p>
      <w:pPr>
        <w:widowControl/>
      </w:pPr>
      <w:r>
        <w:br w:type="page"/>
      </w:r>
    </w:p>
    <w:p>
      <w:pPr>
        <w:pStyle w:val="Heading1"/>
        <w:widowControl/>
        <w:pBdr>
          <w:bottom w:val="single" w:sz="10" w:space="6" w:color="C99A43"/>
        </w:pBdr>
      </w:pPr>
      <w:r>
        <w:t>Anhänge</w:t>
      </w:r>
    </w:p>
    <w:p>
      <w:pPr>
        <w:pStyle w:val="Heading1"/>
        <w:widowControl/>
        <w:pBdr>
          <w:bottom w:val="single" w:sz="10" w:space="6" w:color="C99A43"/>
        </w:pBdr>
      </w:pPr>
      <w:r>
        <w:t>Anhang A: WVP-Canvas</w:t>
      </w:r>
    </w:p>
    <w:p>
      <w:pPr>
        <w:pStyle w:val="BodyText"/>
        <w:widowControl/>
        <w:spacing w:after="110" w:line="278" w:lineRule="auto"/>
        <w:ind w:firstLine="255"/>
      </w:pPr>
      <w:r>
        <w:rPr>
          <w:rFonts w:ascii="Inter" w:hAnsi="Inter" w:eastAsia="Inter"/>
          <w:color w:val="182026"/>
          <w:sz w:val="19"/>
        </w:rPr>
        <w:t>Der WVP-Canvas ist ein einseitiges Arbeitsblatt für Akquise, Angebotsdesign und internes Review. Er ersetzt keine ausführliche Messung, schafft aber eine gemeinsame Grundstruktur.</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04"/>
            <w:shd w:fill="163F3D"/>
            <w:tcMar>
              <w:top w:w="100" w:type="dxa"/>
              <w:start w:w="100" w:type="dxa"/>
              <w:bottom w:w="100" w:type="dxa"/>
              <w:end w:w="100" w:type="dxa"/>
            </w:tcMar>
          </w:tcPr>
          <w:p>
            <w:pPr>
              <w:widowControl/>
              <w:jc w:val="left"/>
            </w:pPr>
            <w:r>
              <w:rPr>
                <w:rFonts w:ascii="Inter" w:hAnsi="Inter" w:eastAsia="Inter"/>
                <w:b/>
                <w:color w:val="FFFFFF"/>
                <w:sz w:val="16"/>
              </w:rPr>
              <w:t>Baustein</w:t>
            </w:r>
          </w:p>
        </w:tc>
        <w:tc>
          <w:tcPr>
            <w:tcW w:type="dxa" w:w="7200"/>
            <w:shd w:fill="163F3D"/>
            <w:tcMar>
              <w:top w:w="100" w:type="dxa"/>
              <w:start w:w="100" w:type="dxa"/>
              <w:bottom w:w="100" w:type="dxa"/>
              <w:end w:w="100" w:type="dxa"/>
            </w:tcMar>
          </w:tcPr>
          <w:p>
            <w:pPr>
              <w:widowControl/>
              <w:jc w:val="left"/>
            </w:pPr>
            <w:r>
              <w:rPr>
                <w:rFonts w:ascii="Inter" w:hAnsi="Inter" w:eastAsia="Inter"/>
                <w:b/>
                <w:color w:val="FFFFFF"/>
                <w:sz w:val="16"/>
              </w:rPr>
              <w:t>Arbeitsfrage / Eintrag</w:t>
            </w:r>
          </w:p>
        </w:tc>
      </w:tr>
      <w:tr>
        <w:trPr>
          <w:cantSplit/>
        </w:trPr>
        <w:tc>
          <w:tcPr>
            <w:tcW w:type="dxa" w:w="230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1 · Entscheidung</w:t>
            </w:r>
          </w:p>
        </w:tc>
        <w:tc>
          <w:tcPr>
            <w:tcW w:type="dxa" w:w="72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 Entscheidung oder Zustandsveränderung soll ermöglicht werden?</w:t>
            </w:r>
          </w:p>
        </w:tc>
      </w:tr>
      <w:tr>
        <w:trPr>
          <w:cantSplit/>
        </w:trPr>
        <w:tc>
          <w:tcPr>
            <w:tcW w:type="dxa" w:w="2304"/>
            <w:shd w:fill="FFFFFF"/>
            <w:tcMar>
              <w:top w:w="75" w:type="dxa"/>
              <w:start w:w="90" w:type="dxa"/>
              <w:bottom w:w="75" w:type="dxa"/>
              <w:end w:w="90" w:type="dxa"/>
            </w:tcMar>
            <w:vAlign w:val="top"/>
          </w:tcPr>
          <w:p>
            <w:r>
              <w:t>2 · Effizienz &amp; Werkzeuge</w:t>
            </w:r>
          </w:p>
        </w:tc>
        <w:tc>
          <w:tcPr>
            <w:tcW w:type="dxa" w:w="7200"/>
            <w:shd w:fill="FFFFFF"/>
            <w:tcMar>
              <w:top w:w="75" w:type="dxa"/>
              <w:start w:w="90" w:type="dxa"/>
              <w:bottom w:w="75" w:type="dxa"/>
              <w:end w:w="90" w:type="dxa"/>
            </w:tcMar>
            <w:vAlign w:val="top"/>
          </w:tcPr>
          <w:p>
            <w:r>
              <w:t>Welche Erfahrung, Methoden, Daten und KI-Werkzeuge verkürzen den Aufwand; welche Vorleistungen und Qualitätskontrollen stecken darin; wie werden Produktivitätsgewinne fair geteilt?</w:t>
            </w:r>
          </w:p>
        </w:tc>
      </w:tr>
      <w:tr>
        <w:trPr>
          <w:cantSplit/>
        </w:trPr>
        <w:tc>
          <w:tcPr>
            <w:tcW w:type="dxa" w:w="2304"/>
            <w:shd w:fill="F4F6F5"/>
            <w:tcMar>
              <w:top w:w="75" w:type="dxa"/>
              <w:start w:w="90" w:type="dxa"/>
              <w:bottom w:w="75" w:type="dxa"/>
              <w:end w:w="90" w:type="dxa"/>
            </w:tcMar>
            <w:vAlign w:val="top"/>
          </w:tcPr>
          <w:p>
            <w:r>
              <w:t>3 · Baseline</w:t>
            </w:r>
          </w:p>
        </w:tc>
        <w:tc>
          <w:tcPr>
            <w:tcW w:type="dxa" w:w="72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Wie sieht der Ausgangszustand aus; welche Datenqualität liegt vor?</w:t>
            </w:r>
          </w:p>
        </w:tc>
      </w:tr>
      <w:tr>
        <w:trPr>
          <w:cantSplit/>
        </w:trPr>
        <w:tc>
          <w:tcPr>
            <w:tcW w:type="dxa" w:w="2304"/>
            <w:shd w:fill="FFFFFF"/>
            <w:tcMar>
              <w:top w:w="75" w:type="dxa"/>
              <w:start w:w="90" w:type="dxa"/>
              <w:bottom w:w="75" w:type="dxa"/>
              <w:end w:w="90" w:type="dxa"/>
            </w:tcMar>
            <w:vAlign w:val="top"/>
          </w:tcPr>
          <w:p>
            <w:r>
              <w:t>4 · Alternative</w:t>
            </w:r>
          </w:p>
        </w:tc>
        <w:tc>
          <w:tcPr>
            <w:tcW w:type="dxa" w:w="72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Was geschieht ohne Leistung oder mit der nächstbesten Alternative?</w:t>
            </w:r>
          </w:p>
        </w:tc>
      </w:tr>
      <w:tr>
        <w:trPr>
          <w:cantSplit/>
        </w:trPr>
        <w:tc>
          <w:tcPr>
            <w:tcW w:type="dxa" w:w="2304"/>
            <w:shd w:fill="F4F6F5"/>
            <w:tcMar>
              <w:top w:w="75" w:type="dxa"/>
              <w:start w:w="90" w:type="dxa"/>
              <w:bottom w:w="75" w:type="dxa"/>
              <w:end w:w="90" w:type="dxa"/>
            </w:tcMar>
            <w:vAlign w:val="top"/>
          </w:tcPr>
          <w:p>
            <w:r>
              <w:t>5 · Wertpfade</w:t>
            </w:r>
          </w:p>
        </w:tc>
        <w:tc>
          <w:tcPr>
            <w:tcW w:type="dxa" w:w="72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 Mechanismen erzeugen Kundenwert; welche Komponenten sind monetär?</w:t>
            </w:r>
          </w:p>
        </w:tc>
      </w:tr>
      <w:tr>
        <w:trPr>
          <w:cantSplit/>
        </w:trPr>
        <w:tc>
          <w:tcPr>
            <w:tcW w:type="dxa" w:w="2304"/>
            <w:shd w:fill="FFFFFF"/>
            <w:tcMar>
              <w:top w:w="75" w:type="dxa"/>
              <w:start w:w="90" w:type="dxa"/>
              <w:bottom w:w="75" w:type="dxa"/>
              <w:end w:w="90" w:type="dxa"/>
            </w:tcMar>
            <w:vAlign w:val="top"/>
          </w:tcPr>
          <w:p>
            <w:r>
              <w:t>6 · Zurechnung</w:t>
            </w:r>
          </w:p>
        </w:tc>
        <w:tc>
          <w:tcPr>
            <w:tcW w:type="dxa" w:w="72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Welcher Beitrag ist dem Anbieter, Kunden und Dritten zuzuordnen?</w:t>
            </w:r>
          </w:p>
        </w:tc>
      </w:tr>
      <w:tr>
        <w:trPr>
          <w:cantSplit/>
        </w:trPr>
        <w:tc>
          <w:tcPr>
            <w:tcW w:type="dxa" w:w="2304"/>
            <w:shd w:fill="F4F6F5"/>
            <w:tcMar>
              <w:top w:w="75" w:type="dxa"/>
              <w:start w:w="90" w:type="dxa"/>
              <w:bottom w:w="75" w:type="dxa"/>
              <w:end w:w="90" w:type="dxa"/>
            </w:tcMar>
            <w:vAlign w:val="top"/>
          </w:tcPr>
          <w:p>
            <w:r>
              <w:t>7 · Wirkungspfade</w:t>
            </w:r>
          </w:p>
        </w:tc>
        <w:tc>
          <w:tcPr>
            <w:tcW w:type="dxa" w:w="72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Wer ist betroffen; welche KII, WÖk-IDs und roten Linien gelten?</w:t>
            </w:r>
          </w:p>
        </w:tc>
      </w:tr>
      <w:tr>
        <w:trPr>
          <w:cantSplit/>
        </w:trPr>
        <w:tc>
          <w:tcPr>
            <w:tcW w:type="dxa" w:w="2304"/>
            <w:shd w:fill="FFFFFF"/>
            <w:tcMar>
              <w:top w:w="75" w:type="dxa"/>
              <w:start w:w="90" w:type="dxa"/>
              <w:bottom w:w="75" w:type="dxa"/>
              <w:end w:w="90" w:type="dxa"/>
            </w:tcMar>
            <w:vAlign w:val="top"/>
          </w:tcPr>
          <w:p>
            <w:r>
              <w:t>8 · Preiskorridor</w:t>
            </w:r>
          </w:p>
        </w:tc>
        <w:tc>
          <w:tcPr>
            <w:tcW w:type="dxa" w:w="72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Untergrenze, Wertgrenze, Kundensurplus und faire Teilung.</w:t>
            </w:r>
          </w:p>
        </w:tc>
      </w:tr>
      <w:tr>
        <w:trPr>
          <w:cantSplit/>
        </w:trPr>
        <w:tc>
          <w:tcPr>
            <w:tcW w:type="dxa" w:w="2304"/>
            <w:shd w:fill="F4F6F5"/>
            <w:tcMar>
              <w:top w:w="75" w:type="dxa"/>
              <w:start w:w="90" w:type="dxa"/>
              <w:bottom w:w="75" w:type="dxa"/>
              <w:end w:w="90" w:type="dxa"/>
            </w:tcMar>
            <w:vAlign w:val="top"/>
          </w:tcPr>
          <w:p>
            <w:r>
              <w:t>9 · Vertrag</w:t>
            </w:r>
          </w:p>
        </w:tc>
        <w:tc>
          <w:tcPr>
            <w:tcW w:type="dxa" w:w="72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Fest, Meilenstein, Outcome, Gainsharing oder Multi-Payer?</w:t>
            </w:r>
          </w:p>
        </w:tc>
      </w:tr>
      <w:tr>
        <w:trPr>
          <w:cantSplit/>
        </w:trPr>
        <w:tc>
          <w:tcPr>
            <w:tcW w:type="dxa" w:w="2304"/>
            <w:shd w:fill="FFFFFF"/>
            <w:tcMar>
              <w:top w:w="75" w:type="dxa"/>
              <w:start w:w="90" w:type="dxa"/>
              <w:bottom w:w="75" w:type="dxa"/>
              <w:end w:w="90" w:type="dxa"/>
            </w:tcMar>
            <w:vAlign w:val="top"/>
          </w:tcPr>
          <w:p>
            <w:r>
              <w:t>10 · Evidenz</w:t>
            </w:r>
          </w:p>
        </w:tc>
        <w:tc>
          <w:tcPr>
            <w:tcW w:type="dxa" w:w="720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6"/>
              </w:rPr>
              <w:t>Datenquellen, Messplan, Unsicherheit, Assurance und Review.</w:t>
            </w:r>
          </w:p>
        </w:tc>
      </w:tr>
      <w:tr>
        <w:trPr>
          <w:cantSplit/>
        </w:trPr>
        <w:tc>
          <w:tcPr>
            <w:tcW w:type="dxa" w:w="2304"/>
            <w:shd w:fill="F4F6F5"/>
            <w:tcMar>
              <w:top w:w="75" w:type="dxa"/>
              <w:start w:w="90" w:type="dxa"/>
              <w:bottom w:w="75" w:type="dxa"/>
              <w:end w:w="90" w:type="dxa"/>
            </w:tcMar>
            <w:vAlign w:val="top"/>
          </w:tcPr>
          <w:p>
            <w:r>
              <w:t>11 · Lernen</w:t>
            </w:r>
          </w:p>
        </w:tc>
        <w:tc>
          <w:tcPr>
            <w:tcW w:type="dxa" w:w="720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6"/>
              </w:rPr>
              <w:t>Welche Erkenntnisse werden versioniert und in Portfolio/Preis zurückgeführt?</w:t>
            </w:r>
          </w:p>
        </w:tc>
      </w:tr>
    </w:tbl>
    <w:p>
      <w:pPr>
        <w:widowControl/>
        <w:spacing w:after="0"/>
      </w:pPr>
    </w:p>
    <w:p>
      <w:pPr>
        <w:pStyle w:val="Heading2"/>
        <w:widowControl/>
      </w:pPr>
      <w:r>
        <w:t>Leitfragen zum Canvas</w:t>
      </w:r>
    </w:p>
    <w:p>
      <w:pPr>
        <w:pStyle w:val="Heading3"/>
        <w:widowControl/>
      </w:pPr>
      <w:r>
        <w:t>1. Entscheidung</w:t>
      </w:r>
    </w:p>
    <w:p>
      <w:pPr>
        <w:pStyle w:val="ListBullet"/>
        <w:widowControl/>
        <w:spacing w:after="50" w:line="259" w:lineRule="auto"/>
        <w:ind w:left="369" w:hanging="170"/>
      </w:pPr>
      <w:r>
        <w:rPr>
          <w:rFonts w:ascii="Inter" w:hAnsi="Inter" w:eastAsia="Inter"/>
          <w:color w:val="182026"/>
          <w:sz w:val="18"/>
        </w:rPr>
        <w:t>Welche konkrete Entscheidung oder Veränderung soll die Leistung ermöglichen?</w:t>
      </w:r>
    </w:p>
    <w:p>
      <w:pPr>
        <w:pStyle w:val="ListBullet"/>
        <w:widowControl/>
        <w:spacing w:after="50" w:line="259" w:lineRule="auto"/>
        <w:ind w:left="369" w:hanging="170"/>
      </w:pPr>
      <w:r>
        <w:rPr>
          <w:rFonts w:ascii="Inter" w:hAnsi="Inter" w:eastAsia="Inter"/>
          <w:color w:val="182026"/>
          <w:sz w:val="18"/>
        </w:rPr>
        <w:t>Wer entscheidet, wer nutzt, wer ist betroffen?</w:t>
      </w:r>
    </w:p>
    <w:p>
      <w:pPr>
        <w:pStyle w:val="ListBullet"/>
        <w:widowControl/>
        <w:spacing w:after="50" w:line="259" w:lineRule="auto"/>
        <w:ind w:left="369" w:hanging="170"/>
      </w:pPr>
      <w:r>
        <w:rPr>
          <w:rFonts w:ascii="Inter" w:hAnsi="Inter" w:eastAsia="Inter"/>
          <w:color w:val="182026"/>
          <w:sz w:val="18"/>
        </w:rPr>
        <w:t>Was passiert, wenn keine Beauftragung erfolgt?</w:t>
      </w:r>
    </w:p>
    <w:p>
      <w:pPr>
        <w:pStyle w:val="Heading3"/>
        <w:widowControl/>
      </w:pPr>
      <w:r>
        <w:t>2. Effizienz und Werkzeuge</w:t>
      </w:r>
    </w:p>
    <w:p>
      <w:pPr>
        <w:pStyle w:val="ListBullet"/>
        <w:widowControl/>
        <w:spacing w:after="50" w:line="259" w:lineRule="auto"/>
        <w:ind w:left="369" w:hanging="170"/>
      </w:pPr>
      <w:r>
        <w:rPr>
          <w:rFonts w:ascii="Inter" w:hAnsi="Inter" w:eastAsia="Inter"/>
          <w:color w:val="182026"/>
          <w:sz w:val="18"/>
        </w:rPr>
        <w:t>Welche Erfahrung, Methode, Daten und KI-Werkzeuge verkürzen den Aufwand?</w:t>
      </w:r>
    </w:p>
    <w:p>
      <w:pPr>
        <w:pStyle w:val="ListBullet"/>
        <w:widowControl/>
        <w:spacing w:after="50" w:line="259" w:lineRule="auto"/>
        <w:ind w:left="369" w:hanging="170"/>
      </w:pPr>
      <w:r>
        <w:rPr>
          <w:rFonts w:ascii="Inter" w:hAnsi="Inter" w:eastAsia="Inter"/>
          <w:color w:val="182026"/>
          <w:sz w:val="18"/>
        </w:rPr>
        <w:t>Welche Vorleistungen und Qualitätssicherung sind darin enthalten?</w:t>
      </w:r>
    </w:p>
    <w:p>
      <w:pPr>
        <w:pStyle w:val="ListBullet"/>
        <w:widowControl/>
        <w:spacing w:after="50" w:line="259" w:lineRule="auto"/>
        <w:ind w:left="369" w:hanging="170"/>
      </w:pPr>
      <w:r>
        <w:rPr>
          <w:rFonts w:ascii="Inter" w:hAnsi="Inter" w:eastAsia="Inter"/>
          <w:color w:val="182026"/>
          <w:sz w:val="18"/>
        </w:rPr>
        <w:t>Welche Produktivitätsgewinne entstehen und wie werden sie geteilt?</w:t>
      </w:r>
    </w:p>
    <w:p>
      <w:pPr>
        <w:pStyle w:val="ListBullet"/>
        <w:widowControl/>
        <w:spacing w:after="50" w:line="259" w:lineRule="auto"/>
        <w:ind w:left="369" w:hanging="170"/>
      </w:pPr>
      <w:r>
        <w:rPr>
          <w:rFonts w:ascii="Inter" w:hAnsi="Inter" w:eastAsia="Inter"/>
          <w:color w:val="182026"/>
          <w:sz w:val="18"/>
        </w:rPr>
        <w:t>Wird die Leistung durch Automatisierung zur Standardware oder bleibt sie differenziert?</w:t>
      </w:r>
    </w:p>
    <w:p>
      <w:pPr>
        <w:pStyle w:val="Heading3"/>
        <w:widowControl/>
      </w:pPr>
      <w:r>
        <w:t>3. Referenzalternative</w:t>
      </w:r>
    </w:p>
    <w:p>
      <w:pPr>
        <w:pStyle w:val="ListBullet"/>
        <w:widowControl/>
        <w:spacing w:after="50" w:line="259" w:lineRule="auto"/>
        <w:ind w:left="369" w:hanging="170"/>
      </w:pPr>
      <w:r>
        <w:rPr>
          <w:rFonts w:ascii="Inter" w:hAnsi="Inter" w:eastAsia="Inter"/>
          <w:color w:val="182026"/>
          <w:sz w:val="18"/>
        </w:rPr>
        <w:t>Welche realistische Alternative hat der Kunde?</w:t>
      </w:r>
    </w:p>
    <w:p>
      <w:pPr>
        <w:pStyle w:val="ListBullet"/>
        <w:widowControl/>
        <w:spacing w:after="50" w:line="259" w:lineRule="auto"/>
        <w:ind w:left="369" w:hanging="170"/>
      </w:pPr>
      <w:r>
        <w:rPr>
          <w:rFonts w:ascii="Inter" w:hAnsi="Inter" w:eastAsia="Inter"/>
          <w:color w:val="182026"/>
          <w:sz w:val="18"/>
        </w:rPr>
        <w:t>Wie entwickelt sich der Status quo ohne Intervention?</w:t>
      </w:r>
    </w:p>
    <w:p>
      <w:pPr>
        <w:pStyle w:val="ListBullet"/>
        <w:widowControl/>
        <w:spacing w:after="50" w:line="259" w:lineRule="auto"/>
        <w:ind w:left="369" w:hanging="170"/>
      </w:pPr>
      <w:r>
        <w:rPr>
          <w:rFonts w:ascii="Inter" w:hAnsi="Inter" w:eastAsia="Inter"/>
          <w:color w:val="182026"/>
          <w:sz w:val="18"/>
        </w:rPr>
        <w:t>Welche eigenen Maßnahmen oder Parallelprojekte wirken ebenfalls?</w:t>
      </w:r>
    </w:p>
    <w:p>
      <w:pPr>
        <w:pStyle w:val="Heading3"/>
        <w:widowControl/>
      </w:pPr>
      <w:r>
        <w:t>4. Kundenwert</w:t>
      </w:r>
    </w:p>
    <w:p>
      <w:pPr>
        <w:pStyle w:val="ListBullet"/>
        <w:widowControl/>
        <w:spacing w:after="50" w:line="259" w:lineRule="auto"/>
        <w:ind w:left="369" w:hanging="170"/>
      </w:pPr>
      <w:r>
        <w:rPr>
          <w:rFonts w:ascii="Inter" w:hAnsi="Inter" w:eastAsia="Inter"/>
          <w:color w:val="182026"/>
          <w:sz w:val="18"/>
        </w:rPr>
        <w:t>Welche Erlös-, Kosten-, Risiko-, Kapital-, Qualitäts-, Zeit-, Options- oder Fähigkeitswerte entstehen?</w:t>
      </w:r>
    </w:p>
    <w:p>
      <w:pPr>
        <w:pStyle w:val="ListBullet"/>
        <w:widowControl/>
        <w:spacing w:after="50" w:line="259" w:lineRule="auto"/>
        <w:ind w:left="369" w:hanging="170"/>
      </w:pPr>
      <w:r>
        <w:rPr>
          <w:rFonts w:ascii="Inter" w:hAnsi="Inter" w:eastAsia="Inter"/>
          <w:color w:val="182026"/>
          <w:sz w:val="18"/>
        </w:rPr>
        <w:t>Welche Nutzen sind wiederkehrend, einmalig oder nur potenziell?</w:t>
      </w:r>
    </w:p>
    <w:p>
      <w:pPr>
        <w:pStyle w:val="ListBullet"/>
        <w:widowControl/>
        <w:spacing w:after="50" w:line="259" w:lineRule="auto"/>
        <w:ind w:left="369" w:hanging="170"/>
      </w:pPr>
      <w:r>
        <w:rPr>
          <w:rFonts w:ascii="Inter" w:hAnsi="Inter" w:eastAsia="Inter"/>
          <w:color w:val="182026"/>
          <w:sz w:val="18"/>
        </w:rPr>
        <w:t>Welche kundenseitigen Kosten und negativen Effekte entstehen?</w:t>
      </w:r>
    </w:p>
    <w:p>
      <w:pPr>
        <w:pStyle w:val="Heading3"/>
        <w:widowControl/>
      </w:pPr>
      <w:r>
        <w:t>5. Zurechnung</w:t>
      </w:r>
    </w:p>
    <w:p>
      <w:pPr>
        <w:pStyle w:val="ListBullet"/>
        <w:widowControl/>
        <w:spacing w:after="50" w:line="259" w:lineRule="auto"/>
        <w:ind w:left="369" w:hanging="170"/>
      </w:pPr>
      <w:r>
        <w:rPr>
          <w:rFonts w:ascii="Inter" w:hAnsi="Inter" w:eastAsia="Inter"/>
          <w:color w:val="182026"/>
          <w:sz w:val="18"/>
        </w:rPr>
        <w:t>Welchen Beitrag leistet der Anbieter?</w:t>
      </w:r>
    </w:p>
    <w:p>
      <w:pPr>
        <w:pStyle w:val="ListBullet"/>
        <w:widowControl/>
        <w:spacing w:after="50" w:line="259" w:lineRule="auto"/>
        <w:ind w:left="369" w:hanging="170"/>
      </w:pPr>
      <w:r>
        <w:rPr>
          <w:rFonts w:ascii="Inter" w:hAnsi="Inter" w:eastAsia="Inter"/>
          <w:color w:val="182026"/>
          <w:sz w:val="18"/>
        </w:rPr>
        <w:t>Welche Beiträge kommen vom Kunden oder Dritten?</w:t>
      </w:r>
    </w:p>
    <w:p>
      <w:pPr>
        <w:pStyle w:val="ListBullet"/>
        <w:widowControl/>
        <w:spacing w:after="50" w:line="259" w:lineRule="auto"/>
        <w:ind w:left="369" w:hanging="170"/>
      </w:pPr>
      <w:r>
        <w:rPr>
          <w:rFonts w:ascii="Inter" w:hAnsi="Inter" w:eastAsia="Inter"/>
          <w:color w:val="182026"/>
          <w:sz w:val="18"/>
        </w:rPr>
        <w:t>Welche Evidenz liegt vor?</w:t>
      </w:r>
    </w:p>
    <w:p>
      <w:pPr>
        <w:pStyle w:val="ListBullet"/>
        <w:widowControl/>
        <w:spacing w:after="50" w:line="259" w:lineRule="auto"/>
        <w:ind w:left="369" w:hanging="170"/>
      </w:pPr>
      <w:r>
        <w:rPr>
          <w:rFonts w:ascii="Inter" w:hAnsi="Inter" w:eastAsia="Inter"/>
          <w:color w:val="182026"/>
          <w:sz w:val="18"/>
        </w:rPr>
        <w:t>Welche Unsicherheit bleibt?</w:t>
      </w:r>
    </w:p>
    <w:p>
      <w:pPr>
        <w:pStyle w:val="Heading3"/>
        <w:widowControl/>
      </w:pPr>
      <w:r>
        <w:t>6. Wirkung</w:t>
      </w:r>
    </w:p>
    <w:p>
      <w:pPr>
        <w:pStyle w:val="ListBullet"/>
        <w:widowControl/>
        <w:spacing w:after="50" w:line="259" w:lineRule="auto"/>
        <w:ind w:left="369" w:hanging="170"/>
      </w:pPr>
      <w:r>
        <w:rPr>
          <w:rFonts w:ascii="Inter" w:hAnsi="Inter" w:eastAsia="Inter"/>
          <w:color w:val="182026"/>
          <w:sz w:val="18"/>
        </w:rPr>
        <w:t>Welche Wirkungsempfänger und Wirkungsfelder sind wesentlich?</w:t>
      </w:r>
    </w:p>
    <w:p>
      <w:pPr>
        <w:pStyle w:val="ListBullet"/>
        <w:widowControl/>
        <w:spacing w:after="50" w:line="259" w:lineRule="auto"/>
        <w:ind w:left="369" w:hanging="170"/>
      </w:pPr>
      <w:r>
        <w:rPr>
          <w:rFonts w:ascii="Inter" w:hAnsi="Inter" w:eastAsia="Inter"/>
          <w:color w:val="182026"/>
          <w:sz w:val="18"/>
        </w:rPr>
        <w:t>Welche KII und WÖk-IDs passen?</w:t>
      </w:r>
    </w:p>
    <w:p>
      <w:pPr>
        <w:pStyle w:val="ListBullet"/>
        <w:widowControl/>
        <w:spacing w:after="50" w:line="259" w:lineRule="auto"/>
        <w:ind w:left="369" w:hanging="170"/>
      </w:pPr>
      <w:r>
        <w:rPr>
          <w:rFonts w:ascii="Inter" w:hAnsi="Inter" w:eastAsia="Inter"/>
          <w:color w:val="182026"/>
          <w:sz w:val="18"/>
        </w:rPr>
        <w:t>Gibt es rote Linien oder nichtkompensierbare Risiken?</w:t>
      </w:r>
    </w:p>
    <w:p>
      <w:pPr>
        <w:pStyle w:val="ListBullet"/>
        <w:widowControl/>
        <w:spacing w:after="50" w:line="259" w:lineRule="auto"/>
        <w:ind w:left="369" w:hanging="170"/>
      </w:pPr>
      <w:r>
        <w:rPr>
          <w:rFonts w:ascii="Inter" w:hAnsi="Inter" w:eastAsia="Inter"/>
          <w:color w:val="182026"/>
          <w:sz w:val="18"/>
        </w:rPr>
        <w:t>Wie wird positive Netto-Wirkung nachgewiesen?</w:t>
      </w:r>
    </w:p>
    <w:p>
      <w:pPr>
        <w:pStyle w:val="Heading3"/>
        <w:widowControl/>
      </w:pPr>
      <w:r>
        <w:t>7. Preis und Vertrag</w:t>
      </w:r>
    </w:p>
    <w:p>
      <w:pPr>
        <w:pStyle w:val="ListBullet"/>
        <w:widowControl/>
        <w:spacing w:after="50" w:line="259" w:lineRule="auto"/>
        <w:ind w:left="369" w:hanging="170"/>
      </w:pPr>
      <w:r>
        <w:rPr>
          <w:rFonts w:ascii="Inter" w:hAnsi="Inter" w:eastAsia="Inter"/>
          <w:color w:val="182026"/>
          <w:sz w:val="18"/>
        </w:rPr>
        <w:t>Wo liegt die tragfähige Untergrenze?</w:t>
      </w:r>
    </w:p>
    <w:p>
      <w:pPr>
        <w:pStyle w:val="ListBullet"/>
        <w:widowControl/>
        <w:spacing w:after="50" w:line="259" w:lineRule="auto"/>
        <w:ind w:left="369" w:hanging="170"/>
      </w:pPr>
      <w:r>
        <w:rPr>
          <w:rFonts w:ascii="Inter" w:hAnsi="Inter" w:eastAsia="Inter"/>
          <w:color w:val="182026"/>
          <w:sz w:val="18"/>
        </w:rPr>
        <w:t>Welcher Wertkorridor ist plausibel?</w:t>
      </w:r>
    </w:p>
    <w:p>
      <w:pPr>
        <w:pStyle w:val="ListBullet"/>
        <w:widowControl/>
        <w:spacing w:after="50" w:line="259" w:lineRule="auto"/>
        <w:ind w:left="369" w:hanging="170"/>
      </w:pPr>
      <w:r>
        <w:rPr>
          <w:rFonts w:ascii="Inter" w:hAnsi="Inter" w:eastAsia="Inter"/>
          <w:color w:val="182026"/>
          <w:sz w:val="18"/>
        </w:rPr>
        <w:t>Welcher feste und variable Anteil ist angemessen?</w:t>
      </w:r>
    </w:p>
    <w:p>
      <w:pPr>
        <w:pStyle w:val="ListBullet"/>
        <w:widowControl/>
        <w:spacing w:after="50" w:line="259" w:lineRule="auto"/>
        <w:ind w:left="369" w:hanging="170"/>
      </w:pPr>
      <w:r>
        <w:rPr>
          <w:rFonts w:ascii="Inter" w:hAnsi="Inter" w:eastAsia="Inter"/>
          <w:color w:val="182026"/>
          <w:sz w:val="18"/>
        </w:rPr>
        <w:t>Wer finanziert private und systemische Nutzen?</w:t>
      </w:r>
    </w:p>
    <w:p>
      <w:pPr>
        <w:pStyle w:val="Heading3"/>
        <w:widowControl/>
      </w:pPr>
      <w:r>
        <w:t>8. Lernen</w:t>
      </w:r>
    </w:p>
    <w:p>
      <w:pPr>
        <w:pStyle w:val="ListBullet"/>
        <w:widowControl/>
        <w:spacing w:after="50" w:line="259" w:lineRule="auto"/>
        <w:ind w:left="369" w:hanging="170"/>
      </w:pPr>
      <w:r>
        <w:rPr>
          <w:rFonts w:ascii="Inter" w:hAnsi="Inter" w:eastAsia="Inter"/>
          <w:color w:val="182026"/>
          <w:sz w:val="18"/>
        </w:rPr>
        <w:t>Was wird wann überprüft?</w:t>
      </w:r>
    </w:p>
    <w:p>
      <w:pPr>
        <w:pStyle w:val="ListBullet"/>
        <w:widowControl/>
        <w:spacing w:after="50" w:line="259" w:lineRule="auto"/>
        <w:ind w:left="369" w:hanging="170"/>
      </w:pPr>
      <w:r>
        <w:rPr>
          <w:rFonts w:ascii="Inter" w:hAnsi="Inter" w:eastAsia="Inter"/>
          <w:color w:val="182026"/>
          <w:sz w:val="18"/>
        </w:rPr>
        <w:t>Welche Daten werden für Folgeangebote gespeichert?</w:t>
      </w:r>
    </w:p>
    <w:p>
      <w:pPr>
        <w:pStyle w:val="ListBullet"/>
        <w:widowControl/>
        <w:spacing w:after="50" w:line="259" w:lineRule="auto"/>
        <w:ind w:left="369" w:hanging="170"/>
      </w:pPr>
      <w:r>
        <w:rPr>
          <w:rFonts w:ascii="Inter" w:hAnsi="Inter" w:eastAsia="Inter"/>
          <w:color w:val="182026"/>
          <w:sz w:val="18"/>
        </w:rPr>
        <w:t>Wie werden Fehler, Annahmen und Benchmarks aktualisiert?</w:t>
      </w:r>
    </w:p>
    <w:p>
      <w:pPr>
        <w:pStyle w:val="Heading1"/>
        <w:widowControl/>
        <w:pBdr>
          <w:bottom w:val="single" w:sz="10" w:space="6" w:color="C99A43"/>
        </w:pBdr>
      </w:pPr>
      <w:r>
        <w:t>Anhang B: Vorlage Kundenwertrechnung</w:t>
      </w:r>
    </w:p>
    <w:tbl>
      <w:tblPr>
        <w:tblStyle w:val="TableGrid"/>
        <w:tblW w:type="auto" w:w="0"/>
        <w:jc w:val="center"/>
        <w:tblLayout w:type="fixed"/>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584"/>
            <w:shd w:fill="163F3D"/>
            <w:tcMar>
              <w:top w:w="100" w:type="dxa"/>
              <w:start w:w="100" w:type="dxa"/>
              <w:bottom w:w="100" w:type="dxa"/>
              <w:end w:w="100" w:type="dxa"/>
            </w:tcMar>
          </w:tcPr>
          <w:p>
            <w:pPr>
              <w:widowControl/>
              <w:jc w:val="left"/>
            </w:pPr>
            <w:r>
              <w:rPr>
                <w:rFonts w:ascii="Inter" w:hAnsi="Inter" w:eastAsia="Inter"/>
                <w:b/>
                <w:color w:val="FFFFFF"/>
                <w:sz w:val="13"/>
              </w:rPr>
              <w:t>Wertpfad</w:t>
            </w:r>
          </w:p>
        </w:tc>
        <w:tc>
          <w:tcPr>
            <w:tcW w:type="dxa" w:w="1655"/>
            <w:shd w:fill="163F3D"/>
            <w:tcMar>
              <w:top w:w="100" w:type="dxa"/>
              <w:start w:w="100" w:type="dxa"/>
              <w:bottom w:w="100" w:type="dxa"/>
              <w:end w:w="100" w:type="dxa"/>
            </w:tcMar>
          </w:tcPr>
          <w:p>
            <w:pPr>
              <w:widowControl/>
              <w:jc w:val="left"/>
            </w:pPr>
            <w:r>
              <w:rPr>
                <w:rFonts w:ascii="Inter" w:hAnsi="Inter" w:eastAsia="Inter"/>
                <w:b/>
                <w:color w:val="FFFFFF"/>
                <w:sz w:val="13"/>
              </w:rPr>
              <w:t>Baseline / Alternative</w:t>
            </w:r>
          </w:p>
        </w:tc>
        <w:tc>
          <w:tcPr>
            <w:tcW w:type="dxa" w:w="1296"/>
            <w:shd w:fill="163F3D"/>
            <w:tcMar>
              <w:top w:w="100" w:type="dxa"/>
              <w:start w:w="100" w:type="dxa"/>
              <w:bottom w:w="100" w:type="dxa"/>
              <w:end w:w="100" w:type="dxa"/>
            </w:tcMar>
          </w:tcPr>
          <w:p>
            <w:pPr>
              <w:widowControl/>
              <w:jc w:val="left"/>
            </w:pPr>
            <w:r>
              <w:rPr>
                <w:rFonts w:ascii="Inter" w:hAnsi="Inter" w:eastAsia="Inter"/>
                <w:b/>
                <w:color w:val="FFFFFF"/>
                <w:sz w:val="13"/>
              </w:rPr>
              <w:t>Messgröße</w:t>
            </w:r>
          </w:p>
        </w:tc>
        <w:tc>
          <w:tcPr>
            <w:tcW w:type="dxa" w:w="1080"/>
            <w:shd w:fill="163F3D"/>
            <w:tcMar>
              <w:top w:w="100" w:type="dxa"/>
              <w:start w:w="100" w:type="dxa"/>
              <w:bottom w:w="100" w:type="dxa"/>
              <w:end w:w="100" w:type="dxa"/>
            </w:tcMar>
          </w:tcPr>
          <w:p>
            <w:pPr>
              <w:widowControl/>
              <w:jc w:val="left"/>
            </w:pPr>
            <w:r>
              <w:rPr>
                <w:rFonts w:ascii="Inter" w:hAnsi="Inter" w:eastAsia="Inter"/>
                <w:b/>
                <w:color w:val="FFFFFF"/>
                <w:sz w:val="13"/>
              </w:rPr>
              <w:t>Bruttowert</w:t>
            </w:r>
          </w:p>
        </w:tc>
        <w:tc>
          <w:tcPr>
            <w:tcW w:type="dxa" w:w="1080"/>
            <w:shd w:fill="163F3D"/>
            <w:tcMar>
              <w:top w:w="100" w:type="dxa"/>
              <w:start w:w="100" w:type="dxa"/>
              <w:bottom w:w="100" w:type="dxa"/>
              <w:end w:w="100" w:type="dxa"/>
            </w:tcMar>
          </w:tcPr>
          <w:p>
            <w:pPr>
              <w:widowControl/>
              <w:jc w:val="left"/>
            </w:pPr>
            <w:r>
              <w:rPr>
                <w:rFonts w:ascii="Inter" w:hAnsi="Inter" w:eastAsia="Inter"/>
                <w:b/>
                <w:color w:val="FFFFFF"/>
                <w:sz w:val="13"/>
              </w:rPr>
              <w:t>Kundenkosten</w:t>
            </w:r>
          </w:p>
        </w:tc>
        <w:tc>
          <w:tcPr>
            <w:tcW w:type="dxa" w:w="1007"/>
            <w:shd w:fill="163F3D"/>
            <w:tcMar>
              <w:top w:w="100" w:type="dxa"/>
              <w:start w:w="100" w:type="dxa"/>
              <w:bottom w:w="100" w:type="dxa"/>
              <w:end w:w="100" w:type="dxa"/>
            </w:tcMar>
          </w:tcPr>
          <w:p>
            <w:pPr>
              <w:widowControl/>
              <w:jc w:val="left"/>
            </w:pPr>
            <w:r>
              <w:rPr>
                <w:rFonts w:ascii="Inter" w:hAnsi="Inter" w:eastAsia="Inter"/>
                <w:b/>
                <w:color w:val="FFFFFF"/>
                <w:sz w:val="13"/>
              </w:rPr>
              <w:t>Zurechnung</w:t>
            </w:r>
          </w:p>
        </w:tc>
        <w:tc>
          <w:tcPr>
            <w:tcW w:type="dxa" w:w="792"/>
            <w:shd w:fill="163F3D"/>
            <w:tcMar>
              <w:top w:w="100" w:type="dxa"/>
              <w:start w:w="100" w:type="dxa"/>
              <w:bottom w:w="100" w:type="dxa"/>
              <w:end w:w="100" w:type="dxa"/>
            </w:tcMar>
          </w:tcPr>
          <w:p>
            <w:pPr>
              <w:widowControl/>
              <w:jc w:val="left"/>
            </w:pPr>
            <w:r>
              <w:rPr>
                <w:rFonts w:ascii="Inter" w:hAnsi="Inter" w:eastAsia="Inter"/>
                <w:b/>
                <w:color w:val="FFFFFF"/>
                <w:sz w:val="13"/>
              </w:rPr>
              <w:t>Evidenz</w:t>
            </w:r>
          </w:p>
        </w:tc>
        <w:tc>
          <w:tcPr>
            <w:tcW w:type="dxa" w:w="1007"/>
            <w:shd w:fill="163F3D"/>
            <w:tcMar>
              <w:top w:w="100" w:type="dxa"/>
              <w:start w:w="100" w:type="dxa"/>
              <w:bottom w:w="100" w:type="dxa"/>
              <w:end w:w="100" w:type="dxa"/>
            </w:tcMar>
          </w:tcPr>
          <w:p>
            <w:pPr>
              <w:widowControl/>
              <w:jc w:val="left"/>
            </w:pPr>
            <w:r>
              <w:rPr>
                <w:rFonts w:ascii="Inter" w:hAnsi="Inter" w:eastAsia="Inter"/>
                <w:b/>
                <w:color w:val="FFFFFF"/>
                <w:sz w:val="13"/>
              </w:rPr>
              <w:t>Nettowert</w:t>
            </w:r>
          </w:p>
        </w:tc>
      </w:tr>
      <w:tr>
        <w:trPr>
          <w:cantSplit/>
        </w:trPr>
        <w:tc>
          <w:tcPr>
            <w:tcW w:type="dxa" w:w="158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Beispiel: Fehlerkosten</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Status quo / interne Verbesserung</w:t>
            </w:r>
          </w:p>
        </w:tc>
        <w:tc>
          <w:tcPr>
            <w:tcW w:type="dxa" w:w="129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 vermiedene Nacharbeit p.a.</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 %</w:t>
            </w:r>
          </w:p>
        </w:tc>
        <w:tc>
          <w:tcPr>
            <w:tcW w:type="dxa" w:w="79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E0-E4</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58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Beispiel: Zeitwert</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Einführung 6 Monate später</w:t>
            </w:r>
          </w:p>
        </w:tc>
        <w:tc>
          <w:tcPr>
            <w:tcW w:type="dxa" w:w="129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früherer Deckungsbeitrag / Option</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 %</w:t>
            </w:r>
          </w:p>
        </w:tc>
        <w:tc>
          <w:tcPr>
            <w:tcW w:type="dxa" w:w="79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E0-E4</w:t>
            </w:r>
          </w:p>
        </w:tc>
        <w:tc>
          <w:tcPr>
            <w:tcW w:type="dxa" w:w="1007"/>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58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Beispiel: Risiko</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erwarteter Schaden vorher/nachher</w:t>
            </w:r>
          </w:p>
        </w:tc>
        <w:tc>
          <w:tcPr>
            <w:tcW w:type="dxa" w:w="129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Wahrscheinlichkeit × Schaden</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 %</w:t>
            </w:r>
          </w:p>
        </w:tc>
        <w:tc>
          <w:tcPr>
            <w:tcW w:type="dxa" w:w="79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E0-E4</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584"/>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Eigener Pfad 1</w:t>
            </w:r>
          </w:p>
        </w:tc>
        <w:tc>
          <w:tcPr>
            <w:tcW w:type="dxa" w:w="1655"/>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79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584"/>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Eigener Pfad 2</w:t>
            </w:r>
          </w:p>
        </w:tc>
        <w:tc>
          <w:tcPr>
            <w:tcW w:type="dxa" w:w="1655"/>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79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bl>
    <w:p>
      <w:pPr>
        <w:widowControl/>
        <w:spacing w:after="0"/>
      </w:pPr>
    </w:p>
    <w:p>
      <w:pPr>
        <w:pStyle w:val="Heading2"/>
        <w:widowControl/>
      </w:pPr>
      <w:r>
        <w:t>Ausfüllhinweise</w:t>
      </w:r>
    </w:p>
    <w:p>
      <w:pPr>
        <w:pStyle w:val="ListBullet"/>
        <w:widowControl/>
        <w:spacing w:after="50" w:line="259" w:lineRule="auto"/>
        <w:ind w:left="369" w:hanging="170"/>
      </w:pPr>
      <w:r>
        <w:rPr>
          <w:rFonts w:ascii="Inter" w:hAnsi="Inter" w:eastAsia="Inter"/>
          <w:color w:val="182026"/>
          <w:sz w:val="18"/>
        </w:rPr>
        <w:t>Jede Zeile bildet einen eigenständigen Wertpfad ab.</w:t>
      </w:r>
    </w:p>
    <w:p>
      <w:pPr>
        <w:pStyle w:val="ListBullet"/>
        <w:widowControl/>
        <w:spacing w:after="50" w:line="259" w:lineRule="auto"/>
        <w:ind w:left="369" w:hanging="170"/>
      </w:pPr>
      <w:r>
        <w:rPr>
          <w:rFonts w:ascii="Inter" w:hAnsi="Inter" w:eastAsia="Inter"/>
          <w:color w:val="182026"/>
          <w:sz w:val="18"/>
        </w:rPr>
        <w:t>Umsatz wird nur als Deckungsbeitrag oder nach klarer Margenlogik bewertet.</w:t>
      </w:r>
    </w:p>
    <w:p>
      <w:pPr>
        <w:pStyle w:val="ListBullet"/>
        <w:widowControl/>
        <w:spacing w:after="50" w:line="259" w:lineRule="auto"/>
        <w:ind w:left="369" w:hanging="170"/>
      </w:pPr>
      <w:r>
        <w:rPr>
          <w:rFonts w:ascii="Inter" w:hAnsi="Inter" w:eastAsia="Inter"/>
          <w:color w:val="182026"/>
          <w:sz w:val="18"/>
        </w:rPr>
        <w:t>Zeitersparnis wird nicht automatisch als Personalkostensenkung gerechnet.</w:t>
      </w:r>
    </w:p>
    <w:p>
      <w:pPr>
        <w:pStyle w:val="ListBullet"/>
        <w:widowControl/>
        <w:spacing w:after="50" w:line="259" w:lineRule="auto"/>
        <w:ind w:left="369" w:hanging="170"/>
      </w:pPr>
      <w:r>
        <w:rPr>
          <w:rFonts w:ascii="Inter" w:hAnsi="Inter" w:eastAsia="Inter"/>
          <w:color w:val="182026"/>
          <w:sz w:val="18"/>
        </w:rPr>
        <w:t>Einmalige Liquiditätseffekte werden von wiederkehrendem Ergebnis getrennt.</w:t>
      </w:r>
    </w:p>
    <w:p>
      <w:pPr>
        <w:pStyle w:val="ListBullet"/>
        <w:widowControl/>
        <w:spacing w:after="50" w:line="259" w:lineRule="auto"/>
        <w:ind w:left="369" w:hanging="170"/>
      </w:pPr>
      <w:r>
        <w:rPr>
          <w:rFonts w:ascii="Inter" w:hAnsi="Inter" w:eastAsia="Inter"/>
          <w:color w:val="182026"/>
          <w:sz w:val="18"/>
        </w:rPr>
        <w:t>Risikowerte benötigen Eintrittswahrscheinlichkeit und Schadenshöhe vor und nach der Intervention.</w:t>
      </w:r>
    </w:p>
    <w:p>
      <w:pPr>
        <w:pStyle w:val="ListBullet"/>
        <w:widowControl/>
        <w:spacing w:after="50" w:line="259" w:lineRule="auto"/>
        <w:ind w:left="369" w:hanging="170"/>
      </w:pPr>
      <w:r>
        <w:rPr>
          <w:rFonts w:ascii="Inter" w:hAnsi="Inter" w:eastAsia="Inter"/>
          <w:color w:val="182026"/>
          <w:sz w:val="18"/>
        </w:rPr>
        <w:t>Kundenseitige Implementierungskosten werden vollständig erfasst.</w:t>
      </w:r>
    </w:p>
    <w:p>
      <w:pPr>
        <w:pStyle w:val="ListBullet"/>
        <w:widowControl/>
        <w:spacing w:after="50" w:line="259" w:lineRule="auto"/>
        <w:ind w:left="369" w:hanging="170"/>
      </w:pPr>
      <w:r>
        <w:rPr>
          <w:rFonts w:ascii="Inter" w:hAnsi="Inter" w:eastAsia="Inter"/>
          <w:color w:val="182026"/>
          <w:sz w:val="18"/>
        </w:rPr>
        <w:t>Zurechnung und Evidenz werden je Wertpfad dokumentiert.</w:t>
      </w:r>
    </w:p>
    <w:p>
      <w:pPr>
        <w:pStyle w:val="ListBullet"/>
        <w:widowControl/>
        <w:spacing w:after="50" w:line="259" w:lineRule="auto"/>
        <w:ind w:left="369" w:hanging="170"/>
      </w:pPr>
      <w:r>
        <w:rPr>
          <w:rFonts w:ascii="Inter" w:hAnsi="Inter" w:eastAsia="Inter"/>
          <w:color w:val="182026"/>
          <w:sz w:val="18"/>
        </w:rPr>
        <w:t>Low-, Base- und High-Case werden nicht vermischt.</w:t>
      </w:r>
    </w:p>
    <w:p>
      <w:pPr>
        <w:pStyle w:val="ListBullet"/>
        <w:widowControl/>
        <w:spacing w:after="50" w:line="259" w:lineRule="auto"/>
        <w:ind w:left="369" w:hanging="170"/>
      </w:pPr>
      <w:r>
        <w:rPr>
          <w:rFonts w:ascii="Inter" w:hAnsi="Inter" w:eastAsia="Inter"/>
          <w:color w:val="182026"/>
          <w:sz w:val="18"/>
        </w:rPr>
        <w:t>Doppelzählungen werden in einer eigenen Kontrollspalte markiert.</w:t>
      </w:r>
    </w:p>
    <w:p>
      <w:pPr>
        <w:pStyle w:val="Heading1"/>
        <w:widowControl/>
        <w:pBdr>
          <w:bottom w:val="single" w:sz="10" w:space="6" w:color="C99A43"/>
        </w:pBdr>
      </w:pPr>
      <w:r>
        <w:t>Anhang C: Vorlage Wirkungs-Scorecard für Dienstleistungen</w:t>
      </w:r>
    </w:p>
    <w:tbl>
      <w:tblPr>
        <w:tblStyle w:val="TableGrid"/>
        <w:tblW w:type="auto" w:w="0"/>
        <w:jc w:val="center"/>
        <w:tblLayout w:type="fixed"/>
        <w:tblLook w:firstColumn="1" w:firstRow="1" w:lastColumn="0" w:lastRow="0" w:noHBand="0" w:noVBand="1" w:val="04A0"/>
      </w:tblPr>
      <w:tblGrid>
        <w:gridCol w:w="1232"/>
        <w:gridCol w:w="1232"/>
        <w:gridCol w:w="1232"/>
        <w:gridCol w:w="1232"/>
        <w:gridCol w:w="1232"/>
        <w:gridCol w:w="1232"/>
        <w:gridCol w:w="1232"/>
        <w:gridCol w:w="1232"/>
      </w:tblGrid>
      <w:tr>
        <w:trPr>
          <w:tblHeader w:val="true"/>
        </w:trPr>
        <w:tc>
          <w:tcPr>
            <w:tcW w:type="dxa" w:w="1440"/>
            <w:shd w:fill="163F3D"/>
            <w:tcMar>
              <w:top w:w="100" w:type="dxa"/>
              <w:start w:w="100" w:type="dxa"/>
              <w:bottom w:w="100" w:type="dxa"/>
              <w:end w:w="100" w:type="dxa"/>
            </w:tcMar>
          </w:tcPr>
          <w:p>
            <w:pPr>
              <w:widowControl/>
              <w:jc w:val="left"/>
            </w:pPr>
            <w:r>
              <w:rPr>
                <w:rFonts w:ascii="Inter" w:hAnsi="Inter" w:eastAsia="Inter"/>
                <w:b/>
                <w:color w:val="FFFFFF"/>
                <w:sz w:val="13"/>
              </w:rPr>
              <w:t>Wirkungsfeld / WÖk-ID</w:t>
            </w:r>
          </w:p>
        </w:tc>
        <w:tc>
          <w:tcPr>
            <w:tcW w:type="dxa" w:w="1512"/>
            <w:shd w:fill="163F3D"/>
            <w:tcMar>
              <w:top w:w="100" w:type="dxa"/>
              <w:start w:w="100" w:type="dxa"/>
              <w:bottom w:w="100" w:type="dxa"/>
              <w:end w:w="100" w:type="dxa"/>
            </w:tcMar>
          </w:tcPr>
          <w:p>
            <w:pPr>
              <w:widowControl/>
              <w:jc w:val="left"/>
            </w:pPr>
            <w:r>
              <w:rPr>
                <w:rFonts w:ascii="Inter" w:hAnsi="Inter" w:eastAsia="Inter"/>
                <w:b/>
                <w:color w:val="FFFFFF"/>
                <w:sz w:val="13"/>
              </w:rPr>
              <w:t>Empfänger / Grenze</w:t>
            </w:r>
          </w:p>
        </w:tc>
        <w:tc>
          <w:tcPr>
            <w:tcW w:type="dxa" w:w="1440"/>
            <w:shd w:fill="163F3D"/>
            <w:tcMar>
              <w:top w:w="100" w:type="dxa"/>
              <w:start w:w="100" w:type="dxa"/>
              <w:bottom w:w="100" w:type="dxa"/>
              <w:end w:w="100" w:type="dxa"/>
            </w:tcMar>
          </w:tcPr>
          <w:p>
            <w:pPr>
              <w:widowControl/>
              <w:jc w:val="left"/>
            </w:pPr>
            <w:r>
              <w:rPr>
                <w:rFonts w:ascii="Inter" w:hAnsi="Inter" w:eastAsia="Inter"/>
                <w:b/>
                <w:color w:val="FFFFFF"/>
                <w:sz w:val="13"/>
              </w:rPr>
              <w:t>KII &amp; Einheit</w:t>
            </w:r>
          </w:p>
        </w:tc>
        <w:tc>
          <w:tcPr>
            <w:tcW w:type="dxa" w:w="1440"/>
            <w:shd w:fill="163F3D"/>
            <w:tcMar>
              <w:top w:w="100" w:type="dxa"/>
              <w:start w:w="100" w:type="dxa"/>
              <w:bottom w:w="100" w:type="dxa"/>
              <w:end w:w="100" w:type="dxa"/>
            </w:tcMar>
          </w:tcPr>
          <w:p>
            <w:pPr>
              <w:widowControl/>
              <w:jc w:val="left"/>
            </w:pPr>
            <w:r>
              <w:rPr>
                <w:rFonts w:ascii="Inter" w:hAnsi="Inter" w:eastAsia="Inter"/>
                <w:b/>
                <w:color w:val="FFFFFF"/>
                <w:sz w:val="13"/>
              </w:rPr>
              <w:t>Baseline / Benchmark</w:t>
            </w:r>
          </w:p>
        </w:tc>
        <w:tc>
          <w:tcPr>
            <w:tcW w:type="dxa" w:w="1296"/>
            <w:shd w:fill="163F3D"/>
            <w:tcMar>
              <w:top w:w="100" w:type="dxa"/>
              <w:start w:w="100" w:type="dxa"/>
              <w:bottom w:w="100" w:type="dxa"/>
              <w:end w:w="100" w:type="dxa"/>
            </w:tcMar>
          </w:tcPr>
          <w:p>
            <w:pPr>
              <w:widowControl/>
              <w:jc w:val="left"/>
            </w:pPr>
            <w:r>
              <w:rPr>
                <w:rFonts w:ascii="Inter" w:hAnsi="Inter" w:eastAsia="Inter"/>
                <w:b/>
                <w:color w:val="FFFFFF"/>
                <w:sz w:val="13"/>
              </w:rPr>
              <w:t>Messwert / Score</w:t>
            </w:r>
          </w:p>
        </w:tc>
        <w:tc>
          <w:tcPr>
            <w:tcW w:type="dxa" w:w="1152"/>
            <w:shd w:fill="163F3D"/>
            <w:tcMar>
              <w:top w:w="100" w:type="dxa"/>
              <w:start w:w="100" w:type="dxa"/>
              <w:bottom w:w="100" w:type="dxa"/>
              <w:end w:w="100" w:type="dxa"/>
            </w:tcMar>
          </w:tcPr>
          <w:p>
            <w:pPr>
              <w:widowControl/>
              <w:jc w:val="left"/>
            </w:pPr>
            <w:r>
              <w:rPr>
                <w:rFonts w:ascii="Inter" w:hAnsi="Inter" w:eastAsia="Inter"/>
                <w:b/>
                <w:color w:val="FFFFFF"/>
                <w:sz w:val="13"/>
              </w:rPr>
              <w:t>Datenqualität</w:t>
            </w:r>
          </w:p>
        </w:tc>
        <w:tc>
          <w:tcPr>
            <w:tcW w:type="dxa" w:w="936"/>
            <w:shd w:fill="163F3D"/>
            <w:tcMar>
              <w:top w:w="100" w:type="dxa"/>
              <w:start w:w="100" w:type="dxa"/>
              <w:bottom w:w="100" w:type="dxa"/>
              <w:end w:w="100" w:type="dxa"/>
            </w:tcMar>
          </w:tcPr>
          <w:p>
            <w:pPr>
              <w:widowControl/>
              <w:jc w:val="left"/>
            </w:pPr>
            <w:r>
              <w:rPr>
                <w:rFonts w:ascii="Inter" w:hAnsi="Inter" w:eastAsia="Inter"/>
                <w:b/>
                <w:color w:val="FFFFFF"/>
                <w:sz w:val="13"/>
              </w:rPr>
              <w:t>Rote Linie</w:t>
            </w:r>
          </w:p>
        </w:tc>
        <w:tc>
          <w:tcPr>
            <w:tcW w:type="dxa" w:w="1152"/>
            <w:shd w:fill="163F3D"/>
            <w:tcMar>
              <w:top w:w="100" w:type="dxa"/>
              <w:start w:w="100" w:type="dxa"/>
              <w:bottom w:w="100" w:type="dxa"/>
              <w:end w:w="100" w:type="dxa"/>
            </w:tcMar>
          </w:tcPr>
          <w:p>
            <w:pPr>
              <w:widowControl/>
              <w:jc w:val="left"/>
            </w:pPr>
            <w:r>
              <w:rPr>
                <w:rFonts w:ascii="Inter" w:hAnsi="Inter" w:eastAsia="Inter"/>
                <w:b/>
                <w:color w:val="FFFFFF"/>
                <w:sz w:val="13"/>
              </w:rPr>
              <w:t>Maßnahme</w:t>
            </w:r>
          </w:p>
        </w:tc>
      </w:tr>
      <w:tr>
        <w:trPr>
          <w:cantSplit/>
        </w:trPr>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Mensch / Arbeit</w:t>
            </w:r>
          </w:p>
        </w:tc>
        <w:tc>
          <w:tcPr>
            <w:tcW w:type="dxa" w:w="151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Beschäftigte Anbieter &amp; Kunde</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z. B. Belastung, Sicherheit</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15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geprüft / geschätzt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ja / nein</w:t>
            </w:r>
          </w:p>
        </w:tc>
        <w:tc>
          <w:tcPr>
            <w:tcW w:type="dxa" w:w="115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Planet / Ressourcen</w:t>
            </w:r>
          </w:p>
        </w:tc>
        <w:tc>
          <w:tcPr>
            <w:tcW w:type="dxa" w:w="151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Klima, Wasser, Material</w:t>
            </w:r>
          </w:p>
        </w:tc>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z. B. t CO2e, kWh, kg</w:t>
            </w:r>
          </w:p>
        </w:tc>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15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ja / nein</w:t>
            </w:r>
          </w:p>
        </w:tc>
        <w:tc>
          <w:tcPr>
            <w:tcW w:type="dxa" w:w="115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Demokratie / Daten</w:t>
            </w:r>
          </w:p>
        </w:tc>
        <w:tc>
          <w:tcPr>
            <w:tcW w:type="dxa" w:w="151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Nutzer:innen, Öffentlichkeit</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Transparenz, Datenschutz</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15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ja / nein</w:t>
            </w:r>
          </w:p>
        </w:tc>
        <w:tc>
          <w:tcPr>
            <w:tcW w:type="dxa" w:w="1152"/>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r>
        <w:trPr>
          <w:cantSplit/>
        </w:trPr>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Weitere wesentliche Felder</w:t>
            </w:r>
          </w:p>
        </w:tc>
        <w:tc>
          <w:tcPr>
            <w:tcW w:type="dxa" w:w="151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29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115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ja / nein</w:t>
            </w:r>
          </w:p>
        </w:tc>
        <w:tc>
          <w:tcPr>
            <w:tcW w:type="dxa" w:w="1152"/>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3"/>
              </w:rPr>
              <w:t>…</w:t>
            </w:r>
          </w:p>
        </w:tc>
      </w:tr>
    </w:tbl>
    <w:p>
      <w:pPr>
        <w:widowControl/>
        <w:spacing w:after="0"/>
      </w:pPr>
    </w:p>
    <w:p>
      <w:pPr>
        <w:pStyle w:val="Heading2"/>
        <w:widowControl/>
      </w:pPr>
      <w:r>
        <w:t>Mindestprüfung</w:t>
      </w:r>
    </w:p>
    <w:p>
      <w:pPr>
        <w:pStyle w:val="BodyText"/>
        <w:widowControl/>
        <w:spacing w:after="50" w:line="259" w:lineRule="auto"/>
        <w:ind w:left="408" w:hanging="272"/>
      </w:pPr>
      <w:r>
        <w:rPr>
          <w:rFonts w:ascii="Inter" w:hAnsi="Inter" w:eastAsia="Inter"/>
          <w:b/>
          <w:color w:val="2D625F"/>
          <w:sz w:val="18"/>
        </w:rPr>
        <w:t xml:space="preserve">1.  </w:t>
      </w:r>
      <w:r>
        <w:rPr>
          <w:rFonts w:ascii="Inter" w:hAnsi="Inter" w:eastAsia="Inter"/>
          <w:color w:val="182026"/>
          <w:sz w:val="18"/>
        </w:rPr>
        <w:t>Sind Wirkungsempfänger und Systemgrenze klar?</w:t>
      </w:r>
    </w:p>
    <w:p>
      <w:pPr>
        <w:pStyle w:val="BodyText"/>
        <w:widowControl/>
        <w:spacing w:after="50" w:line="259" w:lineRule="auto"/>
        <w:ind w:left="408" w:hanging="272"/>
      </w:pPr>
      <w:r>
        <w:rPr>
          <w:rFonts w:ascii="Inter" w:hAnsi="Inter" w:eastAsia="Inter"/>
          <w:b/>
          <w:color w:val="2D625F"/>
          <w:sz w:val="18"/>
        </w:rPr>
        <w:t xml:space="preserve">2.  </w:t>
      </w:r>
      <w:r>
        <w:rPr>
          <w:rFonts w:ascii="Inter" w:hAnsi="Inter" w:eastAsia="Inter"/>
          <w:color w:val="182026"/>
          <w:sz w:val="18"/>
        </w:rPr>
        <w:t>Wird Wirkung als Zustandsveränderung und nicht als Aktivität gemessen?</w:t>
      </w:r>
    </w:p>
    <w:p>
      <w:pPr>
        <w:pStyle w:val="BodyText"/>
        <w:widowControl/>
        <w:spacing w:after="50" w:line="259" w:lineRule="auto"/>
        <w:ind w:left="408" w:hanging="272"/>
      </w:pPr>
      <w:r>
        <w:rPr>
          <w:rFonts w:ascii="Inter" w:hAnsi="Inter" w:eastAsia="Inter"/>
          <w:b/>
          <w:color w:val="2D625F"/>
          <w:sz w:val="18"/>
        </w:rPr>
        <w:t xml:space="preserve">3.  </w:t>
      </w:r>
      <w:r>
        <w:rPr>
          <w:rFonts w:ascii="Inter" w:hAnsi="Inter" w:eastAsia="Inter"/>
          <w:color w:val="182026"/>
          <w:sz w:val="18"/>
        </w:rPr>
        <w:t>Sind SDG-/SDG+-Bezug und WÖk-ID nachvollziehbar?</w:t>
      </w:r>
    </w:p>
    <w:p>
      <w:pPr>
        <w:pStyle w:val="BodyText"/>
        <w:widowControl/>
        <w:spacing w:after="50" w:line="259" w:lineRule="auto"/>
        <w:ind w:left="408" w:hanging="272"/>
      </w:pPr>
      <w:r>
        <w:rPr>
          <w:rFonts w:ascii="Inter" w:hAnsi="Inter" w:eastAsia="Inter"/>
          <w:b/>
          <w:color w:val="2D625F"/>
          <w:sz w:val="18"/>
        </w:rPr>
        <w:t xml:space="preserve">4.  </w:t>
      </w:r>
      <w:r>
        <w:rPr>
          <w:rFonts w:ascii="Inter" w:hAnsi="Inter" w:eastAsia="Inter"/>
          <w:color w:val="182026"/>
          <w:sz w:val="18"/>
        </w:rPr>
        <w:t>Gibt es eine Baseline, einen Benchmark oder eine Mindestschwelle?</w:t>
      </w:r>
    </w:p>
    <w:p>
      <w:pPr>
        <w:pStyle w:val="BodyText"/>
        <w:widowControl/>
        <w:spacing w:after="50" w:line="259" w:lineRule="auto"/>
        <w:ind w:left="408" w:hanging="272"/>
      </w:pPr>
      <w:r>
        <w:rPr>
          <w:rFonts w:ascii="Inter" w:hAnsi="Inter" w:eastAsia="Inter"/>
          <w:b/>
          <w:color w:val="2D625F"/>
          <w:sz w:val="18"/>
        </w:rPr>
        <w:t xml:space="preserve">5.  </w:t>
      </w:r>
      <w:r>
        <w:rPr>
          <w:rFonts w:ascii="Inter" w:hAnsi="Inter" w:eastAsia="Inter"/>
          <w:color w:val="182026"/>
          <w:sz w:val="18"/>
        </w:rPr>
        <w:t>Ist die Datenqualität markiert?</w:t>
      </w:r>
    </w:p>
    <w:p>
      <w:pPr>
        <w:pStyle w:val="BodyText"/>
        <w:widowControl/>
        <w:spacing w:after="50" w:line="259" w:lineRule="auto"/>
        <w:ind w:left="408" w:hanging="272"/>
      </w:pPr>
      <w:r>
        <w:rPr>
          <w:rFonts w:ascii="Inter" w:hAnsi="Inter" w:eastAsia="Inter"/>
          <w:b/>
          <w:color w:val="2D625F"/>
          <w:sz w:val="18"/>
        </w:rPr>
        <w:t xml:space="preserve">6.  </w:t>
      </w:r>
      <w:r>
        <w:rPr>
          <w:rFonts w:ascii="Inter" w:hAnsi="Inter" w:eastAsia="Inter"/>
          <w:color w:val="182026"/>
          <w:sz w:val="18"/>
        </w:rPr>
        <w:t>Sind negative, indirekte und verzögerte Wirkungen berücksichtigt?</w:t>
      </w:r>
    </w:p>
    <w:p>
      <w:pPr>
        <w:pStyle w:val="BodyText"/>
        <w:widowControl/>
        <w:spacing w:after="50" w:line="259" w:lineRule="auto"/>
        <w:ind w:left="408" w:hanging="272"/>
      </w:pPr>
      <w:r>
        <w:rPr>
          <w:rFonts w:ascii="Inter" w:hAnsi="Inter" w:eastAsia="Inter"/>
          <w:b/>
          <w:color w:val="2D625F"/>
          <w:sz w:val="18"/>
        </w:rPr>
        <w:t xml:space="preserve">7.  </w:t>
      </w:r>
      <w:r>
        <w:rPr>
          <w:rFonts w:ascii="Inter" w:hAnsi="Inter" w:eastAsia="Inter"/>
          <w:color w:val="182026"/>
          <w:sz w:val="18"/>
        </w:rPr>
        <w:t>Gibt es Ausschlussindikatoren oder rote Linien?</w:t>
      </w:r>
    </w:p>
    <w:p>
      <w:pPr>
        <w:pStyle w:val="BodyText"/>
        <w:widowControl/>
        <w:spacing w:after="50" w:line="259" w:lineRule="auto"/>
        <w:ind w:left="408" w:hanging="272"/>
      </w:pPr>
      <w:r>
        <w:rPr>
          <w:rFonts w:ascii="Inter" w:hAnsi="Inter" w:eastAsia="Inter"/>
          <w:b/>
          <w:color w:val="2D625F"/>
          <w:sz w:val="18"/>
        </w:rPr>
        <w:t xml:space="preserve">8.  </w:t>
      </w:r>
      <w:r>
        <w:rPr>
          <w:rFonts w:ascii="Inter" w:hAnsi="Inter" w:eastAsia="Inter"/>
          <w:color w:val="182026"/>
          <w:sz w:val="18"/>
        </w:rPr>
        <w:t>Ist der NWI-Anschluss möglich, ohne Punkte zu monetarisieren?</w:t>
      </w:r>
    </w:p>
    <w:p>
      <w:pPr>
        <w:pStyle w:val="BodyText"/>
        <w:widowControl/>
        <w:spacing w:after="50" w:line="259" w:lineRule="auto"/>
        <w:ind w:left="408" w:hanging="272"/>
      </w:pPr>
      <w:r>
        <w:rPr>
          <w:rFonts w:ascii="Inter" w:hAnsi="Inter" w:eastAsia="Inter"/>
          <w:b/>
          <w:color w:val="2D625F"/>
          <w:sz w:val="18"/>
        </w:rPr>
        <w:t xml:space="preserve">9.  </w:t>
      </w:r>
      <w:r>
        <w:rPr>
          <w:rFonts w:ascii="Inter" w:hAnsi="Inter" w:eastAsia="Inter"/>
          <w:color w:val="182026"/>
          <w:sz w:val="18"/>
        </w:rPr>
        <w:t>Sind Remediation und Review festgelegt?</w:t>
      </w:r>
    </w:p>
    <w:p>
      <w:pPr>
        <w:pStyle w:val="BodyText"/>
        <w:widowControl/>
        <w:spacing w:after="50" w:line="259" w:lineRule="auto"/>
        <w:ind w:left="408" w:hanging="272"/>
      </w:pPr>
      <w:r>
        <w:t>10.  Sind KI-, Daten- und Arbeitsfolgen berücksichtigt?</w:t>
      </w:r>
    </w:p>
    <w:p>
      <w:pPr>
        <w:pStyle w:val="BodyText"/>
        <w:widowControl/>
        <w:spacing w:after="50" w:line="259" w:lineRule="auto"/>
        <w:ind w:left="408" w:hanging="272"/>
      </w:pPr>
      <w:r>
        <w:t>11.  Wird die Scorecard zur Entscheidung genutzt und nicht nur berichtet?</w:t>
      </w:r>
    </w:p>
    <w:p>
      <w:pPr>
        <w:pStyle w:val="Heading1"/>
        <w:widowControl/>
        <w:pBdr>
          <w:bottom w:val="single" w:sz="10" w:space="6" w:color="C99A43"/>
        </w:pBdr>
      </w:pPr>
      <w:r>
        <w:t>Anhang D: Evidenz- und Attributionsplan</w:t>
      </w:r>
    </w:p>
    <w:tbl>
      <w:tblPr>
        <w:tblStyle w:val="TableGrid"/>
        <w:tblW w:type="auto" w:w="0"/>
        <w:jc w:val="center"/>
        <w:tblLayout w:type="fixed"/>
        <w:tblLook w:firstColumn="1" w:firstRow="1" w:lastColumn="0" w:lastRow="0" w:noHBand="0" w:noVBand="1" w:val="04A0"/>
      </w:tblPr>
      <w:tblGrid>
        <w:gridCol w:w="1095"/>
        <w:gridCol w:w="1095"/>
        <w:gridCol w:w="1095"/>
        <w:gridCol w:w="1095"/>
        <w:gridCol w:w="1095"/>
        <w:gridCol w:w="1095"/>
        <w:gridCol w:w="1095"/>
        <w:gridCol w:w="1095"/>
        <w:gridCol w:w="1095"/>
      </w:tblGrid>
      <w:tr>
        <w:trPr>
          <w:tblHeader w:val="true"/>
        </w:trPr>
        <w:tc>
          <w:tcPr>
            <w:tcW w:type="dxa" w:w="1440"/>
            <w:shd w:fill="163F3D"/>
            <w:tcMar>
              <w:top w:w="100" w:type="dxa"/>
              <w:start w:w="100" w:type="dxa"/>
              <w:bottom w:w="100" w:type="dxa"/>
              <w:end w:w="100" w:type="dxa"/>
            </w:tcMar>
          </w:tcPr>
          <w:p>
            <w:pPr>
              <w:widowControl/>
              <w:jc w:val="left"/>
            </w:pPr>
            <w:r>
              <w:rPr>
                <w:rFonts w:ascii="Inter" w:hAnsi="Inter" w:eastAsia="Inter"/>
                <w:b/>
                <w:color w:val="FFFFFF"/>
                <w:sz w:val="12"/>
              </w:rPr>
              <w:t>Hypothese / Pfad</w:t>
            </w:r>
          </w:p>
        </w:tc>
        <w:tc>
          <w:tcPr>
            <w:tcW w:type="dxa" w:w="1007"/>
            <w:shd w:fill="163F3D"/>
            <w:tcMar>
              <w:top w:w="100" w:type="dxa"/>
              <w:start w:w="100" w:type="dxa"/>
              <w:bottom w:w="100" w:type="dxa"/>
              <w:end w:w="100" w:type="dxa"/>
            </w:tcMar>
          </w:tcPr>
          <w:p>
            <w:pPr>
              <w:widowControl/>
              <w:jc w:val="left"/>
            </w:pPr>
            <w:r>
              <w:rPr>
                <w:rFonts w:ascii="Inter" w:hAnsi="Inter" w:eastAsia="Inter"/>
                <w:b/>
                <w:color w:val="FFFFFF"/>
                <w:sz w:val="12"/>
              </w:rPr>
              <w:t>Indikator</w:t>
            </w:r>
          </w:p>
        </w:tc>
        <w:tc>
          <w:tcPr>
            <w:tcW w:type="dxa" w:w="936"/>
            <w:shd w:fill="163F3D"/>
            <w:tcMar>
              <w:top w:w="100" w:type="dxa"/>
              <w:start w:w="100" w:type="dxa"/>
              <w:bottom w:w="100" w:type="dxa"/>
              <w:end w:w="100" w:type="dxa"/>
            </w:tcMar>
          </w:tcPr>
          <w:p>
            <w:pPr>
              <w:widowControl/>
              <w:jc w:val="left"/>
            </w:pPr>
            <w:r>
              <w:rPr>
                <w:rFonts w:ascii="Inter" w:hAnsi="Inter" w:eastAsia="Inter"/>
                <w:b/>
                <w:color w:val="FFFFFF"/>
                <w:sz w:val="12"/>
              </w:rPr>
              <w:t>Baseline</w:t>
            </w:r>
          </w:p>
        </w:tc>
        <w:tc>
          <w:tcPr>
            <w:tcW w:type="dxa" w:w="1080"/>
            <w:shd w:fill="163F3D"/>
            <w:tcMar>
              <w:top w:w="100" w:type="dxa"/>
              <w:start w:w="100" w:type="dxa"/>
              <w:bottom w:w="100" w:type="dxa"/>
              <w:end w:w="100" w:type="dxa"/>
            </w:tcMar>
          </w:tcPr>
          <w:p>
            <w:pPr>
              <w:widowControl/>
              <w:jc w:val="left"/>
            </w:pPr>
            <w:r>
              <w:rPr>
                <w:rFonts w:ascii="Inter" w:hAnsi="Inter" w:eastAsia="Inter"/>
                <w:b/>
                <w:color w:val="FFFFFF"/>
                <w:sz w:val="12"/>
              </w:rPr>
              <w:t>Counterfactual</w:t>
            </w:r>
          </w:p>
        </w:tc>
        <w:tc>
          <w:tcPr>
            <w:tcW w:type="dxa" w:w="1440"/>
            <w:shd w:fill="163F3D"/>
            <w:tcMar>
              <w:top w:w="100" w:type="dxa"/>
              <w:start w:w="100" w:type="dxa"/>
              <w:bottom w:w="100" w:type="dxa"/>
              <w:end w:w="100" w:type="dxa"/>
            </w:tcMar>
          </w:tcPr>
          <w:p>
            <w:pPr>
              <w:widowControl/>
              <w:jc w:val="left"/>
            </w:pPr>
            <w:r>
              <w:rPr>
                <w:rFonts w:ascii="Inter" w:hAnsi="Inter" w:eastAsia="Inter"/>
                <w:b/>
                <w:color w:val="FFFFFF"/>
                <w:sz w:val="12"/>
              </w:rPr>
              <w:t>Methode</w:t>
            </w:r>
          </w:p>
        </w:tc>
        <w:tc>
          <w:tcPr>
            <w:tcW w:type="dxa" w:w="936"/>
            <w:shd w:fill="163F3D"/>
            <w:tcMar>
              <w:top w:w="100" w:type="dxa"/>
              <w:start w:w="100" w:type="dxa"/>
              <w:bottom w:w="100" w:type="dxa"/>
              <w:end w:w="100" w:type="dxa"/>
            </w:tcMar>
          </w:tcPr>
          <w:p>
            <w:pPr>
              <w:widowControl/>
              <w:jc w:val="left"/>
            </w:pPr>
            <w:r>
              <w:rPr>
                <w:rFonts w:ascii="Inter" w:hAnsi="Inter" w:eastAsia="Inter"/>
                <w:b/>
                <w:color w:val="FFFFFF"/>
                <w:sz w:val="12"/>
              </w:rPr>
              <w:t>Quelle</w:t>
            </w:r>
          </w:p>
        </w:tc>
        <w:tc>
          <w:tcPr>
            <w:tcW w:type="dxa" w:w="1080"/>
            <w:shd w:fill="163F3D"/>
            <w:tcMar>
              <w:top w:w="100" w:type="dxa"/>
              <w:start w:w="100" w:type="dxa"/>
              <w:bottom w:w="100" w:type="dxa"/>
              <w:end w:w="100" w:type="dxa"/>
            </w:tcMar>
          </w:tcPr>
          <w:p>
            <w:pPr>
              <w:widowControl/>
              <w:jc w:val="left"/>
            </w:pPr>
            <w:r>
              <w:rPr>
                <w:rFonts w:ascii="Inter" w:hAnsi="Inter" w:eastAsia="Inter"/>
                <w:b/>
                <w:color w:val="FFFFFF"/>
                <w:sz w:val="12"/>
              </w:rPr>
              <w:t>Verantwortung</w:t>
            </w:r>
          </w:p>
        </w:tc>
        <w:tc>
          <w:tcPr>
            <w:tcW w:type="dxa" w:w="936"/>
            <w:shd w:fill="163F3D"/>
            <w:tcMar>
              <w:top w:w="100" w:type="dxa"/>
              <w:start w:w="100" w:type="dxa"/>
              <w:bottom w:w="100" w:type="dxa"/>
              <w:end w:w="100" w:type="dxa"/>
            </w:tcMar>
          </w:tcPr>
          <w:p>
            <w:pPr>
              <w:widowControl/>
              <w:jc w:val="left"/>
            </w:pPr>
            <w:r>
              <w:rPr>
                <w:rFonts w:ascii="Inter" w:hAnsi="Inter" w:eastAsia="Inter"/>
                <w:b/>
                <w:color w:val="FFFFFF"/>
                <w:sz w:val="12"/>
              </w:rPr>
              <w:t>Zeitpunkt</w:t>
            </w:r>
          </w:p>
        </w:tc>
        <w:tc>
          <w:tcPr>
            <w:tcW w:type="dxa" w:w="936"/>
            <w:shd w:fill="163F3D"/>
            <w:tcMar>
              <w:top w:w="100" w:type="dxa"/>
              <w:start w:w="100" w:type="dxa"/>
              <w:bottom w:w="100" w:type="dxa"/>
              <w:end w:w="100" w:type="dxa"/>
            </w:tcMar>
          </w:tcPr>
          <w:p>
            <w:pPr>
              <w:widowControl/>
              <w:jc w:val="left"/>
            </w:pPr>
            <w:r>
              <w:rPr>
                <w:rFonts w:ascii="Inter" w:hAnsi="Inter" w:eastAsia="Inter"/>
                <w:b/>
                <w:color w:val="FFFFFF"/>
                <w:sz w:val="12"/>
              </w:rPr>
              <w:t>Evidenzziel</w:t>
            </w:r>
          </w:p>
        </w:tc>
      </w:tr>
      <w:tr>
        <w:trPr>
          <w:cantSplit/>
        </w:trPr>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Messung / Vergleich / Contribution</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E1-E4</w:t>
            </w:r>
          </w:p>
        </w:tc>
      </w:tr>
      <w:tr>
        <w:trPr>
          <w:cantSplit/>
        </w:trPr>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07"/>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44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4F6F5"/>
            <w:tcMar>
              <w:top w:w="75" w:type="dxa"/>
              <w:start w:w="90" w:type="dxa"/>
              <w:bottom w:w="75" w:type="dxa"/>
              <w:end w:w="90" w:type="dxa"/>
            </w:tcMar>
            <w:vAlign w:val="top"/>
          </w:tcPr>
          <w:p>
            <w:pPr>
              <w:widowControl/>
              <w:spacing w:after="0" w:line="240" w:lineRule="auto"/>
            </w:pPr>
            <w:r>
              <w:rPr>
                <w:rFonts w:ascii="Inter" w:hAnsi="Inter" w:eastAsia="Inter"/>
                <w:color w:val="182026"/>
                <w:sz w:val="12"/>
              </w:rPr>
              <w:t>E1-E4</w:t>
            </w:r>
          </w:p>
        </w:tc>
      </w:tr>
      <w:tr>
        <w:trPr>
          <w:cantSplit/>
        </w:trPr>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07"/>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44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1080"/>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w:t>
            </w:r>
          </w:p>
        </w:tc>
        <w:tc>
          <w:tcPr>
            <w:tcW w:type="dxa" w:w="936"/>
            <w:shd w:fill="FFFFFF"/>
            <w:tcMar>
              <w:top w:w="75" w:type="dxa"/>
              <w:start w:w="90" w:type="dxa"/>
              <w:bottom w:w="75" w:type="dxa"/>
              <w:end w:w="90" w:type="dxa"/>
            </w:tcMar>
            <w:vAlign w:val="top"/>
          </w:tcPr>
          <w:p>
            <w:pPr>
              <w:widowControl/>
              <w:spacing w:after="0" w:line="240" w:lineRule="auto"/>
            </w:pPr>
            <w:r>
              <w:rPr>
                <w:rFonts w:ascii="Inter" w:hAnsi="Inter" w:eastAsia="Inter"/>
                <w:color w:val="182026"/>
                <w:sz w:val="12"/>
              </w:rPr>
              <w:t>E1-E4</w:t>
            </w:r>
          </w:p>
        </w:tc>
      </w:tr>
    </w:tbl>
    <w:p>
      <w:pPr>
        <w:widowControl/>
        <w:spacing w:after="0"/>
      </w:pPr>
    </w:p>
    <w:p>
      <w:pPr>
        <w:pStyle w:val="Heading2"/>
        <w:widowControl/>
      </w:pPr>
      <w:r>
        <w:t>Auswahl geeigneter Verfahren</w:t>
      </w:r>
    </w:p>
    <w:p>
      <w:pPr>
        <w:pStyle w:val="Heading3"/>
        <w:widowControl/>
      </w:pPr>
      <w:r>
        <w:t>Direkte technische Messung</w:t>
      </w:r>
    </w:p>
    <w:p>
      <w:pPr>
        <w:pStyle w:val="BodyText"/>
        <w:widowControl/>
        <w:spacing w:after="110" w:line="278" w:lineRule="auto"/>
        <w:ind w:firstLine="255"/>
      </w:pPr>
      <w:r>
        <w:rPr>
          <w:rFonts w:ascii="Inter" w:hAnsi="Inter" w:eastAsia="Inter"/>
          <w:color w:val="182026"/>
          <w:sz w:val="19"/>
        </w:rPr>
        <w:t>Geeignet bei Energie, Material, Durchlaufzeit, Fehlern, Ausfällen oder klaren Systemkennzahlen. Wichtig sind Kalibrierung, Vergleichbarkeit und Systemgrenze.</w:t>
      </w:r>
    </w:p>
    <w:p>
      <w:pPr>
        <w:pStyle w:val="Heading3"/>
        <w:widowControl/>
      </w:pPr>
      <w:r>
        <w:t>Vorher-Nachher mit plausibler Baseline</w:t>
      </w:r>
    </w:p>
    <w:p>
      <w:pPr>
        <w:pStyle w:val="BodyText"/>
        <w:widowControl/>
        <w:spacing w:after="110" w:line="278" w:lineRule="auto"/>
        <w:ind w:firstLine="255"/>
      </w:pPr>
      <w:r>
        <w:rPr>
          <w:rFonts w:ascii="Inter" w:hAnsi="Inter" w:eastAsia="Inter"/>
          <w:color w:val="182026"/>
          <w:sz w:val="19"/>
        </w:rPr>
        <w:t>Geeignet bei stabilen Prozessen. Schwäche: Parallelentwicklungen und Regression zur Mitte können fälschlich als Anbieterwirkung erscheinen.</w:t>
      </w:r>
    </w:p>
    <w:p>
      <w:pPr>
        <w:pStyle w:val="Heading3"/>
        <w:widowControl/>
      </w:pPr>
      <w:r>
        <w:t>Vergleichsgruppe oder gestaffelte Einführung</w:t>
      </w:r>
    </w:p>
    <w:p>
      <w:pPr>
        <w:pStyle w:val="BodyText"/>
        <w:widowControl/>
        <w:spacing w:after="110" w:line="278" w:lineRule="auto"/>
        <w:ind w:firstLine="255"/>
      </w:pPr>
      <w:r>
        <w:rPr>
          <w:rFonts w:ascii="Inter" w:hAnsi="Inter" w:eastAsia="Inter"/>
          <w:color w:val="182026"/>
          <w:sz w:val="19"/>
        </w:rPr>
        <w:t>Geeignet, wenn ähnliche Einheiten vorhanden sind und ethisch vertretbar unterschiedlich eingeführt werden kann. Schwäche: Gruppen können sich strukturell unterscheiden.</w:t>
      </w:r>
    </w:p>
    <w:p>
      <w:pPr>
        <w:pStyle w:val="Heading3"/>
        <w:widowControl/>
      </w:pPr>
      <w:r>
        <w:t>Contribution Analysis</w:t>
      </w:r>
    </w:p>
    <w:p>
      <w:pPr>
        <w:pStyle w:val="BodyText"/>
        <w:widowControl/>
        <w:spacing w:after="110" w:line="278" w:lineRule="auto"/>
        <w:ind w:firstLine="255"/>
      </w:pPr>
      <w:r>
        <w:rPr>
          <w:rFonts w:ascii="Inter" w:hAnsi="Inter" w:eastAsia="Inter"/>
          <w:color w:val="182026"/>
          <w:sz w:val="19"/>
        </w:rPr>
        <w:t>Geeignet bei komplexen Interventionen. Erfordert Theory of Change, alternative Erklärungen, mehrere Quellen und dokumentierte Schlussfolgerung.</w:t>
      </w:r>
    </w:p>
    <w:p>
      <w:pPr>
        <w:pStyle w:val="Heading3"/>
        <w:widowControl/>
      </w:pPr>
      <w:r>
        <w:t>Expert:innen- und Stakeholdertriangulation</w:t>
      </w:r>
    </w:p>
    <w:p>
      <w:pPr>
        <w:pStyle w:val="BodyText"/>
        <w:widowControl/>
        <w:spacing w:after="110" w:line="278" w:lineRule="auto"/>
        <w:ind w:firstLine="255"/>
      </w:pPr>
      <w:r>
        <w:rPr>
          <w:rFonts w:ascii="Inter" w:hAnsi="Inter" w:eastAsia="Inter"/>
          <w:color w:val="182026"/>
          <w:sz w:val="19"/>
        </w:rPr>
        <w:t>Geeignet für qualitative oder frühe Effekte. Darf nicht als alleiniger Nachweis hoher monetärer Werte dienen.</w:t>
      </w:r>
    </w:p>
    <w:p>
      <w:pPr>
        <w:pStyle w:val="Heading3"/>
        <w:widowControl/>
      </w:pPr>
      <w:r>
        <w:t>Modellierung und Simulation</w:t>
      </w:r>
    </w:p>
    <w:p>
      <w:pPr>
        <w:pStyle w:val="BodyText"/>
        <w:widowControl/>
        <w:spacing w:after="110" w:line="278" w:lineRule="auto"/>
        <w:ind w:firstLine="255"/>
      </w:pPr>
      <w:r>
        <w:rPr>
          <w:rFonts w:ascii="Inter" w:hAnsi="Inter" w:eastAsia="Inter"/>
          <w:color w:val="182026"/>
          <w:sz w:val="19"/>
        </w:rPr>
        <w:t>Geeignet für zukünftige Risiken, Optionen und Systemwirkungen. Annahmen, Sensitivität und Validierung müssen offenliegen.</w:t>
      </w:r>
    </w:p>
    <w:p>
      <w:pPr>
        <w:pStyle w:val="Heading3"/>
        <w:widowControl/>
      </w:pPr>
      <w:r>
        <w:t>Unabhängige Assurance</w:t>
      </w:r>
    </w:p>
    <w:p>
      <w:pPr>
        <w:pStyle w:val="BodyText"/>
        <w:widowControl/>
        <w:spacing w:after="110" w:line="278" w:lineRule="auto"/>
        <w:ind w:firstLine="255"/>
      </w:pPr>
      <w:r>
        <w:rPr>
          <w:rFonts w:ascii="Inter" w:hAnsi="Inter" w:eastAsia="Inter"/>
          <w:color w:val="182026"/>
          <w:sz w:val="19"/>
        </w:rPr>
        <w:t>Geeignet bei hohen variablen Beträgen, öffentlichen Mitteln, sensiblen Claims oder starkem Interessenkonflikt.</w:t>
      </w:r>
    </w:p>
    <w:p>
      <w:pPr>
        <w:pStyle w:val="Heading1"/>
        <w:widowControl/>
        <w:pBdr>
          <w:bottom w:val="single" w:sz="10" w:space="6" w:color="C99A43"/>
        </w:pBdr>
      </w:pPr>
      <w:r>
        <w:t>Anhang E: Vertragscheck für WVP</w:t>
      </w:r>
    </w:p>
    <w:p>
      <w:pPr>
        <w:pStyle w:val="Heading2"/>
        <w:widowControl/>
      </w:pPr>
      <w:r>
        <w:t>Gegenstand und Scope</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Zielzustand und Leistungsgegenstand sind getrennt beschrieben.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Systemgrenze, Zeitraum und Zielgruppen sind festgelegt.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Outputs, Outcomes, Kundenwert und Wirkung werden begrifflich getrennt.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In- und Out-of-Scope sind verständlich.</w:t>
      </w:r>
    </w:p>
    <w:p>
      <w:pPr>
        <w:pStyle w:val="Heading2"/>
        <w:widowControl/>
      </w:pPr>
      <w:r>
        <w:t>Baseline und Alternative</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Baseline, Datenzeitraum und Datenqualität sind dokumentiert.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Nächste realistische Alternative oder Counterfactual ist beschrieben.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Regeln für externe Schocks und Parallelprojekte bestehen.</w:t>
      </w:r>
    </w:p>
    <w:p>
      <w:pPr>
        <w:pStyle w:val="Heading2"/>
        <w:widowControl/>
      </w:pPr>
      <w:r>
        <w:t>Effizienz und KI</w:t>
      </w:r>
    </w:p>
    <w:p>
      <w:pPr>
        <w:pStyle w:val="ListBullet"/>
        <w:widowControl/>
        <w:ind w:left="369" w:hanging="170"/>
      </w:pPr>
      <w:r>
        <w:rPr>
          <w:rFonts w:ascii="Inter" w:hAnsi="Inter" w:eastAsia="Inter"/>
          <w:color w:val="163F3D"/>
          <w:sz w:val="18"/>
        </w:rPr>
        <w:t xml:space="preserve">☐ </w:t>
      </w:r>
      <w:r>
        <w:rPr>
          <w:rFonts w:ascii="Inter" w:hAnsi="Inter" w:eastAsia="Inter"/>
          <w:color w:val="182026"/>
          <w:sz w:val="18"/>
        </w:rPr>
        <w:t>Erfahrung, Methoden und Werkzeuge sind in der Leistungslogik berücksichtigt.</w:t>
      </w:r>
    </w:p>
    <w:p>
      <w:pPr>
        <w:pStyle w:val="ListBullet"/>
        <w:widowControl/>
        <w:ind w:left="369" w:hanging="170"/>
      </w:pPr>
      <w:r>
        <w:rPr>
          <w:rFonts w:ascii="Inter" w:hAnsi="Inter" w:eastAsia="Inter"/>
          <w:color w:val="163F3D"/>
          <w:sz w:val="18"/>
        </w:rPr>
        <w:t xml:space="preserve">☐ </w:t>
      </w:r>
      <w:r>
        <w:rPr>
          <w:rFonts w:ascii="Inter" w:hAnsi="Inter" w:eastAsia="Inter"/>
          <w:color w:val="182026"/>
          <w:sz w:val="18"/>
        </w:rPr>
        <w:t>Der Preis fällt nicht automatisch proportional zu eingesparten Stunden.</w:t>
      </w:r>
    </w:p>
    <w:p>
      <w:pPr>
        <w:pStyle w:val="ListBullet"/>
        <w:widowControl/>
        <w:ind w:left="369" w:hanging="170"/>
      </w:pPr>
      <w:r>
        <w:rPr>
          <w:rFonts w:ascii="Inter" w:hAnsi="Inter" w:eastAsia="Inter"/>
          <w:color w:val="163F3D"/>
          <w:sz w:val="18"/>
        </w:rPr>
        <w:t xml:space="preserve">☐ </w:t>
      </w:r>
      <w:r>
        <w:rPr>
          <w:rFonts w:ascii="Inter" w:hAnsi="Inter" w:eastAsia="Inter"/>
          <w:color w:val="182026"/>
          <w:sz w:val="18"/>
        </w:rPr>
        <w:t>Produktivitätsgewinne werden nachvollziehbar geteilt.</w:t>
      </w:r>
    </w:p>
    <w:p>
      <w:pPr>
        <w:pStyle w:val="ListBullet"/>
        <w:widowControl/>
        <w:ind w:left="369" w:hanging="170"/>
      </w:pPr>
      <w:r>
        <w:rPr>
          <w:rFonts w:ascii="Inter" w:hAnsi="Inter" w:eastAsia="Inter"/>
          <w:color w:val="163F3D"/>
          <w:sz w:val="18"/>
        </w:rPr>
        <w:t xml:space="preserve">☐ </w:t>
      </w:r>
      <w:r>
        <w:rPr>
          <w:rFonts w:ascii="Inter" w:hAnsi="Inter" w:eastAsia="Inter"/>
          <w:color w:val="182026"/>
          <w:sz w:val="18"/>
        </w:rPr>
        <w:t>KI-Prüfung, Datenschutz, Qualität und Haftung sind geregelt.</w:t>
      </w:r>
    </w:p>
    <w:p>
      <w:pPr>
        <w:pStyle w:val="ListBullet"/>
        <w:widowControl/>
        <w:ind w:left="369" w:hanging="170"/>
      </w:pPr>
      <w:r>
        <w:rPr>
          <w:rFonts w:ascii="Inter" w:hAnsi="Inter" w:eastAsia="Inter"/>
          <w:color w:val="163F3D"/>
          <w:sz w:val="18"/>
        </w:rPr>
        <w:t xml:space="preserve">☐ </w:t>
      </w:r>
      <w:r>
        <w:rPr>
          <w:rFonts w:ascii="Inter" w:hAnsi="Inter" w:eastAsia="Inter"/>
          <w:color w:val="182026"/>
          <w:sz w:val="18"/>
        </w:rPr>
        <w:t>Es wird keine ungeprüfte Toolausgabe als Expertenurteil ausgegeben.</w:t>
      </w:r>
    </w:p>
    <w:p>
      <w:pPr>
        <w:pStyle w:val="Heading2"/>
        <w:widowControl/>
      </w:pPr>
      <w:r>
        <w:t>Preis und Vergütung</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Basisvergütung sichert die Tragfähigkeit.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Variable Komponenten knüpfen nur an messbare und steuerbare Ergebnisse an.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Caps, Floors und Mindestkundensurplus sind geregelt.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Kundenwert- und Wirkungskomponente zählen keine identischen Nutzenströme doppelt.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Zahlungs- und Review-Zeitpunkte sind klar.</w:t>
      </w:r>
    </w:p>
    <w:p>
      <w:pPr>
        <w:pStyle w:val="Heading2"/>
        <w:widowControl/>
      </w:pPr>
      <w:r>
        <w:t>Wirkungsschutz</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Schutz-Gate und rote Linien sind definiert.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Negative Nebenwirkungen werden gemessen oder geprüft.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Ein negativer NWI blockiert Wirkungsbonus und positive Claims.</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Remediation und Clawback sind geregelt.</w:t>
      </w:r>
    </w:p>
    <w:p>
      <w:pPr>
        <w:pStyle w:val="Heading2"/>
        <w:widowControl/>
      </w:pPr>
      <w:r>
        <w:t>Daten und Prüfung</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Datenquellen, Einheiten und Verantwortliche sind benannt.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Zugriffs-, Prüf- und Revisionsrechte sind ausgewogen.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Datenschutz, Vertraulichkeit, Aufbewahrung und Löschung sind geregelt.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Datenlücken und Methodenänderungen haben definierte Folgen.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Bei Bedarf ist unabhängige Assurance vorgesehen.</w:t>
      </w:r>
    </w:p>
    <w:p>
      <w:pPr>
        <w:pStyle w:val="Heading2"/>
        <w:widowControl/>
      </w:pPr>
      <w:r>
        <w:t>Fairness und Risiko</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Risiko wird nach Steuerbarkeit verteilt.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Der Anbieter übernimmt keine unbegrenzten Umfeldrisiken.</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Der Kunde behält einen angemessenen Anteil des Werts.</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Zugang, Teilhabe und schwierige Fälle werden nicht benachteiligt.</w:t>
      </w:r>
    </w:p>
    <w:p>
      <w:pPr>
        <w:pStyle w:val="ListBullet"/>
        <w:widowControl/>
        <w:spacing w:after="40"/>
        <w:ind w:left="369" w:hanging="170"/>
      </w:pPr>
      <w:r>
        <w:rPr>
          <w:rFonts w:ascii="Inter" w:hAnsi="Inter" w:eastAsia="Inter"/>
          <w:color w:val="163F3D"/>
          <w:sz w:val="18"/>
        </w:rPr>
        <w:t xml:space="preserve">☐ </w:t>
      </w:r>
      <w:r>
        <w:rPr>
          <w:rFonts w:ascii="Inter" w:hAnsi="Inter" w:eastAsia="Inter"/>
          <w:color w:val="182026"/>
          <w:sz w:val="18"/>
        </w:rPr>
        <w:t>Streit- und Beschwerdewege sind festgelegt.</w:t>
      </w:r>
    </w:p>
    <w:p>
      <w:pPr>
        <w:pStyle w:val="Heading1"/>
        <w:widowControl/>
        <w:pBdr>
          <w:bottom w:val="single" w:sz="10" w:space="6" w:color="C99A43"/>
        </w:pBdr>
      </w:pPr>
      <w:r>
        <w:t>Anhang F: Beispiel für ein WVP-Term-Sheet</w:t>
      </w:r>
    </w:p>
    <w:p>
      <w:pPr>
        <w:pStyle w:val="BodyText"/>
        <w:widowControl/>
        <w:spacing w:after="110" w:line="278" w:lineRule="auto"/>
        <w:ind w:firstLine="255"/>
      </w:pPr>
      <w:r>
        <w:rPr>
          <w:rFonts w:ascii="Inter" w:hAnsi="Inter" w:eastAsia="Inter"/>
          <w:b/>
          <w:color w:val="182026"/>
          <w:sz w:val="19"/>
        </w:rPr>
        <w:t>Leistungsgegenstand:</w:t>
      </w:r>
      <w:r>
        <w:rPr>
          <w:rFonts w:ascii="Inter" w:hAnsi="Inter" w:eastAsia="Inter"/>
          <w:color w:val="182026"/>
          <w:sz w:val="19"/>
        </w:rPr>
        <w:t xml:space="preserve"> Beschreibung der angestrebten Zustandsveränderung und der vereinbarten Leistungen.</w:t>
      </w:r>
    </w:p>
    <w:p>
      <w:pPr>
        <w:pStyle w:val="BodyText"/>
        <w:widowControl/>
        <w:spacing w:after="110" w:line="278" w:lineRule="auto"/>
        <w:ind w:firstLine="255"/>
      </w:pPr>
      <w:r>
        <w:rPr>
          <w:rFonts w:ascii="Inter" w:hAnsi="Inter" w:eastAsia="Inter"/>
          <w:b/>
          <w:color w:val="182026"/>
          <w:sz w:val="19"/>
        </w:rPr>
        <w:t>Baseline:</w:t>
      </w:r>
      <w:r>
        <w:rPr>
          <w:rFonts w:ascii="Inter" w:hAnsi="Inter" w:eastAsia="Inter"/>
          <w:color w:val="182026"/>
          <w:sz w:val="19"/>
        </w:rPr>
        <w:t xml:space="preserve"> Messwerte, Zeitraum, Datenquelle und Qualitätsstatus.</w:t>
      </w:r>
    </w:p>
    <w:p>
      <w:pPr>
        <w:pStyle w:val="BodyText"/>
        <w:widowControl/>
        <w:spacing w:after="110" w:line="278" w:lineRule="auto"/>
        <w:ind w:firstLine="255"/>
      </w:pPr>
      <w:r>
        <w:rPr>
          <w:rFonts w:ascii="Inter" w:hAnsi="Inter" w:eastAsia="Inter"/>
          <w:b/>
          <w:color w:val="182026"/>
          <w:sz w:val="19"/>
        </w:rPr>
        <w:t>Referenzalternative:</w:t>
      </w:r>
      <w:r>
        <w:rPr>
          <w:rFonts w:ascii="Inter" w:hAnsi="Inter" w:eastAsia="Inter"/>
          <w:color w:val="182026"/>
          <w:sz w:val="19"/>
        </w:rPr>
        <w:t xml:space="preserve"> Erwarteter Verlauf ohne Leistung oder mit nächster Alternative.</w:t>
      </w:r>
    </w:p>
    <w:p>
      <w:pPr>
        <w:pStyle w:val="BodyText"/>
        <w:widowControl/>
        <w:spacing w:after="110" w:line="278" w:lineRule="auto"/>
        <w:ind w:firstLine="255"/>
      </w:pPr>
      <w:r>
        <w:rPr>
          <w:rFonts w:ascii="Inter" w:hAnsi="Inter" w:eastAsia="Inter"/>
          <w:b/>
          <w:color w:val="182026"/>
          <w:sz w:val="19"/>
        </w:rPr>
        <w:t>Wertpfade:</w:t>
      </w:r>
      <w:r>
        <w:rPr>
          <w:rFonts w:ascii="Inter" w:hAnsi="Inter" w:eastAsia="Inter"/>
          <w:color w:val="182026"/>
          <w:sz w:val="19"/>
        </w:rPr>
        <w:t xml:space="preserve"> Liste der bonusfähigen wirtschaftlichen Nutzenströme; Ausschluss von Doppelzählung.</w:t>
      </w:r>
    </w:p>
    <w:p>
      <w:pPr>
        <w:pStyle w:val="BodyText"/>
        <w:widowControl/>
        <w:spacing w:after="110" w:line="278" w:lineRule="auto"/>
        <w:ind w:firstLine="255"/>
      </w:pPr>
      <w:r>
        <w:rPr>
          <w:rFonts w:ascii="Inter" w:hAnsi="Inter" w:eastAsia="Inter"/>
          <w:b/>
          <w:color w:val="182026"/>
          <w:sz w:val="19"/>
        </w:rPr>
        <w:t>Wirkungspfade:</w:t>
      </w:r>
      <w:r>
        <w:rPr>
          <w:rFonts w:ascii="Inter" w:hAnsi="Inter" w:eastAsia="Inter"/>
          <w:color w:val="182026"/>
          <w:sz w:val="19"/>
        </w:rPr>
        <w:t xml:space="preserve"> Wesentliche Wirkungen auf Mensch, Planet und Demokratie; KII und Schutzkriterien.</w:t>
      </w:r>
    </w:p>
    <w:p>
      <w:pPr>
        <w:pStyle w:val="BodyText"/>
        <w:widowControl/>
        <w:spacing w:after="110" w:line="278" w:lineRule="auto"/>
        <w:ind w:firstLine="255"/>
      </w:pPr>
      <w:r>
        <w:rPr>
          <w:rFonts w:ascii="Inter" w:hAnsi="Inter" w:eastAsia="Inter"/>
          <w:b/>
          <w:color w:val="182026"/>
          <w:sz w:val="19"/>
        </w:rPr>
        <w:t>Basisvergütung F:</w:t>
      </w:r>
      <w:r>
        <w:rPr>
          <w:rFonts w:ascii="Inter" w:hAnsi="Inter" w:eastAsia="Inter"/>
          <w:color w:val="182026"/>
          <w:sz w:val="19"/>
        </w:rPr>
        <w:t xml:space="preserve"> Betrag, Zahlungsplan und enthaltene Lieferverpflichtungen.</w:t>
      </w:r>
    </w:p>
    <w:p>
      <w:pPr>
        <w:pStyle w:val="BodyText"/>
        <w:widowControl/>
        <w:spacing w:after="110" w:line="278" w:lineRule="auto"/>
        <w:ind w:firstLine="255"/>
      </w:pPr>
      <w:r>
        <w:rPr>
          <w:rFonts w:ascii="Inter" w:hAnsi="Inter" w:eastAsia="Inter"/>
          <w:b/>
          <w:color w:val="182026"/>
          <w:sz w:val="19"/>
        </w:rPr>
        <w:t>Kundenwertkomponente B_V:</w:t>
      </w:r>
      <w:r>
        <w:rPr>
          <w:rFonts w:ascii="Inter" w:hAnsi="Inter" w:eastAsia="Inter"/>
          <w:color w:val="182026"/>
          <w:sz w:val="19"/>
        </w:rPr>
        <w:t xml:space="preserve"> Formel, Zurechnung, Cap, Floor, Review-Zeitpunkt und Datenquelle.</w:t>
      </w:r>
    </w:p>
    <w:p>
      <w:pPr>
        <w:pStyle w:val="BodyText"/>
        <w:widowControl/>
        <w:spacing w:after="110" w:line="278" w:lineRule="auto"/>
        <w:ind w:firstLine="255"/>
      </w:pPr>
      <w:r>
        <w:rPr>
          <w:rFonts w:ascii="Inter" w:hAnsi="Inter" w:eastAsia="Inter"/>
          <w:b/>
          <w:color w:val="182026"/>
          <w:sz w:val="19"/>
        </w:rPr>
        <w:t>Wirkungskomponente B_I:</w:t>
      </w:r>
      <w:r>
        <w:rPr>
          <w:rFonts w:ascii="Inter" w:hAnsi="Inter" w:eastAsia="Inter"/>
          <w:color w:val="182026"/>
          <w:sz w:val="19"/>
        </w:rPr>
        <w:t xml:space="preserve"> gesonderte Finanzierungsquelle, NWI-/Schutz-Gate, Nachweis und Cap.</w:t>
      </w:r>
    </w:p>
    <w:p>
      <w:pPr>
        <w:pStyle w:val="BodyText"/>
        <w:widowControl/>
        <w:spacing w:after="110" w:line="278" w:lineRule="auto"/>
        <w:ind w:firstLine="255"/>
      </w:pPr>
      <w:r>
        <w:rPr>
          <w:rFonts w:ascii="Inter" w:hAnsi="Inter" w:eastAsia="Inter"/>
          <w:b/>
          <w:color w:val="182026"/>
          <w:sz w:val="19"/>
        </w:rPr>
        <w:t>Mitwirkungspflichten:</w:t>
      </w:r>
      <w:r>
        <w:rPr>
          <w:rFonts w:ascii="Inter" w:hAnsi="Inter" w:eastAsia="Inter"/>
          <w:color w:val="182026"/>
          <w:sz w:val="19"/>
        </w:rPr>
        <w:t xml:space="preserve"> Daten, Zugang, interne Ressourcen, Entscheidungen und Implementierung.</w:t>
      </w:r>
    </w:p>
    <w:p>
      <w:pPr>
        <w:pStyle w:val="BodyText"/>
        <w:widowControl/>
        <w:spacing w:after="110" w:line="278" w:lineRule="auto"/>
        <w:ind w:firstLine="255"/>
      </w:pPr>
      <w:r>
        <w:rPr>
          <w:rFonts w:ascii="Inter" w:hAnsi="Inter" w:eastAsia="Inter"/>
          <w:b/>
          <w:color w:val="182026"/>
          <w:sz w:val="19"/>
        </w:rPr>
        <w:t>Externe Ereignisse:</w:t>
      </w:r>
      <w:r>
        <w:rPr>
          <w:rFonts w:ascii="Inter" w:hAnsi="Inter" w:eastAsia="Inter"/>
          <w:color w:val="182026"/>
          <w:sz w:val="19"/>
        </w:rPr>
        <w:t xml:space="preserve"> definierte Schocks, Schwellen und Anpassungsmechanismus.</w:t>
      </w:r>
    </w:p>
    <w:p>
      <w:pPr>
        <w:pStyle w:val="BodyText"/>
        <w:widowControl/>
        <w:spacing w:after="110" w:line="278" w:lineRule="auto"/>
        <w:ind w:firstLine="255"/>
      </w:pPr>
      <w:r>
        <w:rPr>
          <w:rFonts w:ascii="Inter" w:hAnsi="Inter" w:eastAsia="Inter"/>
          <w:b/>
          <w:color w:val="182026"/>
          <w:sz w:val="19"/>
        </w:rPr>
        <w:t>Daten und Assurance:</w:t>
      </w:r>
      <w:r>
        <w:rPr>
          <w:rFonts w:ascii="Inter" w:hAnsi="Inter" w:eastAsia="Inter"/>
          <w:color w:val="182026"/>
          <w:sz w:val="19"/>
        </w:rPr>
        <w:t xml:space="preserve"> Eigentum, Nutzung, Zugriff, Datenschutz, Prüfung und Löschung.</w:t>
      </w:r>
    </w:p>
    <w:p>
      <w:pPr>
        <w:pStyle w:val="BodyText"/>
      </w:pPr>
      <w:r>
        <w:rPr>
          <w:b w:val="0"/>
          <w:i w:val="0"/>
        </w:rPr>
        <w:t>Werkzeuge und KI: Wesentliche Toolnutzung, menschliche Prüfung, Datenschutz, Rechte, Haftung, Qualitätsanforderungen und Offenlegungsgrenzen.</w:t>
      </w:r>
    </w:p>
    <w:p>
      <w:pPr>
        <w:pStyle w:val="BodyText"/>
        <w:widowControl/>
        <w:spacing w:after="110" w:line="278" w:lineRule="auto"/>
        <w:ind w:firstLine="255"/>
      </w:pPr>
      <w:r>
        <w:rPr>
          <w:rFonts w:ascii="Inter" w:hAnsi="Inter" w:eastAsia="Inter"/>
          <w:b/>
          <w:color w:val="182026"/>
          <w:sz w:val="19"/>
        </w:rPr>
        <w:t>Korrektur:</w:t>
      </w:r>
      <w:r>
        <w:rPr>
          <w:rFonts w:ascii="Inter" w:hAnsi="Inter" w:eastAsia="Inter"/>
          <w:color w:val="182026"/>
          <w:sz w:val="19"/>
        </w:rPr>
        <w:t xml:space="preserve"> Nachberechnung, Clawback, Remediation und Versionierung.</w:t>
      </w:r>
    </w:p>
    <w:p>
      <w:pPr>
        <w:pStyle w:val="BodyText"/>
        <w:widowControl/>
        <w:spacing w:after="110" w:line="278" w:lineRule="auto"/>
        <w:ind w:firstLine="255"/>
      </w:pPr>
      <w:r>
        <w:rPr>
          <w:rFonts w:ascii="Inter" w:hAnsi="Inter" w:eastAsia="Inter"/>
          <w:b/>
          <w:color w:val="182026"/>
          <w:sz w:val="19"/>
        </w:rPr>
        <w:t>Streitbeilegung:</w:t>
      </w:r>
      <w:r>
        <w:rPr>
          <w:rFonts w:ascii="Inter" w:hAnsi="Inter" w:eastAsia="Inter"/>
          <w:color w:val="182026"/>
          <w:sz w:val="19"/>
        </w:rPr>
        <w:t xml:space="preserve"> fachliche Klärung, unabhängige Prüfung, Mediation und Rechtsweg.</w:t>
      </w:r>
    </w:p>
    <w:p>
      <w:pPr>
        <w:pStyle w:val="BodyText"/>
        <w:widowControl/>
        <w:spacing w:after="110" w:line="278" w:lineRule="auto"/>
        <w:ind w:firstLine="255"/>
      </w:pPr>
      <w:r>
        <w:rPr>
          <w:rFonts w:ascii="Inter" w:hAnsi="Inter" w:eastAsia="Inter"/>
          <w:b/>
          <w:color w:val="182026"/>
          <w:sz w:val="19"/>
        </w:rPr>
        <w:t>Lernschleife:</w:t>
      </w:r>
      <w:r>
        <w:rPr>
          <w:rFonts w:ascii="Inter" w:hAnsi="Inter" w:eastAsia="Inter"/>
          <w:color w:val="182026"/>
          <w:sz w:val="19"/>
        </w:rPr>
        <w:t xml:space="preserve"> Abschlussreview, gemeinsame Erkenntnisse und Nutzung anonymisierter Lerndaten.</w:t>
      </w:r>
    </w:p>
    <w:p>
      <w:pPr>
        <w:pStyle w:val="Heading1"/>
        <w:widowControl/>
        <w:pBdr>
          <w:bottom w:val="single" w:sz="10" w:space="6" w:color="C99A43"/>
        </w:pBdr>
      </w:pPr>
      <w:r>
        <w:t>Anhang G: Häufige Fragen</w:t>
      </w:r>
    </w:p>
    <w:p>
      <w:pPr>
        <w:pStyle w:val="Heading2"/>
        <w:widowControl/>
      </w:pPr>
      <w:r>
        <w:t>Ist WVP nur ein neues Wort für Value-based Pricing?</w:t>
      </w:r>
    </w:p>
    <w:p>
      <w:pPr>
        <w:pStyle w:val="BodyText"/>
        <w:widowControl/>
        <w:spacing w:after="110" w:line="278" w:lineRule="auto"/>
        <w:ind w:firstLine="255"/>
      </w:pPr>
      <w:r>
        <w:rPr>
          <w:rFonts w:ascii="Inter" w:hAnsi="Inter" w:eastAsia="Inter"/>
          <w:color w:val="182026"/>
          <w:sz w:val="19"/>
        </w:rPr>
        <w:t>Nein. Es übernimmt die Kundenwertlogik, führt aber zusätzlich eine eigenständige Wirkungsrechnung mit Schutz-Gate, NWI und Nichtkompensation ein. Kundenwert und Wirkung bleiben getrennte Achsen.</w:t>
      </w:r>
    </w:p>
    <w:p>
      <w:pPr>
        <w:pStyle w:val="Heading2"/>
        <w:widowControl/>
      </w:pPr>
      <w:r>
        <w:t>Wird dieselbe Leistung für unterschiedliche Kunden unterschiedlich teuer?</w:t>
      </w:r>
    </w:p>
    <w:p>
      <w:pPr>
        <w:pStyle w:val="BodyText"/>
        <w:widowControl/>
        <w:spacing w:after="110" w:line="278" w:lineRule="auto"/>
        <w:ind w:firstLine="255"/>
      </w:pPr>
      <w:r>
        <w:rPr>
          <w:rFonts w:ascii="Inter" w:hAnsi="Inter" w:eastAsia="Inter"/>
          <w:color w:val="182026"/>
          <w:sz w:val="19"/>
        </w:rPr>
        <w:t>Das kann der Fall sein, weil Wert kontextabhängig ist. Die Differenz muss aus nachvollziehbaren Wert-, Risiko- oder Finanzierungsunterschieden folgen und nach einer konsistenten Methode begründet werden. Sie darf nicht willkürlich oder diskriminierend sein.</w:t>
      </w:r>
    </w:p>
    <w:p>
      <w:pPr>
        <w:pStyle w:val="Heading2"/>
        <w:widowControl/>
      </w:pPr>
      <w:r>
        <w:t>Muss der Anbieter seine Kosten offenlegen?</w:t>
      </w:r>
    </w:p>
    <w:p>
      <w:pPr>
        <w:pStyle w:val="BodyText"/>
        <w:widowControl/>
        <w:spacing w:after="110" w:line="278" w:lineRule="auto"/>
        <w:ind w:firstLine="255"/>
      </w:pPr>
      <w:r>
        <w:rPr>
          <w:rFonts w:ascii="Inter" w:hAnsi="Inter" w:eastAsia="Inter"/>
          <w:color w:val="182026"/>
          <w:sz w:val="19"/>
        </w:rPr>
        <w:t>Nicht vollständig. Die Tragfähigkeitsrechnung ist zunächst intern. Der Kunde muss jedoch den Leistungsumfang, die Wertlogik und variable Zahlungsformeln verstehen können. Bei offenen Partnerschaften kann mehr Transparenz vereinbart werden.</w:t>
      </w:r>
    </w:p>
    <w:p>
      <w:pPr>
        <w:pStyle w:val="Heading2"/>
        <w:widowControl/>
      </w:pPr>
      <w:r>
        <w:t>Wird Wirkung monetarisiert?</w:t>
      </w:r>
    </w:p>
    <w:p>
      <w:pPr>
        <w:pStyle w:val="BodyText"/>
        <w:widowControl/>
        <w:spacing w:after="110" w:line="278" w:lineRule="auto"/>
        <w:ind w:firstLine="255"/>
      </w:pPr>
      <w:r>
        <w:rPr>
          <w:rFonts w:ascii="Inter" w:hAnsi="Inter" w:eastAsia="Inter"/>
          <w:color w:val="182026"/>
          <w:sz w:val="19"/>
        </w:rPr>
        <w:t>Nur ausgewählte direkte oder transformative Nutzenströme, wenn dies fachlich tragfähig ist. Der NWI selbst wird nicht in Euro umgerechnet. Rechte, rote Linien und nichtmonetarisierbare Werte bleiben eigenständig.</w:t>
      </w:r>
    </w:p>
    <w:p>
      <w:pPr>
        <w:pStyle w:val="Heading2"/>
        <w:widowControl/>
      </w:pPr>
      <w:r>
        <w:t>Bedeutet positive Wirkung automatisch einen höheren Preis?</w:t>
      </w:r>
    </w:p>
    <w:p>
      <w:pPr>
        <w:pStyle w:val="BodyText"/>
        <w:widowControl/>
        <w:spacing w:after="110" w:line="278" w:lineRule="auto"/>
        <w:ind w:firstLine="255"/>
      </w:pPr>
      <w:r>
        <w:rPr>
          <w:rFonts w:ascii="Inter" w:hAnsi="Inter" w:eastAsia="Inter"/>
          <w:color w:val="182026"/>
          <w:sz w:val="19"/>
        </w:rPr>
        <w:t>Nein. Positive Wirkung kann Bonus, Beschaffungspräferenz, längere Partnerschaft, Drittfinanzierung oder einen niedrigeren Kundenpreis ermöglichen. Sie ist kein automatischer Aufschlag.</w:t>
      </w:r>
    </w:p>
    <w:p>
      <w:pPr>
        <w:pStyle w:val="Heading2"/>
        <w:widowControl/>
      </w:pPr>
      <w:r>
        <w:t>Was geschieht bei negativer Wirkung?</w:t>
      </w:r>
    </w:p>
    <w:p>
      <w:pPr>
        <w:pStyle w:val="BodyText"/>
        <w:widowControl/>
        <w:spacing w:after="110" w:line="278" w:lineRule="auto"/>
        <w:ind w:firstLine="255"/>
      </w:pPr>
      <w:r>
        <w:rPr>
          <w:rFonts w:ascii="Inter" w:hAnsi="Inter" w:eastAsia="Inter"/>
          <w:color w:val="182026"/>
          <w:sz w:val="19"/>
        </w:rPr>
        <w:t>Negative Wirkung wird nicht durch Kundenwert kompensiert. Je nach Schwere folgen Redesign, Remediation, Malus, Ausschluss eines Bonus, begrenzter Pilot oder Ablehnung.</w:t>
      </w:r>
    </w:p>
    <w:p>
      <w:pPr>
        <w:pStyle w:val="Heading2"/>
        <w:widowControl/>
      </w:pPr>
      <w:r>
        <w:t>Was ist, wenn Daten fehlen?</w:t>
      </w:r>
    </w:p>
    <w:p>
      <w:pPr>
        <w:pStyle w:val="BodyText"/>
        <w:widowControl/>
        <w:spacing w:after="110" w:line="278" w:lineRule="auto"/>
        <w:ind w:firstLine="255"/>
      </w:pPr>
      <w:r>
        <w:rPr>
          <w:rFonts w:ascii="Inter" w:hAnsi="Inter" w:eastAsia="Inter"/>
          <w:color w:val="182026"/>
          <w:sz w:val="19"/>
        </w:rPr>
        <w:t>Datenlücken werden markiert. Hohe variable Vergütung oder starke Wirkungsclaims sind dann nicht zulässig. Möglich sind konservative Standardwerte, Discovery-Phase oder spätere Nachmessung.</w:t>
      </w:r>
    </w:p>
    <w:p>
      <w:pPr>
        <w:pStyle w:val="Heading2"/>
        <w:widowControl/>
      </w:pPr>
      <w:r>
        <w:t>Ist WVP für kleine Unternehmen zu aufwendig?</w:t>
      </w:r>
    </w:p>
    <w:p>
      <w:pPr>
        <w:pStyle w:val="BodyText"/>
        <w:widowControl/>
        <w:spacing w:after="110" w:line="278" w:lineRule="auto"/>
        <w:ind w:firstLine="255"/>
      </w:pPr>
      <w:r>
        <w:rPr>
          <w:rFonts w:ascii="Inter" w:hAnsi="Inter" w:eastAsia="Inter"/>
          <w:color w:val="182026"/>
          <w:sz w:val="19"/>
        </w:rPr>
        <w:t>Es kann schlank angewendet werden. Ein wertbegründeter Festpreis mit einfachem Canvas, drei Wertpfaden und einer kompakten Schutzprüfung ist bereits WVP-fähig. Komplexität steigt nur mit Risiko, Betrag und Claim.</w:t>
      </w:r>
    </w:p>
    <w:p>
      <w:pPr>
        <w:pStyle w:val="Heading2"/>
        <w:widowControl/>
      </w:pPr>
      <w:r>
        <w:t>Kann WVP Stundenabrechnung vollständig ersetzen?</w:t>
      </w:r>
    </w:p>
    <w:p>
      <w:pPr>
        <w:pStyle w:val="BodyText"/>
        <w:widowControl/>
        <w:spacing w:after="110" w:line="278" w:lineRule="auto"/>
        <w:ind w:firstLine="255"/>
      </w:pPr>
      <w:r>
        <w:rPr>
          <w:rFonts w:ascii="Inter" w:hAnsi="Inter" w:eastAsia="Inter"/>
          <w:color w:val="182026"/>
          <w:sz w:val="19"/>
        </w:rPr>
        <w:t>Nein. Stundenmodelle bleiben sinnvoll bei offenem Scope, Bereitschaftsdiensten, Forschung mit hoher Ungewissheit oder kleinteiliger Unterstützung. WVP hilft, ihre Grenzen zu erkennen und gegebenenfalls Retainer oder Festpreise wertorientiert zu begründen.</w:t>
      </w:r>
    </w:p>
    <w:p>
      <w:pPr>
        <w:pStyle w:val="Heading2"/>
        <w:widowControl/>
      </w:pPr>
      <w:r>
        <w:t>Heißt das, dass Stunden gar keine Rolle mehr spielen?</w:t>
      </w:r>
    </w:p>
    <w:p>
      <w:pPr>
        <w:pStyle w:val="BodyText"/>
        <w:widowControl/>
        <w:spacing w:after="110" w:line="276" w:lineRule="auto"/>
        <w:ind w:firstLine="255"/>
      </w:pPr>
      <w:r>
        <w:rPr>
          <w:rFonts w:ascii="Inter" w:hAnsi="Inter" w:eastAsia="Inter"/>
          <w:color w:val="182026"/>
          <w:sz w:val="19"/>
        </w:rPr>
        <w:t>Nein. Stunden bleiben für Kosten, Kapazität, Planung und Scope wichtig. Sie sind nur kein ausreichender Wertmaßstab.</w:t>
      </w:r>
    </w:p>
    <w:p>
      <w:pPr>
        <w:pStyle w:val="Heading2"/>
        <w:widowControl/>
      </w:pPr>
      <w:r>
        <w:t>Darf ich denselben Preis verlangen, obwohl KI meinen Aufwand stark reduziert?</w:t>
      </w:r>
    </w:p>
    <w:p>
      <w:pPr>
        <w:pStyle w:val="BodyText"/>
        <w:widowControl/>
        <w:spacing w:after="110" w:line="276" w:lineRule="auto"/>
        <w:ind w:firstLine="255"/>
      </w:pPr>
      <w:r>
        <w:rPr>
          <w:rFonts w:ascii="Inter" w:hAnsi="Inter" w:eastAsia="Inter"/>
          <w:color w:val="182026"/>
          <w:sz w:val="19"/>
        </w:rPr>
        <w:t>Möglich, aber nicht automatisch. Entscheidend sind Kundenwert, Alternative, Qualität, Differenzierung und faire Teilung. Der Preis muss nicht proportional zur Zeit fallen; er darf aber auch nicht unabhängig vom Markt und Kundennutzen beliebig bleiben.</w:t>
      </w:r>
    </w:p>
    <w:p>
      <w:pPr>
        <w:pStyle w:val="Heading2"/>
        <w:widowControl/>
      </w:pPr>
      <w:r>
        <w:t>Muss ich offenlegen, dass ich KI verwende?</w:t>
      </w:r>
    </w:p>
    <w:p>
      <w:pPr>
        <w:pStyle w:val="BodyText"/>
        <w:widowControl/>
        <w:spacing w:after="110" w:line="276" w:lineRule="auto"/>
        <w:ind w:firstLine="255"/>
      </w:pPr>
      <w:r>
        <w:rPr>
          <w:rFonts w:ascii="Inter" w:hAnsi="Inter" w:eastAsia="Inter"/>
          <w:color w:val="182026"/>
          <w:sz w:val="19"/>
        </w:rPr>
        <w:t>Nicht jeder interne Arbeitsschritt muss offengelegt werden. Eine Offenlegung ist jedoch notwendig, wenn der KI-Einsatz für Datenschutz, Rechte, Sicherheit, Qualität, Haftung oder die zugesagte menschliche Expertise wesentlich ist.</w:t>
      </w:r>
    </w:p>
    <w:p>
      <w:pPr>
        <w:pStyle w:val="Heading2"/>
        <w:widowControl/>
      </w:pPr>
      <w:r>
        <w:t>Ist Erfahrung nicht bereits im höheren Stundensatz enthalten?</w:t>
      </w:r>
    </w:p>
    <w:p>
      <w:pPr>
        <w:pStyle w:val="BodyText"/>
        <w:widowControl/>
        <w:spacing w:after="110" w:line="276" w:lineRule="auto"/>
        <w:ind w:firstLine="255"/>
      </w:pPr>
      <w:r>
        <w:rPr>
          <w:rFonts w:ascii="Inter" w:hAnsi="Inter" w:eastAsia="Inter"/>
          <w:color w:val="182026"/>
          <w:sz w:val="19"/>
        </w:rPr>
        <w:t>Teilweise. Ein höherer Satz kann Erfahrung abbilden, löst aber das Grundproblem nicht: Wenn die erfahrene Person fünf statt dreißig Stunden benötigt, kann sie trotz höherem Satz weniger verdienen als die langsamere Person. Der Wertbezug bleibt unvollständig.</w:t>
      </w:r>
    </w:p>
    <w:p>
      <w:pPr>
        <w:pStyle w:val="Heading2"/>
        <w:widowControl/>
      </w:pPr>
      <w:r>
        <w:t>Was ist der Unterschied zwischen Meilenstein und Outcome?</w:t>
      </w:r>
    </w:p>
    <w:p>
      <w:pPr>
        <w:pStyle w:val="BodyText"/>
        <w:widowControl/>
        <w:spacing w:after="110" w:line="278" w:lineRule="auto"/>
        <w:ind w:firstLine="255"/>
      </w:pPr>
      <w:r>
        <w:rPr>
          <w:rFonts w:ascii="Inter" w:hAnsi="Inter" w:eastAsia="Inter"/>
          <w:color w:val="182026"/>
          <w:sz w:val="19"/>
        </w:rPr>
        <w:t>Ein Meilenstein kann ein Output sein, etwa ein funktionsfähiger Prototyp. Outcome ist die tatsächliche Veränderung im Nutzungssystem, etwa geringere Fehler oder bessere Entscheidung. Beide können vertraglich relevant sein, müssen aber bezeichnet werden.</w:t>
      </w:r>
    </w:p>
    <w:p>
      <w:pPr>
        <w:pStyle w:val="Heading2"/>
        <w:widowControl/>
      </w:pPr>
      <w:r>
        <w:t>Wer bestimmt den Attributionsanteil?</w:t>
      </w:r>
    </w:p>
    <w:p>
      <w:pPr>
        <w:pStyle w:val="BodyText"/>
        <w:widowControl/>
        <w:spacing w:after="110" w:line="278" w:lineRule="auto"/>
        <w:ind w:firstLine="255"/>
      </w:pPr>
      <w:r>
        <w:rPr>
          <w:rFonts w:ascii="Inter" w:hAnsi="Inter" w:eastAsia="Inter"/>
          <w:color w:val="182026"/>
          <w:sz w:val="19"/>
        </w:rPr>
        <w:t>Er wird vorab methodisch vereinbart und später auf Basis der Daten geprüft. Bei Interessenkonflikten kann eine unabhängige Stelle eingebunden werden. Eine pauschale Anbieterquote ohne Wertpfad ist zu vermeiden.</w:t>
      </w:r>
    </w:p>
    <w:p>
      <w:pPr>
        <w:pStyle w:val="Heading2"/>
        <w:widowControl/>
      </w:pPr>
      <w:r>
        <w:t>Kann der Kunde den gesamten Wert offenlegen?</w:t>
      </w:r>
    </w:p>
    <w:p>
      <w:pPr>
        <w:pStyle w:val="BodyText"/>
        <w:widowControl/>
        <w:spacing w:after="110" w:line="278" w:lineRule="auto"/>
        <w:ind w:firstLine="255"/>
      </w:pPr>
      <w:r>
        <w:rPr>
          <w:rFonts w:ascii="Inter" w:hAnsi="Inter" w:eastAsia="Inter"/>
          <w:color w:val="182026"/>
          <w:sz w:val="19"/>
        </w:rPr>
        <w:t>Nicht immer. Dann können Bandbreiten, externe Benchmarks, relative Kennzahlen oder eine neutrale Prüfung verwendet werden. Ohne ausreichende Transparenz sollte der variable Anteil begrenzt bleiben.</w:t>
      </w:r>
    </w:p>
    <w:p>
      <w:pPr>
        <w:pStyle w:val="Heading2"/>
        <w:widowControl/>
      </w:pPr>
      <w:r>
        <w:t>Kann eine negative Kundenentscheidung trotzdem wertvoll sein?</w:t>
      </w:r>
    </w:p>
    <w:p>
      <w:pPr>
        <w:pStyle w:val="BodyText"/>
        <w:widowControl/>
        <w:spacing w:after="110" w:line="278" w:lineRule="auto"/>
        <w:ind w:firstLine="255"/>
      </w:pPr>
      <w:r>
        <w:rPr>
          <w:rFonts w:ascii="Inter" w:hAnsi="Inter" w:eastAsia="Inter"/>
          <w:color w:val="182026"/>
          <w:sz w:val="19"/>
        </w:rPr>
        <w:t>Ja. Forschung, Due Diligence oder Strategiearbeit kann hohen Wert erzeugen, wenn sie eine falsche Investition verhindert. Ein Bonus nur für „Go“-Entscheidungen würde Fehlanreize erzeugen.</w:t>
      </w:r>
    </w:p>
    <w:p>
      <w:pPr>
        <w:pStyle w:val="Heading2"/>
        <w:widowControl/>
      </w:pPr>
      <w:r>
        <w:t>Wie wird langfristiger Wert behandelt?</w:t>
      </w:r>
    </w:p>
    <w:p>
      <w:pPr>
        <w:pStyle w:val="BodyText"/>
        <w:widowControl/>
        <w:spacing w:after="110" w:line="278" w:lineRule="auto"/>
        <w:ind w:firstLine="255"/>
      </w:pPr>
      <w:r>
        <w:rPr>
          <w:rFonts w:ascii="Inter" w:hAnsi="Inter" w:eastAsia="Inter"/>
          <w:color w:val="182026"/>
          <w:sz w:val="19"/>
        </w:rPr>
        <w:t>Nutzenströme werden zeitlich abgegrenzt, diskontiert und mit Drop-off sowie Unsicherheit versehen. Anbieter erhalten nicht automatisch Anteil an allen späteren Gewinnen.</w:t>
      </w:r>
    </w:p>
    <w:p>
      <w:pPr>
        <w:pStyle w:val="Heading2"/>
        <w:widowControl/>
      </w:pPr>
      <w:r>
        <w:t>Was ist mit geistigem Eigentum?</w:t>
      </w:r>
    </w:p>
    <w:p>
      <w:pPr>
        <w:pStyle w:val="BodyText"/>
        <w:widowControl/>
        <w:spacing w:after="110" w:line="278" w:lineRule="auto"/>
        <w:ind w:firstLine="255"/>
      </w:pPr>
      <w:r>
        <w:rPr>
          <w:rFonts w:ascii="Inter" w:hAnsi="Inter" w:eastAsia="Inter"/>
          <w:color w:val="182026"/>
          <w:sz w:val="19"/>
        </w:rPr>
        <w:t>IP, Nutzungsrechte und Wiederverwendbarkeit beeinflussen Kundenwert und Anbietertragfähigkeit. Sie werden ausdrücklich geregelt. Exklusive Rechte können den Preis erhöhen, offene Standards können zusätzliche Wirkung und Drittfinanzierung ermöglichen.</w:t>
      </w:r>
    </w:p>
    <w:p>
      <w:pPr>
        <w:pStyle w:val="Heading2"/>
        <w:widowControl/>
      </w:pPr>
      <w:r>
        <w:t>Ist WVP mit öffentlicher Beschaffung vereinbar?</w:t>
      </w:r>
    </w:p>
    <w:p>
      <w:pPr>
        <w:pStyle w:val="BodyText"/>
        <w:widowControl/>
        <w:spacing w:after="110" w:line="278" w:lineRule="auto"/>
        <w:ind w:firstLine="255"/>
      </w:pPr>
      <w:r>
        <w:rPr>
          <w:rFonts w:ascii="Inter" w:hAnsi="Inter" w:eastAsia="Inter"/>
          <w:color w:val="182026"/>
          <w:sz w:val="19"/>
        </w:rPr>
        <w:t>Als Konzept kann es Ziel-, Outcome- und Wirkungsorientierung unterstützen. Die konkrete Ausgestaltung muss Vergabe-, Haushalts- und Gleichbehandlungsrecht erfüllen und transparent vergleichbar sein.</w:t>
      </w:r>
    </w:p>
    <w:p>
      <w:pPr>
        <w:pStyle w:val="Heading2"/>
        <w:widowControl/>
      </w:pPr>
      <w:r>
        <w:t>Darf ein Algorithmus den Preis berechnen?</w:t>
      </w:r>
    </w:p>
    <w:p>
      <w:pPr>
        <w:pStyle w:val="BodyText"/>
        <w:widowControl/>
        <w:spacing w:after="110" w:line="278" w:lineRule="auto"/>
        <w:ind w:firstLine="255"/>
      </w:pPr>
      <w:r>
        <w:rPr>
          <w:rFonts w:ascii="Inter" w:hAnsi="Inter" w:eastAsia="Inter"/>
          <w:color w:val="182026"/>
          <w:sz w:val="19"/>
        </w:rPr>
        <w:t>Er darf Modelle unterstützen. Preis, Score, Benchmark und Zahlungsfolge müssen erklärbar, anfechtbar und menschlich verantwortet bleiben.</w:t>
      </w:r>
    </w:p>
    <w:p>
      <w:pPr>
        <w:pStyle w:val="Heading2"/>
        <w:widowControl/>
      </w:pPr>
      <w:r>
        <w:t>Wie wird verhindert, dass Anbieter nur leichte Fälle wählen?</w:t>
      </w:r>
    </w:p>
    <w:p>
      <w:pPr>
        <w:pStyle w:val="BodyText"/>
        <w:widowControl/>
        <w:spacing w:after="110" w:line="278" w:lineRule="auto"/>
        <w:ind w:firstLine="255"/>
      </w:pPr>
      <w:r>
        <w:rPr>
          <w:rFonts w:ascii="Inter" w:hAnsi="Inter" w:eastAsia="Inter"/>
          <w:color w:val="182026"/>
          <w:sz w:val="19"/>
        </w:rPr>
        <w:t>Durch Zugangs- und Equity-Kriterien, Risikoadjustierung, Mindestabdeckung, getrennte Finanzierung schwieriger Fälle und das Schutz-Gate.</w:t>
      </w:r>
    </w:p>
    <w:p>
      <w:pPr>
        <w:pStyle w:val="Heading2"/>
        <w:widowControl/>
      </w:pPr>
      <w:r>
        <w:t>Was ist der kleinste sinnvolle Einstieg?</w:t>
      </w:r>
    </w:p>
    <w:p>
      <w:pPr>
        <w:pStyle w:val="BodyText"/>
        <w:widowControl/>
        <w:spacing w:after="110" w:line="278" w:lineRule="auto"/>
        <w:ind w:firstLine="255"/>
      </w:pPr>
      <w:r>
        <w:rPr>
          <w:rFonts w:ascii="Inter" w:hAnsi="Inter" w:eastAsia="Inter"/>
          <w:color w:val="182026"/>
          <w:sz w:val="19"/>
        </w:rPr>
        <w:t>Eine Leistung, ein Pilotkunde, ein Value Case Canvas, eine Baseline, eine Referenzalternative, drei Wertpfade, eine einfache Wirkungs-Scorecard und ein wertbegründeter Festpreis mit Review.</w:t>
      </w:r>
    </w:p>
    <w:p>
      <w:pPr>
        <w:pStyle w:val="Heading1"/>
        <w:widowControl/>
        <w:pBdr>
          <w:bottom w:val="single" w:sz="10" w:space="6" w:color="C99A43"/>
        </w:pBdr>
      </w:pPr>
      <w:r>
        <w:t>Anhang H: Glossar</w:t>
      </w:r>
    </w:p>
    <w:p>
      <w:pPr>
        <w:pStyle w:val="BodyText"/>
        <w:widowControl/>
        <w:spacing w:after="110" w:line="278" w:lineRule="auto"/>
        <w:ind w:firstLine="255"/>
      </w:pPr>
      <w:r>
        <w:rPr>
          <w:rFonts w:ascii="Inter" w:hAnsi="Inter" w:eastAsia="Inter"/>
          <w:b/>
          <w:color w:val="182026"/>
          <w:sz w:val="19"/>
        </w:rPr>
        <w:t>Attribution:</w:t>
      </w:r>
      <w:r>
        <w:rPr>
          <w:rFonts w:ascii="Inter" w:hAnsi="Inter" w:eastAsia="Inter"/>
          <w:color w:val="182026"/>
          <w:sz w:val="19"/>
        </w:rPr>
        <w:t xml:space="preserve"> Kausale Zurechnung eines Anteils der beobachteten Veränderung zu einer Intervention.</w:t>
      </w:r>
    </w:p>
    <w:p>
      <w:pPr>
        <w:pStyle w:val="BodyText"/>
        <w:widowControl/>
        <w:spacing w:after="110" w:line="278" w:lineRule="auto"/>
        <w:ind w:firstLine="255"/>
      </w:pPr>
      <w:r>
        <w:rPr>
          <w:rFonts w:ascii="Inter" w:hAnsi="Inter" w:eastAsia="Inter"/>
          <w:b/>
          <w:color w:val="182026"/>
          <w:sz w:val="19"/>
        </w:rPr>
        <w:t>Basisvergütung (F):</w:t>
      </w:r>
      <w:r>
        <w:rPr>
          <w:rFonts w:ascii="Inter" w:hAnsi="Inter" w:eastAsia="Inter"/>
          <w:color w:val="182026"/>
          <w:sz w:val="19"/>
        </w:rPr>
        <w:t xml:space="preserve"> Fester Vergütungsanteil zur Sicherung vereinbarter Leistung, Kapazität und Tragfähigkeit.</w:t>
      </w:r>
    </w:p>
    <w:p>
      <w:pPr>
        <w:pStyle w:val="BodyText"/>
        <w:widowControl/>
        <w:spacing w:after="110" w:line="278" w:lineRule="auto"/>
        <w:ind w:firstLine="255"/>
      </w:pPr>
      <w:r>
        <w:rPr>
          <w:rFonts w:ascii="Inter" w:hAnsi="Inter" w:eastAsia="Inter"/>
          <w:b/>
          <w:color w:val="182026"/>
          <w:sz w:val="19"/>
        </w:rPr>
        <w:t>Benchmark:</w:t>
      </w:r>
      <w:r>
        <w:rPr>
          <w:rFonts w:ascii="Inter" w:hAnsi="Inter" w:eastAsia="Inter"/>
          <w:color w:val="182026"/>
          <w:sz w:val="19"/>
        </w:rPr>
        <w:t xml:space="preserve"> Sektoraler, technischer, rechtlicher oder wissenschaftlicher Vergleichs- oder Zielwert.</w:t>
      </w:r>
    </w:p>
    <w:p>
      <w:pPr>
        <w:pStyle w:val="BodyText"/>
        <w:widowControl/>
        <w:spacing w:after="110" w:line="278" w:lineRule="auto"/>
        <w:ind w:firstLine="255"/>
      </w:pPr>
      <w:r>
        <w:rPr>
          <w:rFonts w:ascii="Inter" w:hAnsi="Inter" w:eastAsia="Inter"/>
          <w:b/>
          <w:color w:val="182026"/>
          <w:sz w:val="19"/>
        </w:rPr>
        <w:t>Contribution:</w:t>
      </w:r>
      <w:r>
        <w:rPr>
          <w:rFonts w:ascii="Inter" w:hAnsi="Inter" w:eastAsia="Inter"/>
          <w:color w:val="182026"/>
          <w:sz w:val="19"/>
        </w:rPr>
        <w:t xml:space="preserve"> Evidenzgestützter Beitrag einer Intervention in einem komplexen Wirkungszusammenhang, ohne vollständige Kausalbehauptung.</w:t>
      </w:r>
    </w:p>
    <w:p>
      <w:pPr>
        <w:pStyle w:val="BodyText"/>
        <w:widowControl/>
        <w:spacing w:after="110" w:line="278" w:lineRule="auto"/>
        <w:ind w:firstLine="255"/>
      </w:pPr>
      <w:r>
        <w:rPr>
          <w:rFonts w:ascii="Inter" w:hAnsi="Inter" w:eastAsia="Inter"/>
          <w:b/>
          <w:color w:val="182026"/>
          <w:sz w:val="19"/>
        </w:rPr>
        <w:t>Counterfactual:</w:t>
      </w:r>
      <w:r>
        <w:rPr>
          <w:rFonts w:ascii="Inter" w:hAnsi="Inter" w:eastAsia="Inter"/>
          <w:color w:val="182026"/>
          <w:sz w:val="19"/>
        </w:rPr>
        <w:t xml:space="preserve"> Plausibler Zustand, der ohne die Intervention eingetreten wäre.</w:t>
      </w:r>
    </w:p>
    <w:p>
      <w:pPr>
        <w:pStyle w:val="BodyText"/>
        <w:widowControl/>
        <w:spacing w:after="110" w:line="278" w:lineRule="auto"/>
        <w:ind w:firstLine="255"/>
      </w:pPr>
      <w:r>
        <w:rPr>
          <w:rFonts w:ascii="Inter" w:hAnsi="Inter" w:eastAsia="Inter"/>
          <w:b/>
          <w:color w:val="182026"/>
          <w:sz w:val="19"/>
        </w:rPr>
        <w:t>Deadweight:</w:t>
      </w:r>
      <w:r>
        <w:rPr>
          <w:rFonts w:ascii="Inter" w:hAnsi="Inter" w:eastAsia="Inter"/>
          <w:color w:val="182026"/>
          <w:sz w:val="19"/>
        </w:rPr>
        <w:t xml:space="preserve"> Anteil einer Veränderung, der auch ohne Intervention eingetreten wäre.</w:t>
      </w:r>
    </w:p>
    <w:p>
      <w:pPr>
        <w:pStyle w:val="BodyText"/>
        <w:widowControl/>
        <w:spacing w:after="110" w:line="278" w:lineRule="auto"/>
        <w:ind w:firstLine="255"/>
      </w:pPr>
      <w:r>
        <w:rPr>
          <w:rFonts w:ascii="Inter" w:hAnsi="Inter" w:eastAsia="Inter"/>
          <w:b/>
          <w:color w:val="182026"/>
          <w:sz w:val="19"/>
        </w:rPr>
        <w:t>Displacement:</w:t>
      </w:r>
      <w:r>
        <w:rPr>
          <w:rFonts w:ascii="Inter" w:hAnsi="Inter" w:eastAsia="Inter"/>
          <w:color w:val="182026"/>
          <w:sz w:val="19"/>
        </w:rPr>
        <w:t xml:space="preserve"> Verdrängung von Nutzen oder Verlagerung negativer Wirkung an andere Orte, Gruppen oder Zeiten.</w:t>
      </w:r>
    </w:p>
    <w:p>
      <w:pPr>
        <w:pStyle w:val="BodyText"/>
      </w:pPr>
      <w:r>
        <w:rPr>
          <w:b w:val="0"/>
          <w:i w:val="0"/>
        </w:rPr>
        <w:t>Effizienzparadox der Stundenvergütung: Fehlanreiz, bei dem schnellere, erfahrenere oder stärker automatisierte Leistung zu geringerer Vergütung führt, obwohl der erzeugte Wert gleich bleibt oder steigt.</w:t>
      </w:r>
    </w:p>
    <w:p>
      <w:pPr>
        <w:pStyle w:val="BodyText"/>
        <w:widowControl/>
        <w:spacing w:after="110" w:line="278" w:lineRule="auto"/>
        <w:ind w:firstLine="255"/>
      </w:pPr>
      <w:r>
        <w:rPr>
          <w:rFonts w:ascii="Inter" w:hAnsi="Inter" w:eastAsia="Inter"/>
          <w:b/>
          <w:color w:val="182026"/>
          <w:sz w:val="19"/>
        </w:rPr>
        <w:t>Economic Value to Customer:</w:t>
      </w:r>
      <w:r>
        <w:rPr>
          <w:rFonts w:ascii="Inter" w:hAnsi="Inter" w:eastAsia="Inter"/>
          <w:color w:val="182026"/>
          <w:sz w:val="19"/>
        </w:rPr>
        <w:t xml:space="preserve"> Wirtschaftlicher Wert einer Lösung gegenüber der nächsten realistischen Alternative.</w:t>
      </w:r>
    </w:p>
    <w:p>
      <w:pPr>
        <w:pStyle w:val="BodyText"/>
        <w:widowControl/>
        <w:spacing w:after="110" w:line="278" w:lineRule="auto"/>
        <w:ind w:firstLine="255"/>
      </w:pPr>
      <w:r>
        <w:rPr>
          <w:rFonts w:ascii="Inter" w:hAnsi="Inter" w:eastAsia="Inter"/>
          <w:b/>
          <w:color w:val="182026"/>
          <w:sz w:val="19"/>
        </w:rPr>
        <w:t>Evidenzklasse:</w:t>
      </w:r>
      <w:r>
        <w:rPr>
          <w:rFonts w:ascii="Inter" w:hAnsi="Inter" w:eastAsia="Inter"/>
          <w:color w:val="182026"/>
          <w:sz w:val="19"/>
        </w:rPr>
        <w:t xml:space="preserve"> Stufe der Belastbarkeit einer Wert- oder Wirkungsbehauptung.</w:t>
      </w:r>
    </w:p>
    <w:p>
      <w:pPr>
        <w:pStyle w:val="BodyText"/>
        <w:widowControl/>
        <w:spacing w:after="110" w:line="278" w:lineRule="auto"/>
        <w:ind w:firstLine="255"/>
      </w:pPr>
      <w:r>
        <w:rPr>
          <w:rFonts w:ascii="Inter" w:hAnsi="Inter" w:eastAsia="Inter"/>
          <w:b/>
          <w:color w:val="182026"/>
          <w:sz w:val="19"/>
        </w:rPr>
        <w:t>Gainsharing:</w:t>
      </w:r>
      <w:r>
        <w:rPr>
          <w:rFonts w:ascii="Inter" w:hAnsi="Inter" w:eastAsia="Inter"/>
          <w:color w:val="182026"/>
          <w:sz w:val="19"/>
        </w:rPr>
        <w:t xml:space="preserve"> Vertragliche Teilung eines verifizierten wirtschaftlichen Vorteils zwischen Kunde und Anbieter.</w:t>
      </w:r>
    </w:p>
    <w:p>
      <w:pPr>
        <w:pStyle w:val="BodyText"/>
        <w:widowControl/>
        <w:spacing w:after="110" w:line="278" w:lineRule="auto"/>
        <w:ind w:firstLine="255"/>
      </w:pPr>
      <w:r>
        <w:rPr>
          <w:rFonts w:ascii="Inter" w:hAnsi="Inter" w:eastAsia="Inter"/>
          <w:b/>
          <w:color w:val="182026"/>
          <w:sz w:val="19"/>
        </w:rPr>
        <w:t>Impact:</w:t>
      </w:r>
      <w:r>
        <w:rPr>
          <w:rFonts w:ascii="Inter" w:hAnsi="Inter" w:eastAsia="Inter"/>
          <w:color w:val="182026"/>
          <w:sz w:val="19"/>
        </w:rPr>
        <w:t xml:space="preserve"> Langfristige oder systemische Zustandsveränderung; im WÖk-Kontext nicht automatisch positiv.</w:t>
      </w:r>
    </w:p>
    <w:p>
      <w:pPr>
        <w:pStyle w:val="BodyText"/>
        <w:widowControl/>
        <w:spacing w:after="110" w:line="278" w:lineRule="auto"/>
        <w:ind w:firstLine="255"/>
      </w:pPr>
      <w:r>
        <w:rPr>
          <w:rFonts w:ascii="Inter" w:hAnsi="Inter" w:eastAsia="Inter"/>
          <w:b/>
          <w:color w:val="182026"/>
          <w:sz w:val="19"/>
        </w:rPr>
        <w:t>Impact-of-Investment (IOI):</w:t>
      </w:r>
      <w:r>
        <w:rPr>
          <w:rFonts w:ascii="Inter" w:hAnsi="Inter" w:eastAsia="Inter"/>
          <w:color w:val="182026"/>
          <w:sz w:val="19"/>
        </w:rPr>
        <w:t xml:space="preserve"> Verhältnis eines direkt monetarisierten, kausal begrenzten Nettonutzens zum eingesetzten Kapital oder Budget.</w:t>
      </w:r>
    </w:p>
    <w:p>
      <w:pPr>
        <w:pStyle w:val="BodyText"/>
        <w:widowControl/>
        <w:spacing w:after="110" w:line="278" w:lineRule="auto"/>
        <w:ind w:firstLine="255"/>
      </w:pPr>
      <w:r>
        <w:rPr>
          <w:rFonts w:ascii="Inter" w:hAnsi="Inter" w:eastAsia="Inter"/>
          <w:b/>
          <w:color w:val="182026"/>
          <w:sz w:val="19"/>
        </w:rPr>
        <w:t>Key Impact Indicator (KII):</w:t>
      </w:r>
      <w:r>
        <w:rPr>
          <w:rFonts w:ascii="Inter" w:hAnsi="Inter" w:eastAsia="Inter"/>
          <w:color w:val="182026"/>
          <w:sz w:val="19"/>
        </w:rPr>
        <w:t xml:space="preserve"> Kennzahl für Zustandsveränderung, Nebenwirkung oder Rückkopplung.</w:t>
      </w:r>
    </w:p>
    <w:p>
      <w:pPr>
        <w:pStyle w:val="BodyText"/>
        <w:widowControl/>
        <w:spacing w:after="110" w:line="278" w:lineRule="auto"/>
        <w:ind w:firstLine="255"/>
      </w:pPr>
      <w:r>
        <w:rPr>
          <w:rFonts w:ascii="Inter" w:hAnsi="Inter" w:eastAsia="Inter"/>
          <w:b/>
          <w:color w:val="182026"/>
          <w:sz w:val="19"/>
        </w:rPr>
        <w:t>Kundenwert:</w:t>
      </w:r>
      <w:r>
        <w:rPr>
          <w:rFonts w:ascii="Inter" w:hAnsi="Inter" w:eastAsia="Inter"/>
          <w:color w:val="182026"/>
          <w:sz w:val="19"/>
        </w:rPr>
        <w:t xml:space="preserve"> Zurechenbarer wirtschaftlicher und entscheidungsrelevanter Vorteil des Auftraggebers gegenüber einer realistischen Alternative.</w:t>
      </w:r>
    </w:p>
    <w:p>
      <w:pPr>
        <w:pStyle w:val="BodyText"/>
        <w:widowControl/>
        <w:spacing w:after="110" w:line="278" w:lineRule="auto"/>
        <w:ind w:firstLine="255"/>
      </w:pPr>
      <w:r>
        <w:rPr>
          <w:rFonts w:ascii="Inter" w:hAnsi="Inter" w:eastAsia="Inter"/>
          <w:b/>
          <w:color w:val="182026"/>
          <w:sz w:val="19"/>
        </w:rPr>
        <w:t>Netto-Wirkung:</w:t>
      </w:r>
      <w:r>
        <w:rPr>
          <w:rFonts w:ascii="Inter" w:hAnsi="Inter" w:eastAsia="Inter"/>
          <w:color w:val="182026"/>
          <w:sz w:val="19"/>
        </w:rPr>
        <w:t xml:space="preserve"> Zusammengeführte Bewertung positiver und negativer Wirkungen unter Nichtkompensation und roten Linien.</w:t>
      </w:r>
    </w:p>
    <w:p>
      <w:pPr>
        <w:pStyle w:val="BodyText"/>
        <w:widowControl/>
        <w:spacing w:after="110" w:line="278" w:lineRule="auto"/>
        <w:ind w:firstLine="255"/>
      </w:pPr>
      <w:r>
        <w:rPr>
          <w:rFonts w:ascii="Inter" w:hAnsi="Inter" w:eastAsia="Inter"/>
          <w:b/>
          <w:color w:val="182026"/>
          <w:sz w:val="19"/>
        </w:rPr>
        <w:t>Netto-Wirkungs-Index (NWI):</w:t>
      </w:r>
      <w:r>
        <w:rPr>
          <w:rFonts w:ascii="Inter" w:hAnsi="Inter" w:eastAsia="Inter"/>
          <w:color w:val="182026"/>
          <w:sz w:val="19"/>
        </w:rPr>
        <w:t xml:space="preserve"> Operative WÖk-Kennzahl zur Einordnung von Netto-Wirkung; keine Eurokennzahl.</w:t>
      </w:r>
    </w:p>
    <w:p>
      <w:pPr>
        <w:pStyle w:val="BodyText"/>
        <w:widowControl/>
        <w:spacing w:after="110" w:line="278" w:lineRule="auto"/>
        <w:ind w:firstLine="255"/>
      </w:pPr>
      <w:r>
        <w:rPr>
          <w:rFonts w:ascii="Inter" w:hAnsi="Inter" w:eastAsia="Inter"/>
          <w:b/>
          <w:color w:val="182026"/>
          <w:sz w:val="19"/>
        </w:rPr>
        <w:t>Outcome:</w:t>
      </w:r>
      <w:r>
        <w:rPr>
          <w:rFonts w:ascii="Inter" w:hAnsi="Inter" w:eastAsia="Inter"/>
          <w:color w:val="182026"/>
          <w:sz w:val="19"/>
        </w:rPr>
        <w:t xml:space="preserve"> Tatsächliche Veränderung bei Nutzer:innen oder im Kundensystem.</w:t>
      </w:r>
    </w:p>
    <w:p>
      <w:pPr>
        <w:pStyle w:val="BodyText"/>
        <w:widowControl/>
        <w:spacing w:after="110" w:line="278" w:lineRule="auto"/>
        <w:ind w:firstLine="255"/>
      </w:pPr>
      <w:r>
        <w:rPr>
          <w:rFonts w:ascii="Inter" w:hAnsi="Inter" w:eastAsia="Inter"/>
          <w:b/>
          <w:color w:val="182026"/>
          <w:sz w:val="19"/>
        </w:rPr>
        <w:t>Output:</w:t>
      </w:r>
      <w:r>
        <w:rPr>
          <w:rFonts w:ascii="Inter" w:hAnsi="Inter" w:eastAsia="Inter"/>
          <w:color w:val="182026"/>
          <w:sz w:val="19"/>
        </w:rPr>
        <w:t xml:space="preserve"> Unmittelbares Ergebnis einer Aktivität, etwa Bericht, Prototyp oder Schulung.</w:t>
      </w:r>
    </w:p>
    <w:p>
      <w:pPr>
        <w:pStyle w:val="BodyText"/>
      </w:pPr>
      <w:r>
        <w:rPr>
          <w:b w:val="0"/>
          <w:i w:val="0"/>
        </w:rPr>
        <w:t>Produktivitätsgewinn: Differenz zwischen sinkendem Ressourceneinsatz und gleichbleibendem oder steigendem Kundenwert; im WVP nachvollziehbar und fair zwischen den Beteiligten zu verteilen.</w:t>
      </w:r>
    </w:p>
    <w:p>
      <w:pPr>
        <w:pStyle w:val="BodyText"/>
        <w:widowControl/>
        <w:spacing w:after="110" w:line="278" w:lineRule="auto"/>
        <w:ind w:firstLine="255"/>
      </w:pPr>
      <w:r>
        <w:rPr>
          <w:rFonts w:ascii="Inter" w:hAnsi="Inter" w:eastAsia="Inter"/>
          <w:b/>
          <w:color w:val="182026"/>
          <w:sz w:val="19"/>
        </w:rPr>
        <w:t>Reverse Merit Order:</w:t>
      </w:r>
      <w:r>
        <w:rPr>
          <w:rFonts w:ascii="Inter" w:hAnsi="Inter" w:eastAsia="Inter"/>
          <w:color w:val="182026"/>
          <w:sz w:val="19"/>
        </w:rPr>
        <w:t xml:space="preserve"> Das schwächste kritische Wirkungsfeld begrenzt die Gesamtbewertung.</w:t>
      </w:r>
    </w:p>
    <w:p>
      <w:pPr>
        <w:pStyle w:val="BodyText"/>
        <w:widowControl/>
        <w:spacing w:after="110" w:line="278" w:lineRule="auto"/>
        <w:ind w:firstLine="255"/>
      </w:pPr>
      <w:r>
        <w:rPr>
          <w:rFonts w:ascii="Inter" w:hAnsi="Inter" w:eastAsia="Inter"/>
          <w:b/>
          <w:color w:val="182026"/>
          <w:sz w:val="19"/>
        </w:rPr>
        <w:t>SDG+:</w:t>
      </w:r>
      <w:r>
        <w:rPr>
          <w:rFonts w:ascii="Inter" w:hAnsi="Inter" w:eastAsia="Inter"/>
          <w:color w:val="182026"/>
          <w:sz w:val="19"/>
        </w:rPr>
        <w:t xml:space="preserve"> Transparente WÖk-Erweiterung der SDGs um demokratische und systemische Voraussetzungen; keine offizielle UN-Kategorie.</w:t>
      </w:r>
    </w:p>
    <w:p>
      <w:pPr>
        <w:pStyle w:val="BodyText"/>
        <w:widowControl/>
        <w:spacing w:after="110" w:line="278" w:lineRule="auto"/>
        <w:ind w:firstLine="255"/>
      </w:pPr>
      <w:r>
        <w:rPr>
          <w:rFonts w:ascii="Inter" w:hAnsi="Inter" w:eastAsia="Inter"/>
          <w:b/>
          <w:color w:val="182026"/>
          <w:sz w:val="19"/>
        </w:rPr>
        <w:t>Schutz-Gate:</w:t>
      </w:r>
      <w:r>
        <w:rPr>
          <w:rFonts w:ascii="Inter" w:hAnsi="Inter" w:eastAsia="Inter"/>
          <w:color w:val="182026"/>
          <w:sz w:val="19"/>
        </w:rPr>
        <w:t xml:space="preserve"> Prüfung von roten Linien, Mindestschwellen, Datenqualität und Nebenwirkungen vor positivem Wirkungsclaim oder Wirkungsbonus.</w:t>
      </w:r>
    </w:p>
    <w:p>
      <w:pPr>
        <w:pStyle w:val="BodyText"/>
        <w:widowControl/>
        <w:spacing w:after="110" w:line="278" w:lineRule="auto"/>
        <w:ind w:firstLine="255"/>
      </w:pPr>
      <w:r>
        <w:rPr>
          <w:rFonts w:ascii="Inter" w:hAnsi="Inter" w:eastAsia="Inter"/>
          <w:b/>
          <w:color w:val="182026"/>
          <w:sz w:val="19"/>
        </w:rPr>
        <w:t>T-SROI:</w:t>
      </w:r>
      <w:r>
        <w:rPr>
          <w:rFonts w:ascii="Inter" w:hAnsi="Inter" w:eastAsia="Inter"/>
          <w:color w:val="182026"/>
          <w:sz w:val="19"/>
        </w:rPr>
        <w:t xml:space="preserve"> WÖk-Rechenstandard, der einen direkten IOI-Nutzen nur um separat belegte, monetarisierte Transformationsnutzenströme ergänzt.</w:t>
      </w:r>
    </w:p>
    <w:p>
      <w:pPr>
        <w:pStyle w:val="BodyText"/>
        <w:widowControl/>
        <w:spacing w:after="110" w:line="278" w:lineRule="auto"/>
        <w:ind w:firstLine="255"/>
      </w:pPr>
      <w:r>
        <w:rPr>
          <w:rFonts w:ascii="Inter" w:hAnsi="Inter" w:eastAsia="Inter"/>
          <w:b/>
          <w:color w:val="182026"/>
          <w:sz w:val="19"/>
        </w:rPr>
        <w:t>Tragfähigkeitsrechnung:</w:t>
      </w:r>
      <w:r>
        <w:rPr>
          <w:rFonts w:ascii="Inter" w:hAnsi="Inter" w:eastAsia="Inter"/>
          <w:color w:val="182026"/>
          <w:sz w:val="19"/>
        </w:rPr>
        <w:t xml:space="preserve"> Interne Rechnung des Anbieters zu Vollkosten, Kapazität, Risiko und Mindestmarge.</w:t>
      </w:r>
    </w:p>
    <w:p>
      <w:pPr>
        <w:pStyle w:val="BodyText"/>
      </w:pPr>
      <w:r>
        <w:rPr>
          <w:b w:val="0"/>
          <w:i w:val="0"/>
        </w:rPr>
        <w:t>Verdichtete Vorleistung: In einer schnell erbrachten Expertenleistung enthaltene frühere Investitionen in Ausbildung, Erfahrung, Methoden, Daten, Werkzeuge, Fehlversuche und Urteilsfähigkeit, die in der sichtbaren Projektzeit nicht vollständig erscheinen.</w:t>
      </w:r>
    </w:p>
    <w:p>
      <w:pPr>
        <w:pStyle w:val="BodyText"/>
        <w:widowControl/>
        <w:spacing w:after="110" w:line="278" w:lineRule="auto"/>
        <w:ind w:firstLine="255"/>
      </w:pPr>
      <w:r>
        <w:rPr>
          <w:rFonts w:ascii="Inter" w:hAnsi="Inter" w:eastAsia="Inter"/>
          <w:b/>
          <w:color w:val="182026"/>
          <w:sz w:val="19"/>
        </w:rPr>
        <w:t>Value-based Pricing:</w:t>
      </w:r>
      <w:r>
        <w:rPr>
          <w:rFonts w:ascii="Inter" w:hAnsi="Inter" w:eastAsia="Inter"/>
          <w:color w:val="182026"/>
          <w:sz w:val="19"/>
        </w:rPr>
        <w:t xml:space="preserve"> Preisfindung auf Basis des für einen Kunden oder ein Segment geschaffenen Werts statt primär auf Basis von Kosten oder Wettbewerberpreisen.</w:t>
      </w:r>
    </w:p>
    <w:p>
      <w:pPr>
        <w:pStyle w:val="BodyText"/>
        <w:widowControl/>
        <w:spacing w:after="110" w:line="278" w:lineRule="auto"/>
        <w:ind w:firstLine="255"/>
      </w:pPr>
      <w:r>
        <w:rPr>
          <w:rFonts w:ascii="Inter" w:hAnsi="Inter" w:eastAsia="Inter"/>
          <w:b/>
          <w:color w:val="182026"/>
          <w:sz w:val="19"/>
        </w:rPr>
        <w:t>Value Owner:</w:t>
      </w:r>
      <w:r>
        <w:rPr>
          <w:rFonts w:ascii="Inter" w:hAnsi="Inter" w:eastAsia="Inter"/>
          <w:color w:val="182026"/>
          <w:sz w:val="19"/>
        </w:rPr>
        <w:t xml:space="preserve"> Verantwortliche Rolle für Baseline, Alternative, Wertpfade, Daten und Kundenwertverifikation.</w:t>
      </w:r>
    </w:p>
    <w:p>
      <w:pPr>
        <w:pStyle w:val="BodyText"/>
        <w:widowControl/>
        <w:spacing w:after="110" w:line="278" w:lineRule="auto"/>
        <w:ind w:firstLine="255"/>
      </w:pPr>
      <w:r>
        <w:rPr>
          <w:rFonts w:ascii="Inter" w:hAnsi="Inter" w:eastAsia="Inter"/>
          <w:b/>
          <w:color w:val="182026"/>
          <w:sz w:val="19"/>
        </w:rPr>
        <w:t>Wirkung:</w:t>
      </w:r>
      <w:r>
        <w:rPr>
          <w:rFonts w:ascii="Inter" w:hAnsi="Inter" w:eastAsia="Inter"/>
          <w:color w:val="182026"/>
          <w:sz w:val="19"/>
        </w:rPr>
        <w:t xml:space="preserve"> Tatsächliche Veränderung von Zuständen; positiv, negativ oder neutral und immer relational.</w:t>
      </w:r>
    </w:p>
    <w:p>
      <w:pPr>
        <w:pStyle w:val="BodyText"/>
        <w:widowControl/>
        <w:spacing w:after="110" w:line="278" w:lineRule="auto"/>
        <w:ind w:firstLine="255"/>
      </w:pPr>
      <w:r>
        <w:t>Wirkungsbasiertes Value Pricing (WVP): Preis- und Vergütungsarchitektur, die Tragfähigkeit, Produktivitätsgewinn, zurechenbaren Kundenwert und Netto-Wirkung getrennt erfasst und gemeinsam verantwortet.</w:t>
      </w:r>
    </w:p>
    <w:p>
      <w:pPr>
        <w:pStyle w:val="BodyText"/>
        <w:widowControl/>
        <w:spacing w:after="110" w:line="278" w:lineRule="auto"/>
        <w:ind w:firstLine="255"/>
      </w:pPr>
      <w:r>
        <w:rPr>
          <w:rFonts w:ascii="Inter" w:hAnsi="Inter" w:eastAsia="Inter"/>
          <w:b/>
          <w:color w:val="182026"/>
          <w:sz w:val="19"/>
        </w:rPr>
        <w:t>Wirkungs-Scorecard:</w:t>
      </w:r>
      <w:r>
        <w:rPr>
          <w:rFonts w:ascii="Inter" w:hAnsi="Inter" w:eastAsia="Inter"/>
          <w:color w:val="182026"/>
          <w:sz w:val="19"/>
        </w:rPr>
        <w:t xml:space="preserve"> Prüffähiges Raster aus Indikatoren, Daten, Benchmarks, Scores, Unsicherheit und Schutzkriterien.</w:t>
      </w:r>
    </w:p>
    <w:p>
      <w:pPr>
        <w:pStyle w:val="BodyText"/>
        <w:widowControl/>
        <w:spacing w:after="110" w:line="278" w:lineRule="auto"/>
        <w:ind w:firstLine="255"/>
      </w:pPr>
      <w:r>
        <w:rPr>
          <w:rFonts w:ascii="Inter" w:hAnsi="Inter" w:eastAsia="Inter"/>
          <w:b/>
          <w:color w:val="182026"/>
          <w:sz w:val="19"/>
        </w:rPr>
        <w:t>WÖk-ID:</w:t>
      </w:r>
      <w:r>
        <w:rPr>
          <w:rFonts w:ascii="Inter" w:hAnsi="Inter" w:eastAsia="Inter"/>
          <w:color w:val="182026"/>
          <w:sz w:val="19"/>
        </w:rPr>
        <w:t xml:space="preserve"> Standardisierte Kennung eines Wirkungsindikators einschließlich Definition, Datenquelle, Einheit, Benchmark, Version und Prüfstatus.</w:t>
      </w:r>
    </w:p>
    <w:p>
      <w:pPr>
        <w:pStyle w:val="Heading1"/>
        <w:widowControl/>
        <w:pBdr>
          <w:bottom w:val="single" w:sz="10" w:space="6" w:color="C99A43"/>
        </w:pBdr>
      </w:pPr>
      <w:r>
        <w:t>Anhang I: Quellen und weiterführende Literatur</w:t>
      </w:r>
    </w:p>
    <w:p>
      <w:pPr>
        <w:pStyle w:val="Heading2"/>
        <w:widowControl/>
      </w:pPr>
      <w:r>
        <w:t>Interne Grundlagen der Wirkungsökonomie</w:t>
      </w:r>
    </w:p>
    <w:p>
      <w:pPr>
        <w:pStyle w:val="BodyText"/>
        <w:widowControl/>
        <w:spacing w:after="110" w:line="278" w:lineRule="auto"/>
        <w:ind w:firstLine="255"/>
      </w:pPr>
      <w:r>
        <w:rPr>
          <w:rFonts w:ascii="Inter" w:hAnsi="Inter" w:eastAsia="Inter"/>
          <w:color w:val="182026"/>
          <w:sz w:val="19"/>
        </w:rPr>
        <w:t xml:space="preserve">Weber, Natalie (2025a): </w:t>
      </w:r>
      <w:r>
        <w:rPr>
          <w:rFonts w:ascii="Inter" w:hAnsi="Inter" w:eastAsia="Inter"/>
          <w:i/>
          <w:color w:val="182026"/>
          <w:sz w:val="19"/>
        </w:rPr>
        <w:t>Grundlagenpapier Wirkungsökonomie</w:t>
      </w:r>
      <w:r>
        <w:rPr>
          <w:rFonts w:ascii="Inter" w:hAnsi="Inter" w:eastAsia="Inter"/>
          <w:color w:val="182026"/>
          <w:sz w:val="19"/>
        </w:rPr>
        <w:t>. Paradigmenwechsel für Wirtschaft, Wissenschaft, Gesellschaft und Politik.</w:t>
      </w:r>
    </w:p>
    <w:p>
      <w:pPr>
        <w:pStyle w:val="BodyText"/>
        <w:widowControl/>
        <w:spacing w:after="110" w:line="278" w:lineRule="auto"/>
        <w:ind w:firstLine="255"/>
      </w:pPr>
      <w:r>
        <w:rPr>
          <w:rFonts w:ascii="Inter" w:hAnsi="Inter" w:eastAsia="Inter"/>
          <w:color w:val="182026"/>
          <w:sz w:val="19"/>
        </w:rPr>
        <w:t xml:space="preserve">Weber, Natalie (2025b): </w:t>
      </w:r>
      <w:r>
        <w:rPr>
          <w:rFonts w:ascii="Inter" w:hAnsi="Inter" w:eastAsia="Inter"/>
          <w:i/>
          <w:color w:val="182026"/>
          <w:sz w:val="19"/>
        </w:rPr>
        <w:t>Technische Leitlinien zum Wirkungssteuergesetz (WUStG) - Vollversion Extended</w:t>
      </w:r>
      <w:r>
        <w:rPr>
          <w:rFonts w:ascii="Inter" w:hAnsi="Inter" w:eastAsia="Inter"/>
          <w:color w:val="182026"/>
          <w:sz w:val="19"/>
        </w:rPr>
        <w:t>. Grundlage für WÖk-IDs, Archetypen, Benchmarks, Scorecards, Datenquellen, Assurance und Governance.</w:t>
      </w:r>
    </w:p>
    <w:p>
      <w:pPr>
        <w:pStyle w:val="BodyText"/>
        <w:widowControl/>
        <w:spacing w:after="110" w:line="278" w:lineRule="auto"/>
        <w:ind w:firstLine="255"/>
      </w:pPr>
      <w:r>
        <w:rPr>
          <w:rFonts w:ascii="Inter" w:hAnsi="Inter" w:eastAsia="Inter"/>
          <w:color w:val="182026"/>
          <w:sz w:val="19"/>
        </w:rPr>
        <w:t xml:space="preserve">Weber, Natalie (2025c): </w:t>
      </w:r>
      <w:r>
        <w:rPr>
          <w:rFonts w:ascii="Inter" w:hAnsi="Inter" w:eastAsia="Inter"/>
          <w:i/>
          <w:color w:val="182026"/>
          <w:sz w:val="19"/>
        </w:rPr>
        <w:t>T-SROI - Der neue Standard für Impact-Controlling in der Wirkungsökonomie</w:t>
      </w:r>
      <w:r>
        <w:rPr>
          <w:rFonts w:ascii="Inter" w:hAnsi="Inter" w:eastAsia="Inter"/>
          <w:color w:val="182026"/>
          <w:sz w:val="19"/>
        </w:rPr>
        <w:t>. Historische Vorfassung; für aktuelle Rechenfragen gilt der Rechenstandard v1.1 der Website.</w:t>
      </w:r>
    </w:p>
    <w:p>
      <w:pPr>
        <w:pStyle w:val="BodyText"/>
        <w:widowControl/>
        <w:spacing w:after="110" w:line="278" w:lineRule="auto"/>
        <w:ind w:firstLine="255"/>
      </w:pPr>
      <w:r>
        <w:rPr>
          <w:rFonts w:ascii="Inter" w:hAnsi="Inter" w:eastAsia="Inter"/>
          <w:color w:val="182026"/>
          <w:sz w:val="19"/>
        </w:rPr>
        <w:t xml:space="preserve">Weber, Natalie (2025d): </w:t>
      </w:r>
      <w:r>
        <w:rPr>
          <w:rFonts w:ascii="Inter" w:hAnsi="Inter" w:eastAsia="Inter"/>
          <w:i/>
          <w:color w:val="182026"/>
          <w:sz w:val="19"/>
        </w:rPr>
        <w:t>Wirkungsökonomie in der Lieferkette</w:t>
      </w:r>
      <w:r>
        <w:rPr>
          <w:rFonts w:ascii="Inter" w:hAnsi="Inter" w:eastAsia="Inter"/>
          <w:color w:val="182026"/>
          <w:sz w:val="19"/>
        </w:rPr>
        <w:t>. Lieferketten als Wirkungsräume, Scorecards und Nichtkompensation.</w:t>
      </w:r>
    </w:p>
    <w:p>
      <w:pPr>
        <w:pStyle w:val="BodyText"/>
        <w:widowControl/>
        <w:spacing w:after="110" w:line="278" w:lineRule="auto"/>
        <w:ind w:firstLine="255"/>
      </w:pPr>
      <w:r>
        <w:rPr>
          <w:rFonts w:ascii="Inter" w:hAnsi="Inter" w:eastAsia="Inter"/>
          <w:color w:val="182026"/>
          <w:sz w:val="19"/>
        </w:rPr>
        <w:t xml:space="preserve">Weber, Natalie (2025e): </w:t>
      </w:r>
      <w:r>
        <w:rPr>
          <w:rFonts w:ascii="Inter" w:hAnsi="Inter" w:eastAsia="Inter"/>
          <w:i/>
          <w:color w:val="182026"/>
          <w:sz w:val="19"/>
        </w:rPr>
        <w:t>WÖk Master Items final v1.2</w:t>
      </w:r>
      <w:r>
        <w:rPr>
          <w:rFonts w:ascii="Inter" w:hAnsi="Inter" w:eastAsia="Inter"/>
          <w:color w:val="182026"/>
          <w:sz w:val="19"/>
        </w:rPr>
        <w:t>. Indikatorenregister und WÖk-IDs.</w:t>
      </w:r>
    </w:p>
    <w:p>
      <w:pPr>
        <w:pStyle w:val="BodyText"/>
        <w:widowControl/>
        <w:spacing w:after="110" w:line="278" w:lineRule="auto"/>
        <w:ind w:firstLine="255"/>
      </w:pPr>
      <w:r>
        <w:rPr>
          <w:rFonts w:ascii="Inter" w:hAnsi="Inter" w:eastAsia="Inter"/>
          <w:color w:val="182026"/>
          <w:sz w:val="19"/>
        </w:rPr>
        <w:t xml:space="preserve">Weber, Natalie (2026a): </w:t>
      </w:r>
      <w:r>
        <w:rPr>
          <w:rFonts w:ascii="Inter" w:hAnsi="Inter" w:eastAsia="Inter"/>
          <w:i/>
          <w:color w:val="182026"/>
          <w:sz w:val="19"/>
        </w:rPr>
        <w:t>Die neue Ordnung des Wohlstands. Begründung und Grundlagen der Wirkungsökonomie</w:t>
      </w:r>
      <w:r>
        <w:rPr>
          <w:rFonts w:ascii="Inter" w:hAnsi="Inter" w:eastAsia="Inter"/>
          <w:color w:val="182026"/>
          <w:sz w:val="19"/>
        </w:rPr>
        <w:t>. Insbesondere Kapitel 30-35 sowie 42-47.</w:t>
      </w:r>
    </w:p>
    <w:p>
      <w:pPr>
        <w:pStyle w:val="BodyText"/>
        <w:widowControl/>
        <w:spacing w:after="110" w:line="278" w:lineRule="auto"/>
        <w:ind w:firstLine="255"/>
      </w:pPr>
      <w:r>
        <w:rPr>
          <w:rFonts w:ascii="Inter" w:hAnsi="Inter" w:eastAsia="Inter"/>
          <w:color w:val="182026"/>
          <w:sz w:val="19"/>
        </w:rPr>
        <w:t xml:space="preserve">Weber, Natalie (2026b): </w:t>
      </w:r>
      <w:r>
        <w:rPr>
          <w:rFonts w:ascii="Inter" w:hAnsi="Inter" w:eastAsia="Inter"/>
          <w:i/>
          <w:color w:val="182026"/>
          <w:sz w:val="19"/>
        </w:rPr>
        <w:t>Führender Begriffsleitfaden der Wirkungsökonomie</w:t>
      </w:r>
      <w:r>
        <w:rPr>
          <w:rFonts w:ascii="Inter" w:hAnsi="Inter" w:eastAsia="Inter"/>
          <w:color w:val="182026"/>
          <w:sz w:val="19"/>
        </w:rPr>
        <w:t>. Wirkung, Wirkungspotenzial, Netto-Wirkung, Transformationswirkung, Wirkungsrückkopplung und Wirkungsarchitektur.</w:t>
      </w:r>
    </w:p>
    <w:p>
      <w:pPr>
        <w:pStyle w:val="BodyText"/>
        <w:widowControl/>
        <w:spacing w:after="110" w:line="278" w:lineRule="auto"/>
        <w:ind w:firstLine="255"/>
      </w:pPr>
      <w:r>
        <w:rPr>
          <w:rFonts w:ascii="Inter" w:hAnsi="Inter" w:eastAsia="Inter"/>
          <w:color w:val="182026"/>
          <w:sz w:val="19"/>
        </w:rPr>
        <w:t xml:space="preserve">Wirkungsökonomie (2026c): </w:t>
      </w:r>
      <w:r>
        <w:rPr>
          <w:rFonts w:ascii="Inter" w:hAnsi="Inter" w:eastAsia="Inter"/>
          <w:i/>
          <w:color w:val="182026"/>
          <w:sz w:val="19"/>
        </w:rPr>
        <w:t>Impact Controlling</w:t>
      </w:r>
      <w:r>
        <w:rPr>
          <w:rFonts w:ascii="Inter" w:hAnsi="Inter" w:eastAsia="Inter"/>
          <w:color w:val="182026"/>
          <w:sz w:val="19"/>
        </w:rPr>
        <w:t xml:space="preserve">. WÖk-IDs, Scorecards, NWI, IOI, T-SROI, Datenqualität, Benchmarks und Wirkungsdatenräume. </w:t>
      </w:r>
      <w:hyperlink r:id="rId20">
        <w:r>
          <w:rPr>
            <w:color w:val="233348"/>
            <w:u w:val="single"/>
            <w:rFonts w:ascii="Inter" w:hAnsi="Inter"/>
          </w:rPr>
          <w:t>https://wirkungsoekonomie.de/werkzeuge/impact-controlling/</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Wirkungsökonomie (2026d): </w:t>
      </w:r>
      <w:r>
        <w:rPr>
          <w:rFonts w:ascii="Inter" w:hAnsi="Inter" w:eastAsia="Inter"/>
          <w:i/>
          <w:color w:val="182026"/>
          <w:sz w:val="19"/>
        </w:rPr>
        <w:t>Impact-of-Investment (IOI)</w:t>
      </w:r>
      <w:r>
        <w:rPr>
          <w:rFonts w:ascii="Inter" w:hAnsi="Inter" w:eastAsia="Inter"/>
          <w:color w:val="182026"/>
          <w:sz w:val="19"/>
        </w:rPr>
        <w:t xml:space="preserve">. Direkt monetarisierter, kausal begrenzter Nettonutzen je Ressourceneuro. </w:t>
      </w:r>
      <w:hyperlink r:id="rId21">
        <w:r>
          <w:rPr>
            <w:color w:val="233348"/>
            <w:u w:val="single"/>
            <w:rFonts w:ascii="Inter" w:hAnsi="Inter"/>
          </w:rPr>
          <w:t>https://wirkungsoekonomie.de/werkzeuge/impact-controlling/impact-of-investment/</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Wirkungsökonomie (2026e): </w:t>
      </w:r>
      <w:r>
        <w:rPr>
          <w:rFonts w:ascii="Inter" w:hAnsi="Inter" w:eastAsia="Inter"/>
          <w:i/>
          <w:color w:val="182026"/>
          <w:sz w:val="19"/>
        </w:rPr>
        <w:t>T-SROI-Rechenstandard v1.1</w:t>
      </w:r>
      <w:r>
        <w:rPr>
          <w:rFonts w:ascii="Inter" w:hAnsi="Inter" w:eastAsia="Inter"/>
          <w:color w:val="182026"/>
          <w:sz w:val="19"/>
        </w:rPr>
        <w:t xml:space="preserve">. Kausale, diskontierte Netto-Nutzenrechnung mit getrennten direkten und transformativen Nutzenströmen und Schutz-Gate. </w:t>
      </w:r>
      <w:hyperlink r:id="rId22">
        <w:r>
          <w:rPr>
            <w:color w:val="233348"/>
            <w:u w:val="single"/>
            <w:rFonts w:ascii="Inter" w:hAnsi="Inter"/>
          </w:rPr>
          <w:t>https://wirkungsoekonomie.de/werkzeuge/t-sroi/</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Wirkungsökonomie (2026f): </w:t>
      </w:r>
      <w:r>
        <w:rPr>
          <w:rFonts w:ascii="Inter" w:hAnsi="Inter" w:eastAsia="Inter"/>
          <w:i/>
          <w:color w:val="182026"/>
          <w:sz w:val="19"/>
        </w:rPr>
        <w:t>Impact-Controlling für Unternehmen</w:t>
      </w:r>
      <w:r>
        <w:rPr>
          <w:rFonts w:ascii="Inter" w:hAnsi="Inter" w:eastAsia="Inter"/>
          <w:color w:val="182026"/>
          <w:sz w:val="19"/>
        </w:rPr>
        <w:t xml:space="preserve">. Von KPI zu KII; NWI, IOI und T-SROI in der Unternehmenssteuerung. </w:t>
      </w:r>
      <w:hyperlink r:id="rId23">
        <w:r>
          <w:rPr>
            <w:color w:val="233348"/>
            <w:u w:val="single"/>
            <w:rFonts w:ascii="Inter" w:hAnsi="Inter"/>
          </w:rPr>
          <w:t>https://wirkungsoekonomie.de/fuer/unternehmen/impact-controlling/</w:t>
        </w:r>
      </w:hyperlink>
      <w:r>
        <w:rPr>
          <w:rFonts w:ascii="Inter" w:hAnsi="Inter" w:eastAsia="Inter"/>
          <w:color w:val="182026"/>
          <w:sz w:val="19"/>
        </w:rPr>
        <w:t xml:space="preserve"> (Abruf: 14.08.2026).</w:t>
      </w:r>
    </w:p>
    <w:p>
      <w:pPr>
        <w:pStyle w:val="Heading2"/>
        <w:widowControl/>
      </w:pPr>
      <w:r>
        <w:t>Value-based Pricing, Selling und Verträge</w:t>
      </w:r>
    </w:p>
    <w:p>
      <w:pPr>
        <w:pStyle w:val="BodyText"/>
        <w:widowControl/>
        <w:spacing w:after="110" w:line="278" w:lineRule="auto"/>
        <w:ind w:firstLine="255"/>
      </w:pPr>
      <w:r>
        <w:rPr>
          <w:rFonts w:ascii="Inter" w:hAnsi="Inter" w:eastAsia="Inter"/>
          <w:color w:val="182026"/>
          <w:sz w:val="19"/>
        </w:rPr>
        <w:t xml:space="preserve">Hinterhuber, Andreas (2004): Towards value-based pricing - An integrative framework for decision making. </w:t>
      </w:r>
      <w:r>
        <w:rPr>
          <w:rFonts w:ascii="Inter" w:hAnsi="Inter" w:eastAsia="Inter"/>
          <w:i/>
          <w:color w:val="182026"/>
          <w:sz w:val="19"/>
        </w:rPr>
        <w:t>Industrial Marketing Management</w:t>
      </w:r>
      <w:r>
        <w:rPr>
          <w:rFonts w:ascii="Inter" w:hAnsi="Inter" w:eastAsia="Inter"/>
          <w:color w:val="182026"/>
          <w:sz w:val="19"/>
        </w:rPr>
        <w:t xml:space="preserve">, 33(8), 765-778. </w:t>
      </w:r>
      <w:hyperlink r:id="rId24">
        <w:r>
          <w:rPr>
            <w:color w:val="233348"/>
            <w:u w:val="single"/>
            <w:rFonts w:ascii="Inter" w:hAnsi="Inter"/>
          </w:rPr>
          <w:t>https://doi.org/10.1016/j.indmarman.2003.10.006</w:t>
        </w:r>
      </w:hyperlink>
      <w:r>
        <w:rPr>
          <w:rFonts w:ascii="Inter" w:hAnsi="Inter" w:eastAsia="Inter"/>
          <w:color w:val="182026"/>
          <w:sz w:val="19"/>
        </w:rPr>
        <w:t>.</w:t>
      </w:r>
    </w:p>
    <w:p>
      <w:pPr>
        <w:pStyle w:val="BodyText"/>
        <w:widowControl/>
        <w:spacing w:after="110" w:line="278" w:lineRule="auto"/>
        <w:ind w:firstLine="255"/>
      </w:pPr>
      <w:r>
        <w:rPr>
          <w:rFonts w:ascii="Inter" w:hAnsi="Inter" w:eastAsia="Inter"/>
          <w:color w:val="182026"/>
          <w:sz w:val="19"/>
        </w:rPr>
        <w:t xml:space="preserve">Hinterhuber, Andreas (2008): Customer value-based pricing strategies: Why companies resist. </w:t>
      </w:r>
      <w:r>
        <w:rPr>
          <w:rFonts w:ascii="Inter" w:hAnsi="Inter" w:eastAsia="Inter"/>
          <w:i/>
          <w:color w:val="182026"/>
          <w:sz w:val="19"/>
        </w:rPr>
        <w:t>Journal of Business Strategy</w:t>
      </w:r>
      <w:r>
        <w:rPr>
          <w:rFonts w:ascii="Inter" w:hAnsi="Inter" w:eastAsia="Inter"/>
          <w:color w:val="182026"/>
          <w:sz w:val="19"/>
        </w:rPr>
        <w:t>, 29(4), 41-50.</w:t>
      </w:r>
    </w:p>
    <w:p>
      <w:pPr>
        <w:pStyle w:val="BodyText"/>
        <w:widowControl/>
        <w:spacing w:after="110" w:line="278" w:lineRule="auto"/>
        <w:ind w:firstLine="255"/>
      </w:pPr>
      <w:r>
        <w:rPr>
          <w:rFonts w:ascii="Inter" w:hAnsi="Inter" w:eastAsia="Inter"/>
          <w:color w:val="182026"/>
          <w:sz w:val="19"/>
        </w:rPr>
        <w:t xml:space="preserve">Töytäri, Pekka; Rajala, Risto (2015): Value-based selling: An organizational capability perspective. </w:t>
      </w:r>
      <w:r>
        <w:rPr>
          <w:rFonts w:ascii="Inter" w:hAnsi="Inter" w:eastAsia="Inter"/>
          <w:i/>
          <w:color w:val="182026"/>
          <w:sz w:val="19"/>
        </w:rPr>
        <w:t>Industrial Marketing Management</w:t>
      </w:r>
      <w:r>
        <w:rPr>
          <w:rFonts w:ascii="Inter" w:hAnsi="Inter" w:eastAsia="Inter"/>
          <w:color w:val="182026"/>
          <w:sz w:val="19"/>
        </w:rPr>
        <w:t xml:space="preserve">, 45, 101-112. </w:t>
      </w:r>
      <w:hyperlink r:id="rId25">
        <w:r>
          <w:rPr>
            <w:color w:val="233348"/>
            <w:u w:val="single"/>
            <w:rFonts w:ascii="Inter" w:hAnsi="Inter"/>
          </w:rPr>
          <w:t>https://doi.org/10.1016/j.indmarman.2015.02.009</w:t>
        </w:r>
      </w:hyperlink>
      <w:r>
        <w:rPr>
          <w:rFonts w:ascii="Inter" w:hAnsi="Inter" w:eastAsia="Inter"/>
          <w:color w:val="182026"/>
          <w:sz w:val="19"/>
        </w:rPr>
        <w:t>.</w:t>
      </w:r>
    </w:p>
    <w:p>
      <w:pPr>
        <w:pStyle w:val="BodyText"/>
        <w:widowControl/>
        <w:spacing w:after="110" w:line="278" w:lineRule="auto"/>
        <w:ind w:firstLine="255"/>
      </w:pPr>
      <w:r>
        <w:rPr>
          <w:rFonts w:ascii="Inter" w:hAnsi="Inter" w:eastAsia="Inter"/>
          <w:color w:val="182026"/>
          <w:sz w:val="19"/>
        </w:rPr>
        <w:t xml:space="preserve">Töytäri, Pekka; Keränen, Joona; Rajala, Risto (2017): Barriers to implementing value-based pricing in industrial markets: A micro-foundations perspective. </w:t>
      </w:r>
      <w:r>
        <w:rPr>
          <w:rFonts w:ascii="Inter" w:hAnsi="Inter" w:eastAsia="Inter"/>
          <w:i/>
          <w:color w:val="182026"/>
          <w:sz w:val="19"/>
        </w:rPr>
        <w:t>Journal of Business Research</w:t>
      </w:r>
      <w:r>
        <w:rPr>
          <w:rFonts w:ascii="Inter" w:hAnsi="Inter" w:eastAsia="Inter"/>
          <w:color w:val="182026"/>
          <w:sz w:val="19"/>
        </w:rPr>
        <w:t>, 76, 237-246.</w:t>
      </w:r>
    </w:p>
    <w:p>
      <w:pPr>
        <w:pStyle w:val="BodyText"/>
        <w:widowControl/>
        <w:spacing w:after="110" w:line="278" w:lineRule="auto"/>
        <w:ind w:firstLine="255"/>
      </w:pPr>
      <w:r>
        <w:rPr>
          <w:rFonts w:ascii="Inter" w:hAnsi="Inter" w:eastAsia="Inter"/>
          <w:color w:val="182026"/>
          <w:sz w:val="19"/>
        </w:rPr>
        <w:t xml:space="preserve">Raja, Jawwad Z.; Frandsen, Thomas; Kowalkowski, Christian; Jarmatz, Martin (2020): Learning to discover value: Value-based pricing and selling capabilities for services and solutions. </w:t>
      </w:r>
      <w:r>
        <w:rPr>
          <w:rFonts w:ascii="Inter" w:hAnsi="Inter" w:eastAsia="Inter"/>
          <w:i/>
          <w:color w:val="182026"/>
          <w:sz w:val="19"/>
        </w:rPr>
        <w:t>Journal of Business Research</w:t>
      </w:r>
      <w:r>
        <w:rPr>
          <w:rFonts w:ascii="Inter" w:hAnsi="Inter" w:eastAsia="Inter"/>
          <w:color w:val="182026"/>
          <w:sz w:val="19"/>
        </w:rPr>
        <w:t xml:space="preserve">, 114, 142-159. </w:t>
      </w:r>
      <w:hyperlink r:id="rId26">
        <w:r>
          <w:rPr>
            <w:color w:val="233348"/>
            <w:u w:val="single"/>
            <w:rFonts w:ascii="Inter" w:hAnsi="Inter"/>
          </w:rPr>
          <w:t>https://doi.org/10.1016/j.jbusres.2020.03.026</w:t>
        </w:r>
      </w:hyperlink>
      <w:r>
        <w:rPr>
          <w:rFonts w:ascii="Inter" w:hAnsi="Inter" w:eastAsia="Inter"/>
          <w:color w:val="182026"/>
          <w:sz w:val="19"/>
        </w:rPr>
        <w:t>.</w:t>
      </w:r>
    </w:p>
    <w:p>
      <w:pPr>
        <w:pStyle w:val="BodyText"/>
        <w:widowControl/>
        <w:spacing w:after="110" w:line="278" w:lineRule="auto"/>
        <w:ind w:firstLine="255"/>
      </w:pPr>
      <w:r>
        <w:rPr>
          <w:rFonts w:ascii="Inter" w:hAnsi="Inter" w:eastAsia="Inter"/>
          <w:color w:val="182026"/>
          <w:sz w:val="19"/>
        </w:rPr>
        <w:t xml:space="preserve">Keränen, Joona; Kienzler, Mario; Salonen, Anna; Terho, Harri; Totzek, Dirk (2023): Gain-sharing in performance-based contracting: How risk and fairness drive business customers' willingness-to-switch to a gain-sharing arrangement. </w:t>
      </w:r>
      <w:r>
        <w:rPr>
          <w:rFonts w:ascii="Inter" w:hAnsi="Inter" w:eastAsia="Inter"/>
          <w:i/>
          <w:color w:val="182026"/>
          <w:sz w:val="19"/>
        </w:rPr>
        <w:t>Industrial Marketing Management</w:t>
      </w:r>
      <w:r>
        <w:rPr>
          <w:rFonts w:ascii="Inter" w:hAnsi="Inter" w:eastAsia="Inter"/>
          <w:color w:val="182026"/>
          <w:sz w:val="19"/>
        </w:rPr>
        <w:t xml:space="preserve">, 115, 172-184. </w:t>
      </w:r>
      <w:hyperlink r:id="rId27">
        <w:r>
          <w:rPr>
            <w:color w:val="233348"/>
            <w:u w:val="single"/>
            <w:rFonts w:ascii="Inter" w:hAnsi="Inter"/>
          </w:rPr>
          <w:t>https://doi.org/10.1016/j.indmarman.2023.09.013</w:t>
        </w:r>
      </w:hyperlink>
      <w:r>
        <w:rPr>
          <w:rFonts w:ascii="Inter" w:hAnsi="Inter" w:eastAsia="Inter"/>
          <w:color w:val="182026"/>
          <w:sz w:val="19"/>
        </w:rPr>
        <w:t>.</w:t>
      </w:r>
    </w:p>
    <w:p>
      <w:pPr>
        <w:pStyle w:val="BodyText"/>
        <w:widowControl/>
        <w:spacing w:after="110" w:line="278" w:lineRule="auto"/>
        <w:ind w:firstLine="255"/>
      </w:pPr>
      <w:r>
        <w:rPr>
          <w:rFonts w:ascii="Inter" w:hAnsi="Inter" w:eastAsia="Inter"/>
          <w:color w:val="182026"/>
          <w:sz w:val="19"/>
        </w:rPr>
        <w:t xml:space="preserve">Selviaridis, Kostas; Wynstra, Finn (2015): Performance-based contracting: A literature review and future research directions. </w:t>
      </w:r>
      <w:r>
        <w:rPr>
          <w:rFonts w:ascii="Inter" w:hAnsi="Inter" w:eastAsia="Inter"/>
          <w:i/>
          <w:color w:val="182026"/>
          <w:sz w:val="19"/>
        </w:rPr>
        <w:t>International Journal of Production Research</w:t>
      </w:r>
      <w:r>
        <w:rPr>
          <w:rFonts w:ascii="Inter" w:hAnsi="Inter" w:eastAsia="Inter"/>
          <w:color w:val="182026"/>
          <w:sz w:val="19"/>
        </w:rPr>
        <w:t>, 53(12), 3505-3540.</w:t>
      </w:r>
    </w:p>
    <w:p>
      <w:pPr>
        <w:pStyle w:val="BodyText"/>
        <w:widowControl/>
        <w:spacing w:after="110" w:line="278" w:lineRule="auto"/>
        <w:ind w:firstLine="255"/>
      </w:pPr>
      <w:r>
        <w:rPr>
          <w:rFonts w:ascii="Inter" w:hAnsi="Inter" w:eastAsia="Inter"/>
          <w:color w:val="182026"/>
          <w:sz w:val="19"/>
        </w:rPr>
        <w:t xml:space="preserve">Ng, Irene C. L.; Maull, Roger; Yip, Nick (2009): Outcome-based contracts as a driver for systems thinking and service-dominant logic in service science. </w:t>
      </w:r>
      <w:r>
        <w:rPr>
          <w:rFonts w:ascii="Inter" w:hAnsi="Inter" w:eastAsia="Inter"/>
          <w:i/>
          <w:color w:val="182026"/>
          <w:sz w:val="19"/>
        </w:rPr>
        <w:t>European Management Journal</w:t>
      </w:r>
      <w:r>
        <w:rPr>
          <w:rFonts w:ascii="Inter" w:hAnsi="Inter" w:eastAsia="Inter"/>
          <w:color w:val="182026"/>
          <w:sz w:val="19"/>
        </w:rPr>
        <w:t>, 27(6), 377-387.</w:t>
      </w:r>
    </w:p>
    <w:p>
      <w:pPr>
        <w:pStyle w:val="Heading2"/>
        <w:widowControl/>
      </w:pPr>
      <w:r>
        <w:t>Evaluation, Wirkung und Management</w:t>
      </w:r>
    </w:p>
    <w:p>
      <w:pPr>
        <w:pStyle w:val="BodyText"/>
        <w:widowControl/>
        <w:spacing w:after="110" w:line="278" w:lineRule="auto"/>
        <w:ind w:firstLine="255"/>
      </w:pPr>
      <w:r>
        <w:rPr>
          <w:rFonts w:ascii="Inter" w:hAnsi="Inter" w:eastAsia="Inter"/>
          <w:color w:val="182026"/>
          <w:sz w:val="19"/>
        </w:rPr>
        <w:t xml:space="preserve">HM Treasury (2026): </w:t>
      </w:r>
      <w:r>
        <w:rPr>
          <w:rFonts w:ascii="Inter" w:hAnsi="Inter" w:eastAsia="Inter"/>
          <w:i/>
          <w:color w:val="182026"/>
          <w:sz w:val="19"/>
        </w:rPr>
        <w:t>The Magenta Book: Central Government Guidance on Evaluation</w:t>
      </w:r>
      <w:r>
        <w:rPr>
          <w:rFonts w:ascii="Inter" w:hAnsi="Inter" w:eastAsia="Inter"/>
          <w:color w:val="182026"/>
          <w:sz w:val="19"/>
        </w:rPr>
        <w:t xml:space="preserve">. Aktualisierte Fassung vom 15.05.2026. </w:t>
      </w:r>
      <w:hyperlink r:id="rId28">
        <w:r>
          <w:rPr>
            <w:color w:val="233348"/>
            <w:u w:val="single"/>
            <w:rFonts w:ascii="Inter" w:hAnsi="Inter"/>
          </w:rPr>
          <w:t>https://www.gov.uk/government/publications/the-magenta-book/</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HM Treasury (2026): </w:t>
      </w:r>
      <w:r>
        <w:rPr>
          <w:rFonts w:ascii="Inter" w:hAnsi="Inter" w:eastAsia="Inter"/>
          <w:i/>
          <w:color w:val="182026"/>
          <w:sz w:val="19"/>
        </w:rPr>
        <w:t>Magenta Book Annex A: Analytical Methods for Use within an Evaluation</w:t>
      </w:r>
      <w:r>
        <w:rPr>
          <w:rFonts w:ascii="Inter" w:hAnsi="Inter" w:eastAsia="Inter"/>
          <w:color w:val="182026"/>
          <w:sz w:val="19"/>
        </w:rPr>
        <w:t xml:space="preserve">. </w:t>
      </w:r>
      <w:hyperlink r:id="rId28">
        <w:r>
          <w:rPr>
            <w:color w:val="233348"/>
            <w:u w:val="single"/>
            <w:rFonts w:ascii="Inter" w:hAnsi="Inter"/>
          </w:rPr>
          <w:t>https://www.gov.uk/government/publications/the-magenta-book/</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OECD (2019): </w:t>
      </w:r>
      <w:r>
        <w:rPr>
          <w:rFonts w:ascii="Inter" w:hAnsi="Inter" w:eastAsia="Inter"/>
          <w:i/>
          <w:color w:val="182026"/>
          <w:sz w:val="19"/>
        </w:rPr>
        <w:t>Better Criteria for Better Evaluation: Revised Evaluation Criteria - Definitions and Principles for Use</w:t>
      </w:r>
      <w:r>
        <w:rPr>
          <w:rFonts w:ascii="Inter" w:hAnsi="Inter" w:eastAsia="Inter"/>
          <w:color w:val="182026"/>
          <w:sz w:val="19"/>
        </w:rPr>
        <w:t>. OECD DAC Network on Development Evaluation.</w:t>
      </w:r>
    </w:p>
    <w:p>
      <w:pPr>
        <w:pStyle w:val="BodyText"/>
        <w:widowControl/>
        <w:spacing w:after="110" w:line="278" w:lineRule="auto"/>
        <w:ind w:firstLine="255"/>
      </w:pPr>
      <w:r>
        <w:rPr>
          <w:rFonts w:ascii="Inter" w:hAnsi="Inter" w:eastAsia="Inter"/>
          <w:color w:val="182026"/>
          <w:sz w:val="19"/>
        </w:rPr>
        <w:t xml:space="preserve">OECD (2021): </w:t>
      </w:r>
      <w:r>
        <w:rPr>
          <w:rFonts w:ascii="Inter" w:hAnsi="Inter" w:eastAsia="Inter"/>
          <w:i/>
          <w:color w:val="182026"/>
          <w:sz w:val="19"/>
        </w:rPr>
        <w:t>Applying Evaluation Criteria Thoughtfully</w:t>
      </w:r>
      <w:r>
        <w:rPr>
          <w:rFonts w:ascii="Inter" w:hAnsi="Inter" w:eastAsia="Inter"/>
          <w:color w:val="182026"/>
          <w:sz w:val="19"/>
        </w:rPr>
        <w:t xml:space="preserve">. OECD Publishing, Paris. </w:t>
      </w:r>
      <w:hyperlink r:id="rId29">
        <w:r>
          <w:rPr>
            <w:color w:val="233348"/>
            <w:u w:val="single"/>
            <w:rFonts w:ascii="Inter" w:hAnsi="Inter"/>
          </w:rPr>
          <w:t>https://doi.org/10.1787/543e84ed-en</w:t>
        </w:r>
      </w:hyperlink>
      <w:r>
        <w:rPr>
          <w:rFonts w:ascii="Inter" w:hAnsi="Inter" w:eastAsia="Inter"/>
          <w:color w:val="182026"/>
          <w:sz w:val="19"/>
        </w:rPr>
        <w:t>.</w:t>
      </w:r>
    </w:p>
    <w:p>
      <w:pPr>
        <w:pStyle w:val="BodyText"/>
        <w:widowControl/>
        <w:spacing w:after="110" w:line="278" w:lineRule="auto"/>
        <w:ind w:firstLine="255"/>
      </w:pPr>
      <w:r>
        <w:rPr>
          <w:rFonts w:ascii="Inter" w:hAnsi="Inter" w:eastAsia="Inter"/>
          <w:color w:val="182026"/>
          <w:sz w:val="19"/>
        </w:rPr>
        <w:t xml:space="preserve">OECD (2022): </w:t>
      </w:r>
      <w:r>
        <w:rPr>
          <w:rFonts w:ascii="Inter" w:hAnsi="Inter" w:eastAsia="Inter"/>
          <w:i/>
          <w:color w:val="182026"/>
          <w:sz w:val="19"/>
        </w:rPr>
        <w:t>Glossary of Key Terms in Evaluation and Results-Based Management for Sustainable Development</w:t>
      </w:r>
      <w:r>
        <w:rPr>
          <w:rFonts w:ascii="Inter" w:hAnsi="Inter" w:eastAsia="Inter"/>
          <w:color w:val="182026"/>
          <w:sz w:val="19"/>
        </w:rPr>
        <w:t>, 2. Auflage.</w:t>
      </w:r>
    </w:p>
    <w:p>
      <w:pPr>
        <w:pStyle w:val="BodyText"/>
        <w:widowControl/>
        <w:spacing w:after="110" w:line="278" w:lineRule="auto"/>
        <w:ind w:firstLine="255"/>
      </w:pPr>
      <w:r>
        <w:rPr>
          <w:rFonts w:ascii="Inter" w:hAnsi="Inter" w:eastAsia="Inter"/>
          <w:color w:val="182026"/>
          <w:sz w:val="19"/>
        </w:rPr>
        <w:t xml:space="preserve">Impact Management Platform (2023/2026): </w:t>
      </w:r>
      <w:r>
        <w:rPr>
          <w:rFonts w:ascii="Inter" w:hAnsi="Inter" w:eastAsia="Inter"/>
          <w:i/>
          <w:color w:val="182026"/>
          <w:sz w:val="19"/>
        </w:rPr>
        <w:t>Impact Management; Impact Pathway; Measure, Assess and Value</w:t>
      </w:r>
      <w:r>
        <w:rPr>
          <w:rFonts w:ascii="Inter" w:hAnsi="Inter" w:eastAsia="Inter"/>
          <w:color w:val="182026"/>
          <w:sz w:val="19"/>
        </w:rPr>
        <w:t xml:space="preserve">. </w:t>
      </w:r>
      <w:hyperlink r:id="rId30">
        <w:r>
          <w:rPr>
            <w:color w:val="233348"/>
            <w:u w:val="single"/>
            <w:rFonts w:ascii="Inter" w:hAnsi="Inter"/>
          </w:rPr>
          <w:t>https://impactmanagementplatform.org/</w:t>
        </w:r>
      </w:hyperlink>
      <w:r>
        <w:rPr>
          <w:rFonts w:ascii="Inter" w:hAnsi="Inter" w:eastAsia="Inter"/>
          <w:color w:val="182026"/>
          <w:sz w:val="19"/>
        </w:rPr>
        <w:t xml:space="preserve"> (Abruf: 14.08.2026).</w:t>
      </w:r>
    </w:p>
    <w:p>
      <w:pPr>
        <w:pStyle w:val="BodyText"/>
        <w:widowControl/>
        <w:spacing w:after="110" w:line="278" w:lineRule="auto"/>
        <w:ind w:firstLine="255"/>
      </w:pPr>
      <w:r>
        <w:rPr>
          <w:rFonts w:ascii="Inter" w:hAnsi="Inter" w:eastAsia="Inter"/>
          <w:color w:val="182026"/>
          <w:sz w:val="19"/>
        </w:rPr>
        <w:t xml:space="preserve">UNDP SDG Impact (2020/2021): </w:t>
      </w:r>
      <w:r>
        <w:rPr>
          <w:rFonts w:ascii="Inter" w:hAnsi="Inter" w:eastAsia="Inter"/>
          <w:i/>
          <w:color w:val="182026"/>
          <w:sz w:val="19"/>
        </w:rPr>
        <w:t>SDG Impact Standards for Enterprises</w:t>
      </w:r>
      <w:r>
        <w:rPr>
          <w:rFonts w:ascii="Inter" w:hAnsi="Inter" w:eastAsia="Inter"/>
          <w:color w:val="182026"/>
          <w:sz w:val="19"/>
        </w:rPr>
        <w:t>. Blueprint für Management- und Entscheidungssysteme zur Integration der SDGs.</w:t>
      </w:r>
    </w:p>
    <w:p>
      <w:pPr>
        <w:pStyle w:val="BodyText"/>
        <w:widowControl/>
        <w:spacing w:after="110" w:line="278" w:lineRule="auto"/>
        <w:ind w:firstLine="255"/>
      </w:pPr>
      <w:r>
        <w:rPr>
          <w:rFonts w:ascii="Inter" w:hAnsi="Inter" w:eastAsia="Inter"/>
          <w:color w:val="182026"/>
          <w:sz w:val="19"/>
        </w:rPr>
        <w:t xml:space="preserve">Nicholls, Jeremy; Lawlor, Eilis; Neitzert, Eva; Goodspeed, Tim (2012): </w:t>
      </w:r>
      <w:r>
        <w:rPr>
          <w:rFonts w:ascii="Inter" w:hAnsi="Inter" w:eastAsia="Inter"/>
          <w:i/>
          <w:color w:val="182026"/>
          <w:sz w:val="19"/>
        </w:rPr>
        <w:t>A Guide to Social Return on Investment</w:t>
      </w:r>
      <w:r>
        <w:rPr>
          <w:rFonts w:ascii="Inter" w:hAnsi="Inter" w:eastAsia="Inter"/>
          <w:color w:val="182026"/>
          <w:sz w:val="19"/>
        </w:rPr>
        <w:t>. The SROI Network.</w:t>
      </w:r>
    </w:p>
    <w:p>
      <w:pPr>
        <w:pStyle w:val="BodyText"/>
        <w:widowControl/>
        <w:spacing w:after="110" w:line="278" w:lineRule="auto"/>
        <w:ind w:firstLine="255"/>
      </w:pPr>
      <w:r>
        <w:rPr>
          <w:rFonts w:ascii="Inter" w:hAnsi="Inter" w:eastAsia="Inter"/>
          <w:color w:val="182026"/>
          <w:sz w:val="19"/>
        </w:rPr>
        <w:t xml:space="preserve">Kaplan, Robert S.; Norton, David P. (1992): The Balanced Scorecard - Measures That Drive Performance. </w:t>
      </w:r>
      <w:r>
        <w:rPr>
          <w:rFonts w:ascii="Inter" w:hAnsi="Inter" w:eastAsia="Inter"/>
          <w:i/>
          <w:color w:val="182026"/>
          <w:sz w:val="19"/>
        </w:rPr>
        <w:t>Harvard Business Review</w:t>
      </w:r>
      <w:r>
        <w:rPr>
          <w:rFonts w:ascii="Inter" w:hAnsi="Inter" w:eastAsia="Inter"/>
          <w:color w:val="182026"/>
          <w:sz w:val="19"/>
        </w:rPr>
        <w:t>, 70(1), 71-79.</w:t>
      </w:r>
    </w:p>
    <w:p>
      <w:pPr>
        <w:pStyle w:val="Heading2"/>
        <w:widowControl/>
      </w:pPr>
      <w:r>
        <w:t>Hinweis zur Quellenlage</w:t>
      </w:r>
    </w:p>
    <w:p>
      <w:pPr>
        <w:pStyle w:val="BodyText"/>
        <w:widowControl/>
        <w:spacing w:after="110" w:line="278" w:lineRule="auto"/>
        <w:ind w:firstLine="255"/>
      </w:pPr>
      <w:r>
        <w:t>Die externen Quellen stützen die etablierten Elemente von Value-based Pricing, Wertentdeckung, Value-based Selling, Evaluation, Outcome- und Gainsharing-Verträgen. Die spezifische Verbindung mit WÖk-IDs, NWI, Reverse Merit Order, SDG+, IOI, T-SROI und dem Drei-Rechnungen-Modell ist die in diesem Dossier entwickelte WÖk-Erweiterung. Das gilt ebenso für die in Version 1.2 systematisierten Konzepte des Effizienzparadoxons, der verdichteten Vorleistung, des Produktivitätsgewinns und seiner fairen Teilung unter Bedingungen von Erfahrung, Standardisierung, Automatisierung und KI. Diese Elemente sind als Forschungs- und Pilotierungsgegenstand offenzulegen und dürfen nicht als bereits allgemein validierter Standard ausgegeben werden.</w:t>
      </w:r>
    </w:p>
    <w:sectPr w:rsidR="00FC693F" w:rsidRPr="0006063C" w:rsidSect="00034616">
      <w:pgSz w:w="12240" w:h="15840"/>
      <w:pgMar w:top="1134" w:right="1191" w:bottom="1020" w:left="1191" w:header="454" w:footer="45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4762"/>
      <w:gridCol w:w="4762"/>
    </w:tblGrid>
    <w:tr>
      <w:tc>
        <w:tcPr>
          <w:tcW w:type="dxa" w:w="5760"/>
          <w:tcMar>
            <w:top w:w="0" w:type="dxa"/>
            <w:start w:w="0" w:type="dxa"/>
            <w:bottom w:w="0" w:type="dxa"/>
            <w:end w:w="0" w:type="dxa"/>
          </w:tcMar>
        </w:tcPr>
        <w:p>
          <w:r>
            <w:rPr>
              <w:rFonts w:ascii="Inter" w:hAnsi="Inter" w:eastAsia="Inter"/>
              <w:color w:val="5B6670"/>
              <w:sz w:val="14"/>
            </w:rPr>
            <w:t>Natalie Weber · Wirkungsbasiertes Value Pricing</w:t>
          </w:r>
        </w:p>
      </w:tc>
      <w:tc>
        <w:tcPr>
          <w:tcW w:type="dxa" w:w="1440"/>
          <w:tcMar>
            <w:top w:w="0" w:type="dxa"/>
            <w:start w:w="0" w:type="dxa"/>
            <w:bottom w:w="0" w:type="dxa"/>
            <w:end w:w="0" w:type="dxa"/>
          </w:tcMar>
        </w:tcPr>
        <w:p>
          <w:pPr>
            <w:jc w:val="right"/>
          </w:pPr>
          <w:r>
            <w:rPr>
              <w:rFonts w:ascii="Inter" w:hAnsi="Inter" w:eastAsia="Inter"/>
              <w:color w:val="5B6670"/>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4762"/>
      <w:gridCol w:w="4762"/>
    </w:tblGrid>
    <w:tr>
      <w:tc>
        <w:tcPr>
          <w:tcW w:type="dxa" w:w="3744"/>
          <w:vAlign w:val="center"/>
          <w:tcMar>
            <w:top w:w="0" w:type="dxa"/>
            <w:start w:w="0" w:type="dxa"/>
            <w:bottom w:w="0" w:type="dxa"/>
            <w:end w:w="0" w:type="dxa"/>
          </w:tcMar>
          <w:tcBorders>
            <w:bottom w:val="single" w:sz="4" w:color="DDEDEA"/>
          </w:tcBorders>
        </w:tcPr>
        <w:p>
          <w:r>
            <w:rPr>
              <w:rFonts w:ascii="Inter" w:hAnsi="Inter" w:eastAsia="Inter"/>
              <w:b/>
              <w:color w:val="C99A43"/>
              <w:sz w:val="14"/>
            </w:rPr>
            <w:t>WIRKUNGSÖKONOMIE  ·  DOSSIER 1.2</w:t>
          </w:r>
        </w:p>
      </w:tc>
      <w:tc>
        <w:tcPr>
          <w:tcW w:type="dxa" w:w="5760"/>
          <w:vAlign w:val="center"/>
          <w:tcMar>
            <w:top w:w="0" w:type="dxa"/>
            <w:start w:w="0" w:type="dxa"/>
            <w:bottom w:w="0" w:type="dxa"/>
            <w:end w:w="0" w:type="dxa"/>
          </w:tcMar>
          <w:tcBorders>
            <w:bottom w:val="single" w:sz="4" w:color="DDEDEA"/>
          </w:tcBorders>
        </w:tcPr>
        <w:p>
          <w:pPr>
            <w:jc w:val="right"/>
          </w:pPr>
          <w:r>
            <w:rPr>
              <w:rFonts w:ascii="Inter" w:hAnsi="Inter" w:eastAsia="Inter"/>
              <w:color w:val="5B6670"/>
              <w:sz w:val="14"/>
            </w:rPr>
            <w:t>Wirkungsbasiertes Value Pricing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Inter" w:hAnsi="Inter"/>
      <w:color w:val="1820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40"/>
      <w:outlineLvl w:val="0"/>
    </w:pPr>
    <w:rPr>
      <w:rFonts w:asciiTheme="majorHAnsi" w:eastAsiaTheme="majorEastAsia" w:hAnsiTheme="majorHAnsi" w:cstheme="majorBidi" w:ascii="Inter" w:hAnsi="Inter"/>
      <w:b/>
      <w:bCs/>
      <w:color w:val="163F3D"/>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80"/>
      <w:outlineLvl w:val="1"/>
    </w:pPr>
    <w:rPr>
      <w:rFonts w:asciiTheme="majorHAnsi" w:eastAsiaTheme="majorEastAsia" w:hAnsiTheme="majorHAnsi" w:cstheme="majorBidi" w:ascii="Inter" w:hAnsi="Inter"/>
      <w:b/>
      <w:bCs/>
      <w:color w:val="233348"/>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Inter" w:hAnsi="Inter"/>
      <w:b/>
      <w:bCs/>
      <w:color w:val="2D62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63F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Inter" w:hAnsi="Inter"/>
      <w:b w:val="0"/>
      <w:i/>
      <w:iCs/>
      <w:color w:val="5B667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278" w:lineRule="auto"/>
    </w:pPr>
    <w:rPr>
      <w:rFonts w:ascii="Inter" w:hAnsi="Inter"/>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rPr>
      <w:rFonts w:ascii="Inter" w:hAnsi="Inte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60"/>
      <w:jc w:val="center"/>
    </w:pPr>
    <w:rPr>
      <w:rFonts w:ascii="Inter" w:hAnsi="Inter"/>
      <w:i/>
      <w:color w:val="5B66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irkungsoekonomie.de/werkzeuge/impact-controlling/" TargetMode="External"/><Relationship Id="rId21" Type="http://schemas.openxmlformats.org/officeDocument/2006/relationships/hyperlink" Target="https://wirkungsoekonomie.de/werkzeuge/impact-controlling/impact-of-investment/" TargetMode="External"/><Relationship Id="rId22" Type="http://schemas.openxmlformats.org/officeDocument/2006/relationships/hyperlink" Target="https://wirkungsoekonomie.de/werkzeuge/t-sroi/" TargetMode="External"/><Relationship Id="rId23" Type="http://schemas.openxmlformats.org/officeDocument/2006/relationships/hyperlink" Target="https://wirkungsoekonomie.de/fuer/unternehmen/impact-controlling/" TargetMode="External"/><Relationship Id="rId24" Type="http://schemas.openxmlformats.org/officeDocument/2006/relationships/hyperlink" Target="https://doi.org/10.1016/j.indmarman.2003.10.006" TargetMode="External"/><Relationship Id="rId25" Type="http://schemas.openxmlformats.org/officeDocument/2006/relationships/hyperlink" Target="https://doi.org/10.1016/j.indmarman.2015.02.009" TargetMode="External"/><Relationship Id="rId26" Type="http://schemas.openxmlformats.org/officeDocument/2006/relationships/hyperlink" Target="https://doi.org/10.1016/j.jbusres.2020.03.026" TargetMode="External"/><Relationship Id="rId27" Type="http://schemas.openxmlformats.org/officeDocument/2006/relationships/hyperlink" Target="https://doi.org/10.1016/j.indmarman.2023.09.013" TargetMode="External"/><Relationship Id="rId28" Type="http://schemas.openxmlformats.org/officeDocument/2006/relationships/hyperlink" Target="https://www.gov.uk/government/publications/the-magenta-book/" TargetMode="External"/><Relationship Id="rId29" Type="http://schemas.openxmlformats.org/officeDocument/2006/relationships/hyperlink" Target="https://doi.org/10.1787/543e84ed-en" TargetMode="External"/><Relationship Id="rId30" Type="http://schemas.openxmlformats.org/officeDocument/2006/relationships/hyperlink" Target="https://impactmanagementplatform.org/" TargetMode="External"/><Relationship Id="rId3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Wirkungsbasiertes Value Pricing</dc:title>
  <dc:subject>Dossier und fachliches Detailkonzept der Wirkungsökonomie - Version 1.2 Masterfassung</dc:subject>
  <dc:creator>Natalie Weber</dc:creator>
  <cp:keywords>Wirkungsökonomie, Value-based Pricing, Impact Controlling, NWI, T-SROI, Dienstleistungen, KI, Produktivitätsgewinn</cp:keywords>
  <dc:description>Version 1.2, August 2026. Additive Masterfassung: vollständige Architektur der Version 1.0 plus Erfahrung, Effizienz, KI und faire Produktivitätsteilung aus Version 1.1.</dc:description>
  <cp:lastModifiedBy/>
  <cp:revision>1</cp:revision>
  <dcterms:created xsi:type="dcterms:W3CDTF">2013-12-23T23:15:00Z</dcterms:created>
  <dcterms:modified xsi:type="dcterms:W3CDTF">2013-12-23T23:15:00Z</dcterms:modified>
  <cp:category/>
</cp:coreProperties>
</file>