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B3D896" w14:textId="77777777" w:rsidR="0025227A" w:rsidRDefault="00000000">
      <w:pPr>
        <w:pStyle w:val="Titel"/>
        <w:jc w:val="center"/>
      </w:pPr>
      <w:r>
        <w:t>Wie Wallonien die extreme Rechte klein hält</w:t>
      </w:r>
    </w:p>
    <w:p w14:paraId="1188EC8E" w14:textId="5AEF2C15" w:rsidR="0025227A" w:rsidRDefault="00000000">
      <w:pPr>
        <w:pStyle w:val="Untertitel"/>
        <w:jc w:val="center"/>
      </w:pPr>
      <w:r>
        <w:t xml:space="preserve">Was der Vergleich mit Flandern über politische Schutzmechanismen zeigt </w:t>
      </w:r>
      <w:r w:rsidR="004F39E9">
        <w:t>-</w:t>
      </w:r>
      <w:r>
        <w:t xml:space="preserve"> und warum das für Deutschland interessant ist</w:t>
      </w:r>
    </w:p>
    <w:p w14:paraId="4CE7B2F1" w14:textId="77777777" w:rsidR="0025227A" w:rsidRDefault="00000000">
      <w:pPr>
        <w:spacing w:after="200"/>
        <w:jc w:val="center"/>
      </w:pPr>
      <w:r>
        <w:rPr>
          <w:noProof/>
        </w:rPr>
        <w:drawing>
          <wp:inline distT="0" distB="0" distL="0" distR="0" wp14:anchorId="794440FE" wp14:editId="4A7E392C">
            <wp:extent cx="6012000" cy="33835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lonien_zwischen_medien_und_zivilgesellschaft.png"/>
                    <pic:cNvPicPr/>
                  </pic:nvPicPr>
                  <pic:blipFill>
                    <a:blip r:embed="rId8"/>
                    <a:stretch>
                      <a:fillRect/>
                    </a:stretch>
                  </pic:blipFill>
                  <pic:spPr>
                    <a:xfrm>
                      <a:off x="0" y="0"/>
                      <a:ext cx="6012000" cy="3383548"/>
                    </a:xfrm>
                    <a:prstGeom prst="rect">
                      <a:avLst/>
                    </a:prstGeom>
                  </pic:spPr>
                </pic:pic>
              </a:graphicData>
            </a:graphic>
          </wp:inline>
        </w:drawing>
      </w:r>
    </w:p>
    <w:p w14:paraId="0D0F1F0B" w14:textId="77777777" w:rsidR="001A06D7" w:rsidRDefault="001A06D7" w:rsidP="001A06D7">
      <w:pPr>
        <w:pStyle w:val="article-editor-paragraph"/>
        <w:spacing w:before="0" w:beforeAutospacing="0" w:after="0" w:afterAutospacing="0"/>
        <w:textAlignment w:val="baseline"/>
        <w:rPr>
          <w:rFonts w:ascii="Segoe UI" w:hAnsi="Segoe UI" w:cs="Segoe UI"/>
        </w:rPr>
      </w:pPr>
      <w:r>
        <w:rPr>
          <w:rStyle w:val="Fett"/>
          <w:rFonts w:ascii="Segoe UI" w:hAnsi="Segoe UI" w:cs="Segoe UI"/>
        </w:rPr>
        <w:t>In Deutschland wird seit Jahren darüber gestritten, wie eine Demokratie mit einer starken radikal rechten Partei umgehen soll. Reden? Abgrenzen? Einladen? Widersprechen? Auf TikTok diskutieren, bis auch der letzte falsche Satz widerlegt ist? Belgien bietet dazu einen ungewöhnlich guten Vergleich. Im selben Staat ist die extreme Rechte in Flandern sehr stark - in Wallonien bis heute klein. Der interessante Teil daran ist nicht ein einzelner Trick. Es ist das Zusammenspiel mehrerer Schutzmechanismen.</w:t>
      </w:r>
    </w:p>
    <w:p w14:paraId="1826A6AA"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Wallonien wirkt weniger wie eine Festung mit einer hohen Mauer. Eher wie ein System mit mehreren Schutzschichten. Fällt eine aus, sind noch andere da.</w:t>
      </w:r>
    </w:p>
    <w:p w14:paraId="1DD48E0B"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t>Für diese Geschichte reichen zwei Landesteile.</w:t>
      </w:r>
    </w:p>
    <w:p w14:paraId="7E59FE01"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Belgien kann kompliziert werden. Für diesen Vergleich muss man sich aber nur zwei Namen merken: Flandern im Norden und Wallonien im Süden. Beide gehören zum selben Land. Viele staatliche Regeln sind gemeinsam. Medienlandschaft, Parteien und politische Kultur unterscheiden sich trotzdem deutlich.</w:t>
      </w:r>
    </w:p>
    <w:p w14:paraId="5D726D8A"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 xml:space="preserve">Bei der Regionalwahl 2024 bekam Vlaams Belang in Flandern 22,66 Prozent der Stimmen. In Wallonien kam hingegen Chez Nous auf nur 2,83 Prozent und erhielt keinen Sitz. [1][2] Das </w:t>
      </w:r>
      <w:r>
        <w:rPr>
          <w:rFonts w:ascii="Segoe UI" w:hAnsi="Segoe UI" w:cs="Segoe UI"/>
        </w:rPr>
        <w:lastRenderedPageBreak/>
        <w:t>beweist für sich genommen noch gar nichts. Aber der Abstand ist so groß, dass er nach einer Erklärung verlangt.</w:t>
      </w:r>
    </w:p>
    <w:p w14:paraId="09E126AC"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Und genau hier wird Belgien spannend. Denn die einfache Erklärung „Die Menschen dort denken eben anders“ reicht nicht. Eine ältere Untersuchung der Politikwissenschaftlerin Hilde Coffé fand, dass Unterschiede bei sozialen Merkmalen und Einstellungen der Wähler den großen Unterschied im Wahlerfolg der extremen Rechten nicht erklären konnten. [3] Léonie de Jonge kommt in ihrem späteren direkten Vergleich ebenfalls zu dem Schluss, dass der politische und mediale Kontext eine zentrale Rolle spielt. [4]</w:t>
      </w:r>
    </w:p>
    <w:p w14:paraId="1D95384D"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t>Zwei Wirkungsräume - zwei verschiedene Schutzsysteme</w:t>
      </w:r>
    </w:p>
    <w:p w14:paraId="009DB513"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Wirkungsökonomisch kann man Flandern und Wallonien als zwei verschiedene Wirkungsräume betrachten. Ein Wirkungsraum besteht nicht nur aus Menschen und ihren Meinungen. Dazu gehören auch Parteien, Medien, Gewerkschaften, Vereine, Gesetze, Schulen, Plattformen und die Regeln, nach denen öffentliche Aufmerksamkeit verteilt wird.</w:t>
      </w:r>
    </w:p>
    <w:p w14:paraId="3D3837E0"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Man kann sich das vorsichtig wie bei einem Körper vorstellen. Ob eine Belastung groß wird, hängt nicht nur davon ab, dass sie überhaupt vorhanden ist. Es kommt auch darauf an, welche Barrieren funktionieren, wie früh reagiert wird und ob mehrere Schutzmechanismen zusammenspielen. Die Metapher bezieht sich auf Institutionen und Kommunikationswege, nicht auf Menschen.</w:t>
      </w:r>
    </w:p>
    <w:p w14:paraId="30C45907"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Gesellschaften lassen sich natürlich nicht doppelt blind testen wie Medikamente. Niemand kann sagen: Dieser eine Mechanismus hat exakt 7,4 Prozentpunkte verhindert. Auch das belgische Forschungszentrum CRISP betont, dass die Wirkung der einzelnen Maßnahmen schwer voneinander zu trennen ist. [5][6] Gerade deshalb lohnt sich der Blick auf das ganze System.</w:t>
      </w:r>
    </w:p>
    <w:p w14:paraId="77983FE0"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t>Schutzmechanismus 1: Politik zieht eine klare Grenze</w:t>
      </w:r>
    </w:p>
    <w:p w14:paraId="26D76884"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In Belgien gibt es seit Jahrzehnten einen sogenannten politischen Cordon sanitaire. Gemeint ist eine Abgrenzung gegenüber Parteien der extremen Rechten: Sie werden nicht wie ein gewöhnlicher möglicher Koalitionspartner behandelt. Das nimmt niemandem das Wahlrecht. Es verhindert aber, dass Wahlerfolg automatisch Zugang zu Regierungsämtern, Bündnissen und zusätzlicher politischer Legitimität bedeutet. CRISP untersucht diesen politischen Cordon ausdrücklich als einen Teil der belgischen Strategie gegen die extreme Rechte. [5]</w:t>
      </w:r>
    </w:p>
    <w:p w14:paraId="30D15843"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 xml:space="preserve">Der Vergleich mit Flandern zeigt zugleich, warum eine einzelne Mauer nicht genügt. Auch dort gab es einen politischen Cordon. Vlaams Belang wurde trotzdem stark. De Jonge </w:t>
      </w:r>
      <w:r>
        <w:rPr>
          <w:rFonts w:ascii="Segoe UI" w:hAnsi="Segoe UI" w:cs="Segoe UI"/>
        </w:rPr>
        <w:lastRenderedPageBreak/>
        <w:t>verweist darauf, dass die Abgrenzung in Flandern später kam und schneller porös wurde. In Wallonien blieb die politische Demarkation deutlich konsequenter. [4]</w:t>
      </w:r>
    </w:p>
    <w:p w14:paraId="6A33C0AE"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Damit verschiebt sich der Blick. Die interessante Größe ist nicht nur: „Gibt es einen Cordon?“ Entscheidend ist, wann er entsteht, wie geschlossen er bleibt und was Medien und Gesellschaft gleichzeitig tun.</w:t>
      </w:r>
    </w:p>
    <w:p w14:paraId="5E73B1D8"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t>Schutzmechanismus 2: Berichten ist nicht dasselbe wie Bühne geben</w:t>
      </w:r>
    </w:p>
    <w:p w14:paraId="177A951F"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Der zweite Mechanismus ist für deutsche Debatten besonders ungewohnt. Im Medienraum, zu dem Wallonien gehört, gibt es einen medialen Cordon sanitaire. Der zuständige Medienregulierer beschreibt die Regel 2026 sehr klar: Vertreter politischer Strömungen, die freiheitsfeindliche oder rassistische Positionen vertreten, bekommen keinen normalen Zugang zu Wahltribünen und Wahldebatten; auch Live-Auftritte sind ausgeschlossen. [7]</w:t>
      </w:r>
    </w:p>
    <w:p w14:paraId="54B77E15"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Gleichzeitig dürfen Journalisten selbstverständlich über solche Parteien berichten, sie zitieren und ihre Aussagen journalistisch bearbeiten. Schon die Medienregeln früherer Wahlperioden formulierten diesen Unterschied ausdrücklich: Journalistische Berichterstattung ja, freier Live-Zugang nein. [7]</w:t>
      </w:r>
    </w:p>
    <w:p w14:paraId="1E6CD1D5"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Das klingt nach einer kleinen formalen Regel. In der Wirkung ist es ein großer Unterschied. Ein Bericht kann eine Behauptung prüfen, einordnen, kürzen und in einen größeren Zusammenhang stellen. Eine Live-Debatte gibt dem Akteur zusätzlich Zeit, Präsenz, Persönlichkeit und die Möglichkeit, selbst zu bestimmen, welcher Satz als Nächstes auf dem Tisch liegt.</w:t>
      </w:r>
    </w:p>
    <w:p w14:paraId="4FBAA8ED"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Ein Mikrofon ist kein neutraler Gegenstand. Es verteilt Aufmerksamkeit.</w:t>
      </w:r>
    </w:p>
    <w:p w14:paraId="46EF700D"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t>Schutzmechanismus 3: Auch Reichweite wird als Wirkung behandelt</w:t>
      </w:r>
    </w:p>
    <w:p w14:paraId="6AAA8866"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2022 haben mehrere demokratische Parteien in Belgien ihre Demokratie-Charta erneuert. Darin geht es ausdrücklich auch um soziale Netzwerke. Die Unterzeichner verpflichten sich unter anderem, Aussagen nicht weiterzutragen, wenn dadurch diskriminierende, fremdenfeindliche, rassistische oder antisemitische Inhalte banalisiert, sichtbarer gemacht oder verstärkt werden. Auf den eigenen Social-Media-Kanälen sollen solche Beiträge moderiert werden. Außerdem sollen keine Debatten mit Mandatsträgern, Kandidaten oder Aktivisten der betroffenen extrem rechten Parteien organisiert werden. [8]</w:t>
      </w:r>
    </w:p>
    <w:p w14:paraId="2B3F9D8D"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lastRenderedPageBreak/>
        <w:t>Das ist kein allgemeines Gesprächsverbot mit Menschen, die rechts gewählt haben. Es ist eine Regel für politische Akteure und für den Umgang mit öffentlicher Verstärkung. Für TikTok ist genau diese Unterscheidung interessant.</w:t>
      </w:r>
    </w:p>
    <w:p w14:paraId="428C04A9"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Ein Beispiel: Eine TikTok-Live Debatte handelt gerade von Strompreisen. Jemand kommt hinein und wirft eine falsche Behauptung über Migration in den Raum. Fünf Leute widersprechen. Nach zehn Minuten redet niemand mehr über Strom. Nach dreißig Minuten ist die Behauptung zehnmal wiederholt worden, der Chat läuft heiß und das ursprüngliche Thema ist weg.</w:t>
      </w:r>
    </w:p>
    <w:p w14:paraId="109BAA74"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Die Behauptung kann inhaltlich verloren haben und kommunikativ trotzdem gewonnen haben. Sie hat die Agenda übernommen.</w:t>
      </w:r>
    </w:p>
    <w:p w14:paraId="3EE6DC90"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Dazu passt ein gut belegter psychologischer Effekt: Wiederholte Aussagen wirken im Durchschnitt glaubwürdiger als neue Aussagen - auch bei Falschinformationen. Das wird als Illusory-Truth-Effekt bezeichnet. [10] Daraus folgt nicht, dass man Falschbehauptungen niemals nennen oder korrigieren darf. Gute Korrekturen funktionieren. Es spricht aber dagegen, jede Provokation endlos zu reproduzieren und daraus das Hauptprogramm zu machen. [11]</w:t>
      </w:r>
    </w:p>
    <w:p w14:paraId="39A85189"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t>Schutzmechanismus 4: Die Aufgabe liegt nicht nur bei Journalisten</w:t>
      </w:r>
    </w:p>
    <w:p w14:paraId="094CCAB7"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Wallonien wird oft auf seine Medienregeln reduziert. Das greift zu kurz. CRISP beschreibt ein viel breiteres Geflecht: gesetzliche Mittel gegen Rassismus, Diskriminierung und Holocaustleugnung, politische Vereinbarungen, Medienregeln, zivilgesellschaftliche Mobilisierung und die Beobachtung gewaltbereiter extremistischer Strukturen durch Sicherheitsbehörden. [5][6]</w:t>
      </w:r>
    </w:p>
    <w:p w14:paraId="62098F11"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Auch Gewerkschaften und Verbände spielen in dieser Geschichte eine Rolle. De Jonge verweist zum Beispiel darauf, dass nach dem Zweiten Weltkrieg viele italienische Arbeitskräfte in Wallonien früh in bestehende gesellschaftliche Strukturen, besonders in Gewerkschaften, eingebunden wurden. [4] Das ist keine Zauberformel gegen Rassismus. Es zeigt aber, wie stark es darauf ankommt, ob gesellschaftliche Gruppen nebeneinander stehen oder über gemeinsame Institutionen miteinander verbunden sind.</w:t>
      </w:r>
    </w:p>
    <w:p w14:paraId="23C26F0C"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Der Vorteil eines solchen Systems liegt auf der Hand: Nicht ein einzelner Fernsehmoderator muss die Demokratie retten. Mehrere Institutionen reagieren an verschiedenen Stellen.</w:t>
      </w:r>
    </w:p>
    <w:p w14:paraId="752ADA1A"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lastRenderedPageBreak/>
        <w:t>Schutzmechanismus 5: Nicht jeder Konflikt wird zum Migrationsthema</w:t>
      </w:r>
    </w:p>
    <w:p w14:paraId="07FE00E0"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Ein weiterer Unterschied liegt darin, welche Konflikte politisch groß gemacht werden. De Jonge beschreibt, dass in Wallonien soziale und wirtschaftliche Gegensätze lange stärker im Mittelpunkt blieben. Migration wurde weniger stark zur alles ordnenden politischen Trennlinie als in Flandern. [4]</w:t>
      </w:r>
    </w:p>
    <w:p w14:paraId="3674345E"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Das ist leicht zu unterschätzen. Themen entstehen nicht nur, weil sie irgendwo vorhanden sind. Parteien und Medien entscheiden mit, welche Themen Woche für Woche ganz oben stehen. Wenn jede Debatte über Schule, Wohnen, Kriminalität, Löhne oder Gesundheit irgendwann wieder bei Migration landet, verändert sich der politische Wirkungsraum. Andere Erklärungen und Lösungen verschwinden aus dem Bild.</w:t>
      </w:r>
    </w:p>
    <w:p w14:paraId="2309CD52"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Die wallonische Entwicklung zeigt deshalb noch etwas anderes: Ein gesellschaftliches Problem kann bearbeitet werden, ohne dass automatisch die Deutung einer extremen Partei zum Rahmen für die gesamte Debatte wird.</w:t>
      </w:r>
    </w:p>
    <w:p w14:paraId="4A168E17"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t>Und ja: Geschichte spielt ebenfalls eine Rolle</w:t>
      </w:r>
    </w:p>
    <w:p w14:paraId="5E55F73F"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Flandern und Wallonien starteten nicht mit denselben Voraussetzungen. In Flandern konnte die radikale Rechte auf ein über lange Zeit gewachsenes nationalistisches Netzwerk zurückgreifen. In Wallonien fehlte eine vergleichbar starke politische Infrastruktur; extrem rechte Gruppen blieben häufiger zersplittert. [4]</w:t>
      </w:r>
    </w:p>
    <w:p w14:paraId="22FB257F"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Das ist ein wichtiger Faktor. Es ist aber nicht die ganze Erklärung - und für Deutschland wäre es auch eine wenig hilfreiche Schlussfolgerung. Geschichte lässt sich nicht nachträglich austauschen.</w:t>
      </w:r>
    </w:p>
    <w:p w14:paraId="17DA4B69"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De Jonge legt in ihrer Studie deshalb besonderes Gewicht auf die Reaktion etablierter Parteien und der Medien. Ihr Befund: Diese Akteure können politische Chancen öffnen oder schließen. Sie können Themen verstärken, normalisieren und einer neuen Partei Raum geben - oder genau diese Kanäle begrenzen. [4]</w:t>
      </w:r>
    </w:p>
    <w:p w14:paraId="2C8BBF8E"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Auch der aktuelle Forschungsstand spricht gegen die Erzählung vom bloßen historischen Zufall. CRISP beschreibt Wallonien und Brüssel noch im April 2026 als vergleichsweise wenig von der extremen Rechten durchdrungen und nennt ausdrücklich den politischen und medialen Cordon als wichtige Gründe. Gleichzeitig warnt das Institut davor, die Region für dauerhaft immun zu halten: Rechtsextreme Ideen verbreiten sich auch dort, und Schutzmechanismen können schwächer werden. [9]</w:t>
      </w:r>
    </w:p>
    <w:p w14:paraId="08407E36"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lastRenderedPageBreak/>
        <w:t>Was dabei eigentlich wirkt</w:t>
      </w:r>
    </w:p>
    <w:p w14:paraId="2D368601"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Wenn man die einzelnen Teile zusammensetzt, entsteht ein Rückkopplungssystem.</w:t>
      </w:r>
    </w:p>
    <w:p w14:paraId="1FBFAA88"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Weniger selbstverständlicher Medienzugang bedeutet weniger kostenlose Bekanntheit. Weniger Normalisierung macht Kooperation für andere Parteien schwieriger. Schwächere öffentliche Präsenz erschwert den Aufbau bekannter Köpfe und dauerhafter Strukturen. Zivilgesellschaftliche und rechtliche Grenzen erhöhen zusätzlich die Kosten für offen rassistische oder antidemokratische Positionen. Gleichzeitig bleiben andere politische Konflikte sichtbar, statt ständig von einem einzigen Kulturkampf überlagert zu werden.</w:t>
      </w:r>
    </w:p>
    <w:p w14:paraId="16FDF8E7"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Umgekehrt kann sich ebenfalls eine Spirale entwickeln: mehr Aufmerksamkeit, mehr bekannte Gesichter, mehr Themenmacht, mehr organisatorische Ressourcen, wieder mehr Aufmerksamkeit. Forschung zur radikalen Rechten beschreibt genau solche Wechselwirkungen zwischen Organisation, Mobilisierung und öffentlicher Agenda. [4]</w:t>
      </w:r>
    </w:p>
    <w:p w14:paraId="28427310"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Das ist der wirkungsökonomische Kern des belgischen Vergleichs: Es gibt selten den einen Hebel. Wirkung entsteht aus dem Zusammenspiel vieler Regeln, Anreize und Rückkopplungen.</w:t>
      </w:r>
    </w:p>
    <w:p w14:paraId="1844E8AF"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t>Was der Vergleich für Deutschland sichtbar macht</w:t>
      </w:r>
    </w:p>
    <w:p w14:paraId="269F3A12"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Deutschland kann Wallonien nicht kopieren. Das deutsche Medienrecht ist anders, das Parteiensystem ist anders, die politische Geschichte ist anders und eine bereits etablierte Partei lässt sich nicht in die Ausgangslage einer kleinen Splittergruppe zurückversetzen.</w:t>
      </w:r>
    </w:p>
    <w:p w14:paraId="45839CBB"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Trotzdem macht der belgische Vergleich einige Mechanismen sichtbar, die in deutschen Debatten häufig getrennt betrachtet werden.</w:t>
      </w:r>
    </w:p>
    <w:p w14:paraId="652083C1"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Bei Talkshows und Interviews geht es zum Beispiel nicht nur um die Frage, ob ein Argument sachlich widerlegt wurde. Es geht auch um Sendezeit, Wiederholung, Bekanntheit und Themenwahl. Auf TikTok gilt dasselbe in schnellerer Form. Ein Host kann einen falschen Satz richtigstellen und danach zum Thema zurückkehren. Er kann aber auch eine Stunde lang auf jeden neuen Take reagieren. Inhaltlich ist beides Widerspruch. Die Wirkung auf Agenda und Reichweite kann sehr verschieden sein.</w:t>
      </w:r>
    </w:p>
    <w:p w14:paraId="2B6B6A71"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Bei Parteien geht es nicht nur um Koalitionen. Schon die Übernahme von Begriffen und Themenordnungen kann verändern, was als normale politische Konfliktlinie wahrgenommen wird. De Jonges Vergleich beschreibt genau diesen Unterschied bei der Politisierung von Migration und beim Verhalten etablierter Parteien. [4]</w:t>
      </w:r>
    </w:p>
    <w:p w14:paraId="52DF3708"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lastRenderedPageBreak/>
        <w:t>Und bei Zivilgesellschaft geht es nicht nur um Demonstrationen. Gewerkschaften, Vereine, Schulen, Arbeitgeber, Religionsgemeinschaften und lokale Initiativen schaffen alltägliche Verbindungen. Sie können gesellschaftliche Konflikte auffangen, bevor daraus geschlossene politische Milieus werden. CRISP behandelt diese zivilgesellschaftliche Ebene deshalb ausdrücklich als Teil des gesamten Schutzsystems. [6]</w:t>
      </w:r>
    </w:p>
    <w:p w14:paraId="584F20C5"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t>Eine einfache Wirkungsprüfung</w:t>
      </w:r>
    </w:p>
    <w:p w14:paraId="6EA910DC"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Für die Wirkungsökonomie ist an Wallonien vor allem eines interessant: Gute Absichten reichen als Messgröße nicht.</w:t>
      </w:r>
    </w:p>
    <w:p w14:paraId="66F8CC51"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Ein Aktivist kann einen radikalen Take mit bester Absicht stundenlang auseinandernehmen. Eine Redaktion kann einen Provokateur einladen, um ihn „zu stellen“. Eine Partei kann einen Begriff übernehmen, weil sie damit Wähler zurückholen möchte. In allen drei Fällen ist die Absicht nachvollziehbar. Ob die gewünschte Wirkung eintritt, ist eine andere Frage.</w:t>
      </w:r>
    </w:p>
    <w:p w14:paraId="71C33E20"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Eine sinnvolle Wirkungsprüfung schaut deshalb auf das, was danach größer oder kleiner geworden ist: Reichweite, Bekanntheit, Themenanteil, Glaubwürdigkeit, Organisationskraft, gesellschaftliche Akzeptanz und tatsächlicher politischer Einfluss.</w:t>
      </w:r>
    </w:p>
    <w:p w14:paraId="6A3357BF"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Wallonien ist dabei kein Beweis für ein Patentrezept. Der Fall zeigt aber, dass demokratische Resilienz nicht erst am Wahltag beginnt. Sie entsteht viel früher - in Medienregeln, Parteientscheidungen, Vereinen, Gewerkschaften, Kommentarspalten, Moderation und in der simplen Frage, wem wir wie viel Aufmerksamkeit geben.</w:t>
      </w:r>
    </w:p>
    <w:p w14:paraId="4EBA1978"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Der vielleicht wichtigste Satz aus Wallonien lautet deshalb ganz unspektakulär: Öffentlichkeit ist ein Wirkungsraum. Wer dort Regeln setzt, verändert politische Chancen.</w:t>
      </w:r>
    </w:p>
    <w:p w14:paraId="546FFDB0" w14:textId="77777777" w:rsidR="001A06D7" w:rsidRDefault="001A06D7" w:rsidP="001A06D7">
      <w:pPr>
        <w:pStyle w:val="berschrift2"/>
        <w:spacing w:before="0" w:after="240"/>
        <w:textAlignment w:val="baseline"/>
        <w:rPr>
          <w:rFonts w:ascii="Segoe UI" w:hAnsi="Segoe UI" w:cs="Segoe UI"/>
        </w:rPr>
      </w:pPr>
      <w:r>
        <w:rPr>
          <w:rFonts w:ascii="Segoe UI" w:hAnsi="Segoe UI" w:cs="Segoe UI"/>
        </w:rPr>
        <w:t>Quellen und weiterführende Literatur</w:t>
      </w:r>
    </w:p>
    <w:p w14:paraId="676434C2" w14:textId="77777777" w:rsidR="001A06D7" w:rsidRDefault="001A06D7" w:rsidP="001A06D7">
      <w:pPr>
        <w:pStyle w:val="article-editor-paragraph"/>
        <w:spacing w:before="0" w:beforeAutospacing="0" w:after="0" w:afterAutospacing="0"/>
        <w:textAlignment w:val="baseline"/>
        <w:rPr>
          <w:rFonts w:ascii="Segoe UI" w:hAnsi="Segoe UI" w:cs="Segoe UI"/>
        </w:rPr>
      </w:pPr>
      <w:r>
        <w:rPr>
          <w:rFonts w:ascii="Segoe UI" w:hAnsi="Segoe UI" w:cs="Segoe UI"/>
        </w:rPr>
        <w:t xml:space="preserve">[1] Offizielles belgisches Wahlergebnis: Flämisches Parlament, 9. Juni 2024 - Vlaams Belang 22,66 %. </w:t>
      </w:r>
      <w:hyperlink r:id="rId9" w:history="1">
        <w:r>
          <w:rPr>
            <w:rStyle w:val="Hyperlink"/>
            <w:rFonts w:ascii="Segoe UI" w:hAnsi="Segoe UI" w:cs="Segoe UI"/>
            <w:b/>
            <w:bCs/>
            <w:color w:val="0A66C2"/>
            <w:bdr w:val="none" w:sz="0" w:space="0" w:color="auto" w:frame="1"/>
          </w:rPr>
          <w:t>Link</w:t>
        </w:r>
      </w:hyperlink>
    </w:p>
    <w:p w14:paraId="0A48DEEE" w14:textId="77777777" w:rsidR="001A06D7" w:rsidRDefault="001A06D7" w:rsidP="001A06D7">
      <w:pPr>
        <w:pStyle w:val="article-editor-paragraph"/>
        <w:spacing w:before="0" w:beforeAutospacing="0" w:after="0" w:afterAutospacing="0"/>
        <w:textAlignment w:val="baseline"/>
        <w:rPr>
          <w:rFonts w:ascii="Segoe UI" w:hAnsi="Segoe UI" w:cs="Segoe UI"/>
        </w:rPr>
      </w:pPr>
      <w:r>
        <w:rPr>
          <w:rFonts w:ascii="Segoe UI" w:hAnsi="Segoe UI" w:cs="Segoe UI"/>
        </w:rPr>
        <w:t xml:space="preserve">[2] Offizielles belgisches Wahlergebnis: Wallonisches Parlament, 9. Juni 2024 - Chez Nous 2,83 %. </w:t>
      </w:r>
      <w:hyperlink r:id="rId10" w:history="1">
        <w:r>
          <w:rPr>
            <w:rStyle w:val="Hyperlink"/>
            <w:rFonts w:ascii="Segoe UI" w:hAnsi="Segoe UI" w:cs="Segoe UI"/>
            <w:b/>
            <w:bCs/>
            <w:color w:val="0A66C2"/>
            <w:bdr w:val="none" w:sz="0" w:space="0" w:color="auto" w:frame="1"/>
          </w:rPr>
          <w:t>Link</w:t>
        </w:r>
      </w:hyperlink>
    </w:p>
    <w:p w14:paraId="289D0BE1" w14:textId="77777777" w:rsidR="001A06D7" w:rsidRDefault="001A06D7" w:rsidP="001A06D7">
      <w:pPr>
        <w:pStyle w:val="article-editor-paragraph"/>
        <w:spacing w:before="0" w:beforeAutospacing="0" w:after="0" w:afterAutospacing="0"/>
        <w:textAlignment w:val="baseline"/>
        <w:rPr>
          <w:rFonts w:ascii="Segoe UI" w:hAnsi="Segoe UI" w:cs="Segoe UI"/>
        </w:rPr>
      </w:pPr>
      <w:r>
        <w:rPr>
          <w:rFonts w:ascii="Segoe UI" w:hAnsi="Segoe UI" w:cs="Segoe UI"/>
        </w:rPr>
        <w:t xml:space="preserve">[3] Hilde Coffé (2005): Do Individual Factors Explain the Different Success of the Two Belgian Extreme Right Parties?, Acta Politica 40(1), 74-93. DOI 10.1057/palgrave.ap.5500078. </w:t>
      </w:r>
      <w:hyperlink r:id="rId11" w:history="1">
        <w:r>
          <w:rPr>
            <w:rStyle w:val="Hyperlink"/>
            <w:rFonts w:ascii="Segoe UI" w:hAnsi="Segoe UI" w:cs="Segoe UI"/>
            <w:b/>
            <w:bCs/>
            <w:color w:val="0A66C2"/>
            <w:bdr w:val="none" w:sz="0" w:space="0" w:color="auto" w:frame="1"/>
          </w:rPr>
          <w:t>Link</w:t>
        </w:r>
      </w:hyperlink>
    </w:p>
    <w:p w14:paraId="2BDD9227" w14:textId="77777777" w:rsidR="001A06D7" w:rsidRPr="001A06D7" w:rsidRDefault="001A06D7" w:rsidP="001A06D7">
      <w:pPr>
        <w:pStyle w:val="article-editor-paragraph"/>
        <w:spacing w:before="0" w:beforeAutospacing="0" w:after="0" w:afterAutospacing="0"/>
        <w:textAlignment w:val="baseline"/>
        <w:rPr>
          <w:rFonts w:ascii="Segoe UI" w:hAnsi="Segoe UI" w:cs="Segoe UI"/>
          <w:lang w:val="fr-FR"/>
        </w:rPr>
      </w:pPr>
      <w:r>
        <w:rPr>
          <w:rFonts w:ascii="Segoe UI" w:hAnsi="Segoe UI" w:cs="Segoe UI"/>
        </w:rPr>
        <w:t xml:space="preserve">[4] Léonie de Jonge (2021): The Curious Case of Belgium: Why is There no Right-Wing Populism in Wallonia?, Government and Opposition 56(4), 598-614. </w:t>
      </w:r>
      <w:hyperlink r:id="rId12" w:history="1">
        <w:r w:rsidRPr="001A06D7">
          <w:rPr>
            <w:rStyle w:val="Hyperlink"/>
            <w:rFonts w:ascii="Segoe UI" w:hAnsi="Segoe UI" w:cs="Segoe UI"/>
            <w:b/>
            <w:bCs/>
            <w:color w:val="0A66C2"/>
            <w:bdr w:val="none" w:sz="0" w:space="0" w:color="auto" w:frame="1"/>
            <w:lang w:val="fr-FR"/>
          </w:rPr>
          <w:t>Link</w:t>
        </w:r>
      </w:hyperlink>
    </w:p>
    <w:p w14:paraId="6E3CACB8" w14:textId="77777777" w:rsidR="001A06D7" w:rsidRPr="001A06D7" w:rsidRDefault="001A06D7" w:rsidP="001A06D7">
      <w:pPr>
        <w:pStyle w:val="article-editor-paragraph"/>
        <w:spacing w:before="0" w:beforeAutospacing="0" w:after="0" w:afterAutospacing="0"/>
        <w:textAlignment w:val="baseline"/>
        <w:rPr>
          <w:rFonts w:ascii="Segoe UI" w:hAnsi="Segoe UI" w:cs="Segoe UI"/>
          <w:lang w:val="fr-FR"/>
        </w:rPr>
      </w:pPr>
      <w:r w:rsidRPr="001A06D7">
        <w:rPr>
          <w:rFonts w:ascii="Segoe UI" w:hAnsi="Segoe UI" w:cs="Segoe UI"/>
          <w:lang w:val="fr-FR"/>
        </w:rPr>
        <w:t xml:space="preserve">[5] Benjamin Biard / CRISP (2021): La lutte contre l’extrême droite en Belgique I - Moyens légaux et cordon sanitaire politique. </w:t>
      </w:r>
      <w:hyperlink r:id="rId13" w:history="1">
        <w:r w:rsidRPr="001A06D7">
          <w:rPr>
            <w:rStyle w:val="Hyperlink"/>
            <w:rFonts w:ascii="Segoe UI" w:hAnsi="Segoe UI" w:cs="Segoe UI"/>
            <w:b/>
            <w:bCs/>
            <w:color w:val="0A66C2"/>
            <w:bdr w:val="none" w:sz="0" w:space="0" w:color="auto" w:frame="1"/>
            <w:lang w:val="fr-FR"/>
          </w:rPr>
          <w:t>Link</w:t>
        </w:r>
      </w:hyperlink>
    </w:p>
    <w:p w14:paraId="28BB04C8" w14:textId="77777777" w:rsidR="001A06D7" w:rsidRDefault="001A06D7" w:rsidP="001A06D7">
      <w:pPr>
        <w:pStyle w:val="article-editor-paragraph"/>
        <w:spacing w:before="0" w:beforeAutospacing="0" w:after="0" w:afterAutospacing="0"/>
        <w:textAlignment w:val="baseline"/>
        <w:rPr>
          <w:rFonts w:ascii="Segoe UI" w:hAnsi="Segoe UI" w:cs="Segoe UI"/>
        </w:rPr>
      </w:pPr>
      <w:r w:rsidRPr="001A06D7">
        <w:rPr>
          <w:rFonts w:ascii="Segoe UI" w:hAnsi="Segoe UI" w:cs="Segoe UI"/>
          <w:lang w:val="fr-FR"/>
        </w:rPr>
        <w:lastRenderedPageBreak/>
        <w:t xml:space="preserve">[6] Benjamin Biard / CRISP (2021): La lutte contre l’extrême droite en Belgique II - Cordon sanitaire médiatique, société civile et services de renseignement. </w:t>
      </w:r>
      <w:hyperlink r:id="rId14" w:history="1">
        <w:r>
          <w:rPr>
            <w:rStyle w:val="Hyperlink"/>
            <w:rFonts w:ascii="Segoe UI" w:hAnsi="Segoe UI" w:cs="Segoe UI"/>
            <w:b/>
            <w:bCs/>
            <w:color w:val="0A66C2"/>
            <w:bdr w:val="none" w:sz="0" w:space="0" w:color="auto" w:frame="1"/>
          </w:rPr>
          <w:t>Link</w:t>
        </w:r>
      </w:hyperlink>
    </w:p>
    <w:p w14:paraId="29B342C0" w14:textId="77777777" w:rsidR="001A06D7" w:rsidRDefault="001A06D7" w:rsidP="001A06D7">
      <w:pPr>
        <w:pStyle w:val="article-editor-paragraph"/>
        <w:spacing w:before="0" w:beforeAutospacing="0" w:after="0" w:afterAutospacing="0"/>
        <w:textAlignment w:val="baseline"/>
        <w:rPr>
          <w:rFonts w:ascii="Segoe UI" w:hAnsi="Segoe UI" w:cs="Segoe UI"/>
        </w:rPr>
      </w:pPr>
      <w:r>
        <w:rPr>
          <w:rFonts w:ascii="Segoe UI" w:hAnsi="Segoe UI" w:cs="Segoe UI"/>
        </w:rPr>
        <w:t xml:space="preserve">[7] CSA Belgique: Zugang politischer Strömungen zu Sendungen; medialer Cordon sanitaire. Stand 2026. </w:t>
      </w:r>
      <w:hyperlink r:id="rId15" w:history="1">
        <w:r>
          <w:rPr>
            <w:rStyle w:val="Hyperlink"/>
            <w:rFonts w:ascii="Segoe UI" w:hAnsi="Segoe UI" w:cs="Segoe UI"/>
            <w:b/>
            <w:bCs/>
            <w:color w:val="0A66C2"/>
            <w:bdr w:val="none" w:sz="0" w:space="0" w:color="auto" w:frame="1"/>
          </w:rPr>
          <w:t>Link</w:t>
        </w:r>
      </w:hyperlink>
    </w:p>
    <w:p w14:paraId="5D148E46" w14:textId="77777777" w:rsidR="001A06D7" w:rsidRPr="001A06D7" w:rsidRDefault="001A06D7" w:rsidP="001A06D7">
      <w:pPr>
        <w:pStyle w:val="article-editor-paragraph"/>
        <w:spacing w:before="0" w:beforeAutospacing="0" w:after="0" w:afterAutospacing="0"/>
        <w:textAlignment w:val="baseline"/>
        <w:rPr>
          <w:rFonts w:ascii="Segoe UI" w:hAnsi="Segoe UI" w:cs="Segoe UI"/>
          <w:lang w:val="fr-FR"/>
        </w:rPr>
      </w:pPr>
      <w:r>
        <w:rPr>
          <w:rFonts w:ascii="Segoe UI" w:hAnsi="Segoe UI" w:cs="Segoe UI"/>
        </w:rPr>
        <w:t xml:space="preserve">[8] Charte de la démocratie, erneuert am 8. Mai 2022: Regeln zu Debatten, Verstärkung und Moderation in sozialen Netzwerken. </w:t>
      </w:r>
      <w:hyperlink r:id="rId16" w:history="1">
        <w:r w:rsidRPr="001A06D7">
          <w:rPr>
            <w:rStyle w:val="Hyperlink"/>
            <w:rFonts w:ascii="Segoe UI" w:hAnsi="Segoe UI" w:cs="Segoe UI"/>
            <w:b/>
            <w:bCs/>
            <w:color w:val="0A66C2"/>
            <w:bdr w:val="none" w:sz="0" w:space="0" w:color="auto" w:frame="1"/>
            <w:lang w:val="fr-FR"/>
          </w:rPr>
          <w:t>Link</w:t>
        </w:r>
      </w:hyperlink>
    </w:p>
    <w:p w14:paraId="78A2FB0D" w14:textId="77777777" w:rsidR="001A06D7" w:rsidRDefault="001A06D7" w:rsidP="001A06D7">
      <w:pPr>
        <w:pStyle w:val="article-editor-paragraph"/>
        <w:spacing w:before="0" w:beforeAutospacing="0" w:after="0" w:afterAutospacing="0"/>
        <w:textAlignment w:val="baseline"/>
        <w:rPr>
          <w:rFonts w:ascii="Segoe UI" w:hAnsi="Segoe UI" w:cs="Segoe UI"/>
        </w:rPr>
      </w:pPr>
      <w:r w:rsidRPr="001A06D7">
        <w:rPr>
          <w:rFonts w:ascii="Segoe UI" w:hAnsi="Segoe UI" w:cs="Segoe UI"/>
          <w:lang w:val="fr-FR"/>
        </w:rPr>
        <w:t xml:space="preserve">[9] Benjamin Biard / CRISP (2026): La Belgique comme laboratoire pour l’étude de l’extrême droite en Europe. </w:t>
      </w:r>
      <w:hyperlink r:id="rId17" w:history="1">
        <w:r>
          <w:rPr>
            <w:rStyle w:val="Hyperlink"/>
            <w:rFonts w:ascii="Segoe UI" w:hAnsi="Segoe UI" w:cs="Segoe UI"/>
            <w:b/>
            <w:bCs/>
            <w:color w:val="0A66C2"/>
            <w:bdr w:val="none" w:sz="0" w:space="0" w:color="auto" w:frame="1"/>
          </w:rPr>
          <w:t>Link</w:t>
        </w:r>
      </w:hyperlink>
    </w:p>
    <w:p w14:paraId="1F8629F2" w14:textId="77777777" w:rsidR="001A06D7" w:rsidRDefault="001A06D7" w:rsidP="001A06D7">
      <w:pPr>
        <w:pStyle w:val="article-editor-paragraph"/>
        <w:spacing w:before="0" w:beforeAutospacing="0" w:after="0" w:afterAutospacing="0"/>
        <w:textAlignment w:val="baseline"/>
        <w:rPr>
          <w:rFonts w:ascii="Segoe UI" w:hAnsi="Segoe UI" w:cs="Segoe UI"/>
        </w:rPr>
      </w:pPr>
      <w:r>
        <w:rPr>
          <w:rFonts w:ascii="Segoe UI" w:hAnsi="Segoe UI" w:cs="Segoe UI"/>
        </w:rPr>
        <w:t xml:space="preserve">[10] Jessica Udry &amp; Sarah J. Barber (2024): The illusory truth effect: A review of how repetition increases belief in misinformation, Current Opinion in Psychology 56. </w:t>
      </w:r>
      <w:hyperlink r:id="rId18" w:history="1">
        <w:r>
          <w:rPr>
            <w:rStyle w:val="Hyperlink"/>
            <w:rFonts w:ascii="Segoe UI" w:hAnsi="Segoe UI" w:cs="Segoe UI"/>
            <w:b/>
            <w:bCs/>
            <w:color w:val="0A66C2"/>
            <w:bdr w:val="none" w:sz="0" w:space="0" w:color="auto" w:frame="1"/>
          </w:rPr>
          <w:t>Link</w:t>
        </w:r>
      </w:hyperlink>
    </w:p>
    <w:p w14:paraId="7903E4EE" w14:textId="77777777" w:rsidR="001A06D7" w:rsidRDefault="001A06D7" w:rsidP="001A06D7">
      <w:pPr>
        <w:pStyle w:val="article-editor-paragraph"/>
        <w:spacing w:before="0" w:beforeAutospacing="0" w:after="0" w:afterAutospacing="0"/>
        <w:textAlignment w:val="baseline"/>
        <w:rPr>
          <w:rFonts w:ascii="Segoe UI" w:hAnsi="Segoe UI" w:cs="Segoe UI"/>
        </w:rPr>
      </w:pPr>
      <w:r>
        <w:rPr>
          <w:rFonts w:ascii="Segoe UI" w:hAnsi="Segoe UI" w:cs="Segoe UI"/>
        </w:rPr>
        <w:t xml:space="preserve">[11] Toby Prike &amp; Ullrich K. H. Ecker (2023): Effective correction of misinformation, Current Opinion in Psychology 54. </w:t>
      </w:r>
      <w:hyperlink r:id="rId19" w:history="1">
        <w:r>
          <w:rPr>
            <w:rStyle w:val="Hyperlink"/>
            <w:rFonts w:ascii="Segoe UI" w:hAnsi="Segoe UI" w:cs="Segoe UI"/>
            <w:b/>
            <w:bCs/>
            <w:color w:val="0A66C2"/>
            <w:bdr w:val="none" w:sz="0" w:space="0" w:color="auto" w:frame="1"/>
          </w:rPr>
          <w:t>Link</w:t>
        </w:r>
      </w:hyperlink>
    </w:p>
    <w:p w14:paraId="25726B42" w14:textId="77777777" w:rsidR="001A06D7" w:rsidRDefault="001A06D7" w:rsidP="001A06D7">
      <w:pPr>
        <w:pStyle w:val="article-editor-paragraph"/>
        <w:spacing w:before="0" w:beforeAutospacing="0" w:after="480" w:afterAutospacing="0"/>
        <w:textAlignment w:val="baseline"/>
        <w:rPr>
          <w:rFonts w:ascii="Segoe UI" w:hAnsi="Segoe UI" w:cs="Segoe UI"/>
        </w:rPr>
      </w:pPr>
      <w:r>
        <w:rPr>
          <w:rFonts w:ascii="Segoe UI" w:hAnsi="Segoe UI" w:cs="Segoe UI"/>
        </w:rPr>
        <w:t>Stand der Recherche: 21. September 2026. Die belgische Forschung beschreibt ein Zusammenspiel mehrerer Faktoren; keine der genannten Maßnahmen lässt sich als alleinige Urs</w:t>
      </w:r>
    </w:p>
    <w:p w14:paraId="36D73620" w14:textId="38780DCB" w:rsidR="0025227A" w:rsidRDefault="0025227A" w:rsidP="001A06D7">
      <w:pPr>
        <w:pStyle w:val="Lead"/>
      </w:pPr>
    </w:p>
    <w:sectPr w:rsidR="0025227A" w:rsidSect="00034616">
      <w:footerReference w:type="default" r:id="rId20"/>
      <w:pgSz w:w="12240" w:h="15840"/>
      <w:pgMar w:top="964" w:right="1191" w:bottom="96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4A2D58" w14:textId="77777777" w:rsidR="00F172B7" w:rsidRDefault="00F172B7">
      <w:pPr>
        <w:spacing w:after="0" w:line="240" w:lineRule="auto"/>
      </w:pPr>
      <w:r>
        <w:separator/>
      </w:r>
    </w:p>
  </w:endnote>
  <w:endnote w:type="continuationSeparator" w:id="0">
    <w:p w14:paraId="301CF47E" w14:textId="77777777" w:rsidR="00F172B7" w:rsidRDefault="00F17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5D156" w14:textId="77777777" w:rsidR="0025227A" w:rsidRDefault="00000000">
    <w:pPr>
      <w:pStyle w:val="Fuzeile"/>
      <w:jc w:val="center"/>
    </w:pPr>
    <w:r>
      <w:rPr>
        <w:color w:val="787878"/>
        <w:sz w:val="16"/>
      </w:rPr>
      <w:t>Wirkungsökonomie · Journal / LinkedIn-Fassung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4056FB" w14:textId="77777777" w:rsidR="00F172B7" w:rsidRDefault="00F172B7">
      <w:pPr>
        <w:spacing w:after="0" w:line="240" w:lineRule="auto"/>
      </w:pPr>
      <w:r>
        <w:separator/>
      </w:r>
    </w:p>
  </w:footnote>
  <w:footnote w:type="continuationSeparator" w:id="0">
    <w:p w14:paraId="4E1AA660" w14:textId="77777777" w:rsidR="00F172B7" w:rsidRDefault="00F17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6123131">
    <w:abstractNumId w:val="8"/>
  </w:num>
  <w:num w:numId="2" w16cid:durableId="149445017">
    <w:abstractNumId w:val="6"/>
  </w:num>
  <w:num w:numId="3" w16cid:durableId="1656953420">
    <w:abstractNumId w:val="5"/>
  </w:num>
  <w:num w:numId="4" w16cid:durableId="1964187019">
    <w:abstractNumId w:val="4"/>
  </w:num>
  <w:num w:numId="5" w16cid:durableId="1935212696">
    <w:abstractNumId w:val="7"/>
  </w:num>
  <w:num w:numId="6" w16cid:durableId="1269852791">
    <w:abstractNumId w:val="3"/>
  </w:num>
  <w:num w:numId="7" w16cid:durableId="824591001">
    <w:abstractNumId w:val="2"/>
  </w:num>
  <w:num w:numId="8" w16cid:durableId="480924596">
    <w:abstractNumId w:val="1"/>
  </w:num>
  <w:num w:numId="9" w16cid:durableId="17865415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6D7"/>
    <w:rsid w:val="0025227A"/>
    <w:rsid w:val="0029639D"/>
    <w:rsid w:val="00326F90"/>
    <w:rsid w:val="004F39E9"/>
    <w:rsid w:val="009D16CA"/>
    <w:rsid w:val="00AA1D8D"/>
    <w:rsid w:val="00AB6086"/>
    <w:rsid w:val="00B47730"/>
    <w:rsid w:val="00CB0664"/>
    <w:rsid w:val="00F172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2BFA9"/>
  <w14:defaultImageDpi w14:val="300"/>
  <w15:docId w15:val="{2E19D91F-C979-5342-A045-560E773F2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71" w:lineRule="auto"/>
    </w:pPr>
    <w:rPr>
      <w:rFonts w:ascii="Aptos" w:hAnsi="Aptos"/>
      <w:sz w:val="21"/>
    </w:rPr>
  </w:style>
  <w:style w:type="paragraph" w:styleId="berschrift1">
    <w:name w:val="heading 1"/>
    <w:basedOn w:val="Standard"/>
    <w:next w:val="Standard"/>
    <w:link w:val="berschrift1Zchn"/>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berschrift2">
    <w:name w:val="heading 2"/>
    <w:basedOn w:val="Standard"/>
    <w:next w:val="Standard"/>
    <w:link w:val="berschrift2Zchn"/>
    <w:uiPriority w:val="9"/>
    <w:unhideWhenUsed/>
    <w:qFormat/>
    <w:rsid w:val="00FC693F"/>
    <w:pPr>
      <w:keepNext/>
      <w:keepLines/>
      <w:spacing w:before="160" w:after="60"/>
      <w:outlineLvl w:val="1"/>
    </w:pPr>
    <w:rPr>
      <w:rFonts w:asciiTheme="majorHAnsi" w:eastAsiaTheme="majorEastAsia" w:hAnsiTheme="majorHAnsi" w:cstheme="majorBidi"/>
      <w:b/>
      <w:bCs/>
      <w:color w:val="2F5597"/>
      <w:sz w:val="25"/>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72B4D"/>
      <w:spacing w:val="5"/>
      <w:kern w:val="28"/>
      <w:sz w:val="5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spacing w:after="240"/>
    </w:pPr>
    <w:rPr>
      <w:rFonts w:asciiTheme="majorHAnsi" w:eastAsiaTheme="majorEastAsia" w:hAnsiTheme="majorHAnsi" w:cstheme="majorBidi"/>
      <w:i/>
      <w:iCs/>
      <w:color w:val="5B6573"/>
      <w:spacing w:val="15"/>
      <w:sz w:val="2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Aptos" w:hAnsi="Aptos"/>
      <w:color w:val="303841"/>
      <w:sz w:val="24"/>
    </w:rPr>
  </w:style>
  <w:style w:type="paragraph" w:customStyle="1" w:styleId="PullQuote">
    <w:name w:val="PullQuote"/>
    <w:pPr>
      <w:spacing w:before="160" w:after="160"/>
      <w:ind w:left="397" w:right="397"/>
    </w:pPr>
    <w:rPr>
      <w:rFonts w:ascii="Aptos" w:hAnsi="Aptos"/>
      <w:b/>
      <w:color w:val="17365D"/>
      <w:sz w:val="25"/>
    </w:rPr>
  </w:style>
  <w:style w:type="paragraph" w:customStyle="1" w:styleId="Source">
    <w:name w:val="Source"/>
    <w:pPr>
      <w:spacing w:after="40" w:line="240" w:lineRule="auto"/>
    </w:pPr>
    <w:rPr>
      <w:rFonts w:ascii="Aptos" w:hAnsi="Aptos"/>
      <w:color w:val="4B4B4B"/>
      <w:sz w:val="16"/>
    </w:rPr>
  </w:style>
  <w:style w:type="paragraph" w:customStyle="1" w:styleId="article-editor-paragraph">
    <w:name w:val="article-editor-paragraph"/>
    <w:basedOn w:val="Standard"/>
    <w:rsid w:val="001A06D7"/>
    <w:pPr>
      <w:spacing w:before="100" w:beforeAutospacing="1" w:after="100" w:afterAutospacing="1" w:line="240" w:lineRule="auto"/>
    </w:pPr>
    <w:rPr>
      <w:rFonts w:ascii="Times New Roman" w:eastAsia="Times New Roman" w:hAnsi="Times New Roman" w:cs="Times New Roman"/>
      <w:sz w:val="24"/>
      <w:szCs w:val="24"/>
      <w:lang w:val="de-DE" w:eastAsia="zh-CN"/>
    </w:rPr>
  </w:style>
  <w:style w:type="character" w:styleId="Hyperlink">
    <w:name w:val="Hyperlink"/>
    <w:basedOn w:val="Absatz-Standardschriftart"/>
    <w:uiPriority w:val="99"/>
    <w:semiHidden/>
    <w:unhideWhenUsed/>
    <w:rsid w:val="001A06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risp.be/fr/catalogue/2079-la-lutte-contre-lextreme-droite-en-belgique-i.html" TargetMode="External"/><Relationship Id="rId18" Type="http://schemas.openxmlformats.org/officeDocument/2006/relationships/hyperlink" Target="https://pubmed.ncbi.nlm.nih.gov/3811366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ambridge.org/core/journals/government-and-opposition/article/curious-case-of-belgium-why-is-there-no-rightwing-populism-in-wallonia/05D6B4081B60B2D7318809C228791575" TargetMode="External"/><Relationship Id="rId17" Type="http://schemas.openxmlformats.org/officeDocument/2006/relationships/hyperlink" Target="https://www.crisp.be/fr/catalogue/2839-la-belgique-comme-laboratoire-pour-letude-de-lextreme-droite-en-europe.html" TargetMode="External"/><Relationship Id="rId2" Type="http://schemas.openxmlformats.org/officeDocument/2006/relationships/numbering" Target="numbering.xml"/><Relationship Id="rId16" Type="http://schemas.openxmlformats.org/officeDocument/2006/relationships/hyperlink" Target="https://ecolo.be/wp-content/uploads/2022/05/Charte-de-la-de%CC%81mocratie-8-mai-2022.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1989469_Do_Individual_Factors_Explain_the_Different_Success_of_the_Two_Belgian_Extreme_Right_Parties" TargetMode="External"/><Relationship Id="rId5" Type="http://schemas.openxmlformats.org/officeDocument/2006/relationships/webSettings" Target="webSettings.xml"/><Relationship Id="rId15" Type="http://schemas.openxmlformats.org/officeDocument/2006/relationships/hyperlink" Target="https://www.csa.be/faq_csa/toutes-les-tendances-politiques-ont-elles-acces-a-lantenne/" TargetMode="External"/><Relationship Id="rId10" Type="http://schemas.openxmlformats.org/officeDocument/2006/relationships/hyperlink" Target="https://resultatselection.belgium.be/fr/election-results/parlement-wallon/2024/r%C3%A9gion/253626" TargetMode="External"/><Relationship Id="rId19" Type="http://schemas.openxmlformats.org/officeDocument/2006/relationships/hyperlink" Target="https://pubmed.ncbi.nlm.nih.gov/37944323/" TargetMode="External"/><Relationship Id="rId4" Type="http://schemas.openxmlformats.org/officeDocument/2006/relationships/settings" Target="settings.xml"/><Relationship Id="rId9" Type="http://schemas.openxmlformats.org/officeDocument/2006/relationships/hyperlink" Target="https://resultatselection.belgium.be/fr/election-results/parlement-flamand/2024/r%C3%A9gion/251714" TargetMode="External"/><Relationship Id="rId14" Type="http://schemas.openxmlformats.org/officeDocument/2006/relationships/hyperlink" Target="https://www.crisp.be/fr/catalogue/2080-la-lutte-contre-lextreme-droite-en-belgique-ii.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2326</Words>
  <Characters>15240</Characters>
  <Application>Microsoft Office Word</Application>
  <DocSecurity>0</DocSecurity>
  <Lines>205</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Wie Wallonien die extreme Rechte klein hält</dc:title>
  <dc:subject>Wallonien und Flandern: Schutzmechanismen, Medien, Zivilgesellschaft und Wirkungsraum</dc:subject>
  <dc:creator>Natalie Weber</dc:creator>
  <cp:keywords>Wallonien, Flandern, Belgien, extreme Rechte, Cordon sanitaire, Wirkungsökonomie, Medien, Zivilgesellschaft</cp:keywords>
  <dc:description>generated by python-docx</dc:description>
  <cp:lastModifiedBy>Natalie Weber</cp:lastModifiedBy>
  <cp:revision>3</cp:revision>
  <dcterms:created xsi:type="dcterms:W3CDTF">2026-09-21T13:25:00Z</dcterms:created>
  <dcterms:modified xsi:type="dcterms:W3CDTF">2026-09-21T13:25:00Z</dcterms:modified>
  <cp:category/>
</cp:coreProperties>
</file>