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EKLabel"/>
        <w:jc w:val="left"/>
      </w:pPr>
      <w:r>
        <w:rPr>
          <w:b/>
        </w:rPr>
        <w:t>WIRKUNGSÖKONOMIE</w:t>
      </w:r>
    </w:p>
    <w:p>
      <w:pPr>
        <w:pStyle w:val="Title"/>
      </w:pPr>
      <w:r>
        <w:t>Geschichte der SDGs, Vorläufer und Verhandlungsprozess</w:t>
      </w:r>
    </w:p>
    <w:p>
      <w:pPr>
        <w:pStyle w:val="Heading2"/>
      </w:pPr>
      <w:r>
        <w:t>Vom Umwelt- und Entwicklungsdiskurs zur Agenda 2030 als globalem Referenzrahmen</w:t>
      </w:r>
    </w:p>
    <w:p>
      <w:pPr>
        <w:pStyle w:val="WOEKQuote"/>
      </w:pPr>
      <w:r>
        <w:t>„Wer verstehen will, warum die SDGs kein beliebiger Zielkatalog sind, muss ihre Entstehung als globale Verständigung über Systemrisiken lesen.“</w:t>
      </w:r>
    </w:p>
    <w:p/>
    <w:tbl>
      <w:tblPr>
        <w:tblStyle w:val="TableGrid"/>
        <w:tblW w:type="auto" w:w="0"/>
        <w:tblLook w:firstColumn="1" w:firstRow="1" w:lastColumn="0" w:lastRow="0" w:noHBand="0" w:noVBand="1" w:val="04A0"/>
      </w:tblPr>
      <w:tblGrid>
        <w:gridCol w:w="4986"/>
        <w:gridCol w:w="4986"/>
      </w:tblGrid>
      <w:tr>
        <w:tc>
          <w:tcPr>
            <w:tcW w:type="dxa" w:w="4986"/>
            <w:vAlign w:val="top"/>
            <w:shd w:fill="F3EFE6"/>
          </w:tcPr>
          <w:p>
            <w:pPr>
              <w:spacing w:after="0"/>
            </w:pPr>
            <w:r/>
            <w:r>
              <w:rPr>
                <w:rFonts w:ascii="Liberation Sans" w:hAnsi="Liberation Sans"/>
                <w:b/>
                <w:color w:val="2F7D5C"/>
                <w:sz w:val="18"/>
              </w:rPr>
              <w:t>Autorin</w:t>
            </w:r>
          </w:p>
        </w:tc>
        <w:tc>
          <w:tcPr>
            <w:tcW w:type="dxa" w:w="4986"/>
            <w:vAlign w:val="top"/>
          </w:tcPr>
          <w:p>
            <w:pPr>
              <w:spacing w:after="0"/>
            </w:pPr>
            <w:r/>
            <w:r>
              <w:rPr>
                <w:rFonts w:ascii="Liberation Sans" w:hAnsi="Liberation Sans"/>
                <w:b w:val="0"/>
                <w:color w:val="42404C"/>
                <w:sz w:val="18"/>
              </w:rPr>
              <w:t>Natalie Weber</w:t>
            </w:r>
          </w:p>
        </w:tc>
      </w:tr>
      <w:tr>
        <w:tc>
          <w:tcPr>
            <w:tcW w:type="dxa" w:w="4986"/>
            <w:vAlign w:val="top"/>
            <w:shd w:fill="F3EFE6"/>
          </w:tcPr>
          <w:p>
            <w:pPr>
              <w:spacing w:after="0"/>
            </w:pPr>
            <w:r/>
            <w:r>
              <w:rPr>
                <w:rFonts w:ascii="Liberation Sans" w:hAnsi="Liberation Sans"/>
                <w:b/>
                <w:color w:val="2F7D5C"/>
                <w:sz w:val="18"/>
              </w:rPr>
              <w:t>Referenz</w:t>
            </w:r>
          </w:p>
        </w:tc>
        <w:tc>
          <w:tcPr>
            <w:tcW w:type="dxa" w:w="4986"/>
            <w:vAlign w:val="top"/>
          </w:tcPr>
          <w:p>
            <w:pPr>
              <w:spacing w:after="0"/>
            </w:pPr>
            <w:r/>
            <w:r>
              <w:rPr>
                <w:rFonts w:ascii="Liberation Sans" w:hAnsi="Liberation Sans"/>
                <w:b w:val="0"/>
                <w:color w:val="42404C"/>
                <w:sz w:val="18"/>
              </w:rPr>
              <w:t>Wirkungsökonomie</w:t>
            </w:r>
          </w:p>
        </w:tc>
      </w:tr>
      <w:tr>
        <w:tc>
          <w:tcPr>
            <w:tcW w:type="dxa" w:w="4986"/>
            <w:vAlign w:val="top"/>
            <w:shd w:fill="F3EFE6"/>
          </w:tcPr>
          <w:p>
            <w:pPr>
              <w:spacing w:after="0"/>
            </w:pPr>
            <w:r/>
            <w:r>
              <w:rPr>
                <w:rFonts w:ascii="Liberation Sans" w:hAnsi="Liberation Sans"/>
                <w:b/>
                <w:color w:val="2F7D5C"/>
                <w:sz w:val="18"/>
              </w:rPr>
              <w:t>Version</w:t>
            </w:r>
          </w:p>
        </w:tc>
        <w:tc>
          <w:tcPr>
            <w:tcW w:type="dxa" w:w="4986"/>
            <w:vAlign w:val="top"/>
          </w:tcPr>
          <w:p>
            <w:pPr>
              <w:spacing w:after="0"/>
            </w:pPr>
            <w:r/>
            <w:r>
              <w:rPr>
                <w:rFonts w:ascii="Liberation Sans" w:hAnsi="Liberation Sans"/>
                <w:b w:val="0"/>
                <w:color w:val="42404C"/>
                <w:sz w:val="18"/>
              </w:rPr>
              <w:t>v1.0</w:t>
            </w:r>
          </w:p>
        </w:tc>
      </w:tr>
      <w:tr>
        <w:tc>
          <w:tcPr>
            <w:tcW w:type="dxa" w:w="4986"/>
            <w:vAlign w:val="top"/>
            <w:shd w:fill="F3EFE6"/>
          </w:tcPr>
          <w:p>
            <w:pPr>
              <w:spacing w:after="0"/>
            </w:pPr>
            <w:r/>
            <w:r>
              <w:rPr>
                <w:rFonts w:ascii="Liberation Sans" w:hAnsi="Liberation Sans"/>
                <w:b/>
                <w:color w:val="2F7D5C"/>
                <w:sz w:val="18"/>
              </w:rPr>
              <w:t>Status</w:t>
            </w:r>
          </w:p>
        </w:tc>
        <w:tc>
          <w:tcPr>
            <w:tcW w:type="dxa" w:w="4986"/>
            <w:vAlign w:val="top"/>
          </w:tcPr>
          <w:p>
            <w:pPr>
              <w:spacing w:after="0"/>
            </w:pPr>
            <w:r/>
            <w:r>
              <w:rPr>
                <w:rFonts w:ascii="Liberation Sans" w:hAnsi="Liberation Sans"/>
                <w:b w:val="0"/>
                <w:color w:val="42404C"/>
                <w:sz w:val="18"/>
              </w:rPr>
              <w:t>öffentliche Ausarbeitung</w:t>
            </w:r>
          </w:p>
        </w:tc>
      </w:tr>
      <w:tr>
        <w:tc>
          <w:tcPr>
            <w:tcW w:type="dxa" w:w="4986"/>
            <w:vAlign w:val="top"/>
            <w:shd w:fill="F3EFE6"/>
          </w:tcPr>
          <w:p>
            <w:pPr>
              <w:spacing w:after="0"/>
            </w:pPr>
            <w:r/>
            <w:r>
              <w:rPr>
                <w:rFonts w:ascii="Liberation Sans" w:hAnsi="Liberation Sans"/>
                <w:b/>
                <w:color w:val="2F7D5C"/>
                <w:sz w:val="18"/>
              </w:rPr>
              <w:t>Stand</w:t>
            </w:r>
          </w:p>
        </w:tc>
        <w:tc>
          <w:tcPr>
            <w:tcW w:type="dxa" w:w="4986"/>
            <w:vAlign w:val="top"/>
          </w:tcPr>
          <w:p>
            <w:pPr>
              <w:spacing w:after="0"/>
            </w:pPr>
            <w:r/>
            <w:r>
              <w:rPr>
                <w:rFonts w:ascii="Liberation Sans" w:hAnsi="Liberation Sans"/>
                <w:b w:val="0"/>
                <w:color w:val="42404C"/>
                <w:sz w:val="18"/>
              </w:rPr>
              <w:t>24. Mai 2026</w:t>
            </w:r>
          </w:p>
        </w:tc>
      </w:tr>
    </w:tbl>
    <w:p/>
    <w:p>
      <w:r>
        <w:rPr>
          <w:b/>
        </w:rPr>
        <w:t xml:space="preserve">Hinweis: </w:t>
      </w:r>
      <w:r>
        <w:t>Konzeptionelle Arbeitsfassung. Keine Rechts-, Steuer-, Anlage- oder Finanzierungsberatung. Öffentliche Fassung ohne interne CodeX- oder Repository-Anweisungen.</w:t>
      </w:r>
    </w:p>
    <w:p>
      <w:r>
        <w:br w:type="page"/>
      </w:r>
    </w:p>
    <w:p>
      <w:pPr>
        <w:pStyle w:val="Heading1"/>
      </w:pPr>
      <w:r>
        <w:t>Kurzprofil</w:t>
      </w:r>
    </w:p>
    <w:tbl>
      <w:tblPr>
        <w:tblStyle w:val="TableGrid"/>
        <w:tblW w:type="auto" w:w="0"/>
        <w:jc w:val="center"/>
        <w:tblLook w:firstColumn="1" w:firstRow="1" w:lastColumn="0" w:lastRow="0" w:noHBand="0" w:noVBand="1" w:val="04A0"/>
      </w:tblPr>
      <w:tblGrid>
        <w:gridCol w:w="4986"/>
        <w:gridCol w:w="4986"/>
      </w:tblGrid>
      <w:tr>
        <w:tc>
          <w:tcPr>
            <w:tcW w:type="dxa" w:w="2381"/>
            <w:vAlign w:val="top"/>
            <w:shd w:fill="F3EFE6"/>
          </w:tcPr>
          <w:p>
            <w:pPr>
              <w:spacing w:after="0"/>
            </w:pPr>
            <w:r/>
            <w:r>
              <w:rPr>
                <w:rFonts w:ascii="Liberation Sans" w:hAnsi="Liberation Sans"/>
                <w:b/>
                <w:color w:val="080120"/>
                <w:sz w:val="18"/>
              </w:rPr>
              <w:t>Metadatum</w:t>
            </w:r>
          </w:p>
        </w:tc>
        <w:tc>
          <w:tcPr>
            <w:tcW w:type="dxa" w:w="6236"/>
            <w:vAlign w:val="top"/>
            <w:shd w:fill="F3EFE6"/>
          </w:tcPr>
          <w:p>
            <w:pPr>
              <w:spacing w:after="0"/>
            </w:pPr>
            <w:r/>
            <w:r>
              <w:rPr>
                <w:rFonts w:ascii="Liberation Sans" w:hAnsi="Liberation Sans"/>
                <w:b/>
                <w:color w:val="080120"/>
                <w:sz w:val="18"/>
              </w:rPr>
              <w:t>Angabe</w:t>
            </w:r>
          </w:p>
        </w:tc>
      </w:tr>
      <w:tr>
        <w:tc>
          <w:tcPr>
            <w:tcW w:type="dxa" w:w="2381"/>
            <w:vAlign w:val="top"/>
          </w:tcPr>
          <w:p>
            <w:pPr>
              <w:spacing w:after="0"/>
            </w:pPr>
            <w:r/>
            <w:r>
              <w:rPr>
                <w:rFonts w:ascii="Liberation Sans" w:hAnsi="Liberation Sans"/>
                <w:b w:val="0"/>
                <w:color w:val="42404C"/>
                <w:sz w:val="18"/>
              </w:rPr>
              <w:t>Dokumenttyp</w:t>
            </w:r>
          </w:p>
        </w:tc>
        <w:tc>
          <w:tcPr>
            <w:tcW w:type="dxa" w:w="6236"/>
            <w:vAlign w:val="top"/>
          </w:tcPr>
          <w:p>
            <w:pPr>
              <w:spacing w:after="0"/>
            </w:pPr>
            <w:r/>
            <w:r>
              <w:rPr>
                <w:rFonts w:ascii="Liberation Sans" w:hAnsi="Liberation Sans"/>
                <w:b w:val="0"/>
                <w:color w:val="42404C"/>
                <w:sz w:val="18"/>
              </w:rPr>
              <w:t>Öffentliches Detailkonzept</w:t>
            </w:r>
          </w:p>
        </w:tc>
      </w:tr>
      <w:tr>
        <w:tc>
          <w:tcPr>
            <w:tcW w:type="dxa" w:w="2381"/>
            <w:vAlign w:val="top"/>
          </w:tcPr>
          <w:p>
            <w:pPr>
              <w:spacing w:after="0"/>
            </w:pPr>
            <w:r/>
            <w:r>
              <w:rPr>
                <w:rFonts w:ascii="Liberation Sans" w:hAnsi="Liberation Sans"/>
                <w:b w:val="0"/>
                <w:color w:val="42404C"/>
                <w:sz w:val="18"/>
              </w:rPr>
              <w:t>Zugehöriges Portal</w:t>
            </w:r>
          </w:p>
        </w:tc>
        <w:tc>
          <w:tcPr>
            <w:tcW w:type="dxa" w:w="6236"/>
            <w:vAlign w:val="top"/>
          </w:tcPr>
          <w:p>
            <w:pPr>
              <w:spacing w:after="0"/>
            </w:pPr>
            <w:r/>
            <w:r>
              <w:rPr>
                <w:rFonts w:ascii="Liberation Sans" w:hAnsi="Liberation Sans"/>
                <w:b w:val="0"/>
                <w:color w:val="42404C"/>
                <w:sz w:val="18"/>
              </w:rPr>
              <w:t>SDG-/SDG+-Referenzrahmen</w:t>
            </w:r>
          </w:p>
        </w:tc>
      </w:tr>
      <w:tr>
        <w:tc>
          <w:tcPr>
            <w:tcW w:type="dxa" w:w="2381"/>
            <w:vAlign w:val="top"/>
          </w:tcPr>
          <w:p>
            <w:pPr>
              <w:spacing w:after="0"/>
            </w:pPr>
            <w:r/>
            <w:r>
              <w:rPr>
                <w:rFonts w:ascii="Liberation Sans" w:hAnsi="Liberation Sans"/>
                <w:b w:val="0"/>
                <w:color w:val="42404C"/>
                <w:sz w:val="18"/>
              </w:rPr>
              <w:t>Unterbereich</w:t>
            </w:r>
          </w:p>
        </w:tc>
        <w:tc>
          <w:tcPr>
            <w:tcW w:type="dxa" w:w="6236"/>
            <w:vAlign w:val="top"/>
          </w:tcPr>
          <w:p>
            <w:pPr>
              <w:spacing w:after="0"/>
            </w:pPr>
            <w:r/>
            <w:r>
              <w:rPr>
                <w:rFonts w:ascii="Liberation Sans" w:hAnsi="Liberation Sans"/>
                <w:b w:val="0"/>
                <w:color w:val="42404C"/>
                <w:sz w:val="18"/>
              </w:rPr>
              <w:t>Geschichte der SDGs, Agenda 2030 und Verhandlungsprozess</w:t>
            </w:r>
          </w:p>
        </w:tc>
      </w:tr>
      <w:tr>
        <w:tc>
          <w:tcPr>
            <w:tcW w:type="dxa" w:w="2381"/>
            <w:vAlign w:val="top"/>
          </w:tcPr>
          <w:p>
            <w:pPr>
              <w:spacing w:after="0"/>
            </w:pPr>
            <w:r/>
            <w:r>
              <w:rPr>
                <w:rFonts w:ascii="Liberation Sans" w:hAnsi="Liberation Sans"/>
                <w:b w:val="0"/>
                <w:color w:val="42404C"/>
                <w:sz w:val="18"/>
              </w:rPr>
              <w:t>Autorin</w:t>
            </w:r>
          </w:p>
        </w:tc>
        <w:tc>
          <w:tcPr>
            <w:tcW w:type="dxa" w:w="6236"/>
            <w:vAlign w:val="top"/>
          </w:tcPr>
          <w:p>
            <w:pPr>
              <w:spacing w:after="0"/>
            </w:pPr>
            <w:r/>
            <w:r>
              <w:rPr>
                <w:rFonts w:ascii="Liberation Sans" w:hAnsi="Liberation Sans"/>
                <w:b w:val="0"/>
                <w:color w:val="42404C"/>
                <w:sz w:val="18"/>
              </w:rPr>
              <w:t>Natalie Weber · Wirkungsökonomie</w:t>
            </w:r>
          </w:p>
        </w:tc>
      </w:tr>
      <w:tr>
        <w:tc>
          <w:tcPr>
            <w:tcW w:type="dxa" w:w="2381"/>
            <w:vAlign w:val="top"/>
          </w:tcPr>
          <w:p>
            <w:pPr>
              <w:spacing w:after="0"/>
            </w:pPr>
            <w:r/>
            <w:r>
              <w:rPr>
                <w:rFonts w:ascii="Liberation Sans" w:hAnsi="Liberation Sans"/>
                <w:b w:val="0"/>
                <w:color w:val="42404C"/>
                <w:sz w:val="18"/>
              </w:rPr>
              <w:t>Öffentlichkeit</w:t>
            </w:r>
          </w:p>
        </w:tc>
        <w:tc>
          <w:tcPr>
            <w:tcW w:type="dxa" w:w="6236"/>
            <w:vAlign w:val="top"/>
          </w:tcPr>
          <w:p>
            <w:pPr>
              <w:spacing w:after="0"/>
            </w:pPr>
            <w:r/>
            <w:r>
              <w:rPr>
                <w:rFonts w:ascii="Liberation Sans" w:hAnsi="Liberation Sans"/>
                <w:b w:val="0"/>
                <w:color w:val="42404C"/>
                <w:sz w:val="18"/>
              </w:rPr>
              <w:t>Enthält keine internen CodeX-/Repository-Anweisungen</w:t>
            </w:r>
          </w:p>
        </w:tc>
      </w:tr>
      <w:tr>
        <w:tc>
          <w:tcPr>
            <w:tcW w:type="dxa" w:w="2381"/>
            <w:vAlign w:val="top"/>
          </w:tcPr>
          <w:p>
            <w:pPr>
              <w:spacing w:after="0"/>
            </w:pPr>
            <w:r/>
            <w:r>
              <w:rPr>
                <w:rFonts w:ascii="Liberation Sans" w:hAnsi="Liberation Sans"/>
                <w:b w:val="0"/>
                <w:color w:val="42404C"/>
                <w:sz w:val="18"/>
              </w:rPr>
              <w:t>Hinweis</w:t>
            </w:r>
          </w:p>
        </w:tc>
        <w:tc>
          <w:tcPr>
            <w:tcW w:type="dxa" w:w="6236"/>
            <w:vAlign w:val="top"/>
          </w:tcPr>
          <w:p>
            <w:pPr>
              <w:spacing w:after="0"/>
            </w:pPr>
            <w:r/>
            <w:r>
              <w:rPr>
                <w:rFonts w:ascii="Liberation Sans" w:hAnsi="Liberation Sans"/>
                <w:b w:val="0"/>
                <w:color w:val="42404C"/>
                <w:sz w:val="18"/>
              </w:rPr>
              <w:t>Konzeptionelle Arbeitsfassung. Grundlage für Website, Glossar, Downloadbereich und Portalarchitektur.</w:t>
            </w:r>
          </w:p>
        </w:tc>
      </w:tr>
    </w:tbl>
    <w:p/>
    <w:p>
      <w:pPr>
        <w:pStyle w:val="Heading1"/>
      </w:pPr>
      <w:r>
        <w:t>Inhaltsübersicht</w:t>
      </w:r>
    </w:p>
    <w:p>
      <w:r>
        <w:rPr>
          <w:b/>
        </w:rPr>
        <w:t xml:space="preserve">1. </w:t>
      </w:r>
      <w:r>
        <w:t>Executive Summary</w:t>
      </w:r>
    </w:p>
    <w:p>
      <w:r>
        <w:rPr>
          <w:b/>
        </w:rPr>
        <w:t xml:space="preserve">2. </w:t>
      </w:r>
      <w:r>
        <w:t>Warum die Geschichte der SDGs für die Wirkungsökonomie wichtig ist</w:t>
      </w:r>
    </w:p>
    <w:p>
      <w:r>
        <w:rPr>
          <w:b/>
        </w:rPr>
        <w:t xml:space="preserve">3. </w:t>
      </w:r>
      <w:r>
        <w:t>Vorläufer I: Stockholm 1972 und der Beginn globaler Umweltpolitik</w:t>
      </w:r>
    </w:p>
    <w:p>
      <w:r>
        <w:rPr>
          <w:b/>
        </w:rPr>
        <w:t xml:space="preserve">4. </w:t>
      </w:r>
      <w:r>
        <w:t>Vorläufer II: Brundtland 1987 und die Verbindung von Umwelt und Entwicklung</w:t>
      </w:r>
    </w:p>
    <w:p>
      <w:r>
        <w:rPr>
          <w:b/>
        </w:rPr>
        <w:t xml:space="preserve">5. </w:t>
      </w:r>
      <w:r>
        <w:t>Rio 1992: Agenda 21, Rio-Erklärung und die erste große Systemarchitektur</w:t>
      </w:r>
    </w:p>
    <w:p>
      <w:r>
        <w:rPr>
          <w:b/>
        </w:rPr>
        <w:t xml:space="preserve">6. </w:t>
      </w:r>
      <w:r>
        <w:t>Die Millennium Development Goals 2000-2015: Fortschritt und Begrenzung</w:t>
      </w:r>
    </w:p>
    <w:p>
      <w:r>
        <w:rPr>
          <w:b/>
        </w:rPr>
        <w:t xml:space="preserve">7. </w:t>
      </w:r>
      <w:r>
        <w:t>Rio+20 2012: Der Auftrag zur Entwicklung der SDGs</w:t>
      </w:r>
    </w:p>
    <w:p>
      <w:r>
        <w:rPr>
          <w:b/>
        </w:rPr>
        <w:t xml:space="preserve">8. </w:t>
      </w:r>
      <w:r>
        <w:t>Open Working Group, Konsultationen und Post-2015-Verhandlungen</w:t>
      </w:r>
    </w:p>
    <w:p>
      <w:r>
        <w:rPr>
          <w:b/>
        </w:rPr>
        <w:t xml:space="preserve">9. </w:t>
      </w:r>
      <w:r>
        <w:t>2015 als Architekturjahr: Sendai, Addis Abeba, Agenda 2030 und Paris</w:t>
      </w:r>
    </w:p>
    <w:p>
      <w:r>
        <w:rPr>
          <w:b/>
        </w:rPr>
        <w:t xml:space="preserve">10. </w:t>
      </w:r>
      <w:r>
        <w:t>Was der UN-Beschluss politisch und rechtlich bedeutet</w:t>
      </w:r>
    </w:p>
    <w:p>
      <w:r>
        <w:rPr>
          <w:b/>
        </w:rPr>
        <w:t xml:space="preserve">11. </w:t>
      </w:r>
      <w:r>
        <w:t>Warum die SDGs nicht parteiideologisch eng sind</w:t>
      </w:r>
    </w:p>
    <w:p>
      <w:r>
        <w:rPr>
          <w:b/>
        </w:rPr>
        <w:t xml:space="preserve">12. </w:t>
      </w:r>
      <w:r>
        <w:t>SDGs als strukturierter Umgang mit realen Systemrisiken</w:t>
      </w:r>
    </w:p>
    <w:p>
      <w:r>
        <w:rPr>
          <w:b/>
        </w:rPr>
        <w:t xml:space="preserve">13. </w:t>
      </w:r>
      <w:r>
        <w:t>Wirkungsökonomische Einordnung: vom Zielrahmen zur Rückkopplung</w:t>
      </w:r>
    </w:p>
    <w:p>
      <w:r>
        <w:rPr>
          <w:b/>
        </w:rPr>
        <w:t xml:space="preserve">14. </w:t>
      </w:r>
      <w:r>
        <w:t>Europa und Deutschland: Übersetzung in Monitoring und Strategie</w:t>
      </w:r>
    </w:p>
    <w:p>
      <w:r>
        <w:rPr>
          <w:b/>
        </w:rPr>
        <w:t xml:space="preserve">15. </w:t>
      </w:r>
      <w:r>
        <w:t>Missverständnisse, Verschwörungsnarrative und seriöse Kritik</w:t>
      </w:r>
    </w:p>
    <w:p>
      <w:r>
        <w:rPr>
          <w:b/>
        </w:rPr>
        <w:t xml:space="preserve">16. </w:t>
      </w:r>
      <w:r>
        <w:t>Website- und Portalintegration</w:t>
      </w:r>
    </w:p>
    <w:p>
      <w:r>
        <w:rPr>
          <w:b/>
        </w:rPr>
        <w:t xml:space="preserve">17. </w:t>
      </w:r>
      <w:r>
        <w:t>Politische Anschlussfähigkeit und Umsetzungsoptionen</w:t>
      </w:r>
    </w:p>
    <w:p>
      <w:r>
        <w:rPr>
          <w:b/>
        </w:rPr>
        <w:t xml:space="preserve">18. </w:t>
      </w:r>
      <w:r>
        <w:t>Quellen und Referenzen</w:t>
      </w:r>
    </w:p>
    <w:p>
      <w:r>
        <w:br w:type="page"/>
      </w:r>
    </w:p>
    <w:p>
      <w:pPr>
        <w:pStyle w:val="Heading1"/>
      </w:pPr>
      <w:r>
        <w:t>1. Executive Summary</w:t>
      </w:r>
    </w:p>
    <w:p>
      <w:r>
        <w:t>Die Sustainable Development Goals (SDGs) sind kein isoliertes Nachhaltigkeitslabel, sondern das Ergebnis einer langen Geschichte internationaler Verständigung über Entwicklung, Umwelt, soziale Stabilität und globale Kooperation. Ihre Entstehung reicht von der Stockholmer Umweltkonferenz 1972 über den Brundtland-Bericht 1987, den Rio-Erdgipfel 1992, die Millennium Development Goals 2000-2015 und den Rio+20-Prozess 2012 bis zur Agenda 2030, die 2015 von allen Mitgliedstaaten der Vereinten Nationen angenommen wurde.</w:t>
      </w:r>
    </w:p>
    <w:p>
      <w:r>
        <w:t>Für die Wirkungsökonomie ist diese Geschichte zentral, weil sie zeigt: Die SDGs sind nicht das Parteiprogramm einer bestimmten politischen Richtung. Sie sind ein verhandelter globaler Zielrahmen, der unter sehr unterschiedlichen Staaten, Wirtschaftsordnungen, Kulturen und Regierungsformen konsensfähig wurde. Das macht sie nicht wertfrei, aber anschlussfähig. Sie formulieren Mindestbedingungen für eine stabile, menschenwürdige und zukunftsfähige Ordnung.</w:t>
      </w:r>
    </w:p>
    <w:p>
      <w:r>
        <w:t>Die Wirkungsökonomie nutzt die SDGs deshalb als öffentlichen Referenzrahmen. Sie übernimmt sie nicht als fertiges Steuerungssystem, sondern übersetzt sie in eine Rückkopplungsarchitektur: Wirkung soll nicht nur berichtet werden, sondern in Preise, Steuern, Kapitalzugang, öffentliche Beschaffung, Haushalte, Produktinformationen, Scorecards, WÖk-IDs, T-SROI, Wirkungsfonds und politische Korrekturverfahren zurückwirken.</w:t>
      </w:r>
    </w:p>
    <w:p>
      <w:r>
        <w:t>Dieses Detailkonzept liefert die historische und politische Begründung dafür, warum die SDGs auf wirkungsoekonomie.de nicht nur als bunte Kacheln erscheinen dürfen. Sie müssen als Entstehungsgeschichte, als globaler Konsens, als Risikologik, als politischer Zielrahmen und als wirkungsökonomischer Referenzpunkt erklärt werden.</w:t>
      </w:r>
    </w:p>
    <w:p>
      <w:pPr>
        <w:pStyle w:val="Heading1"/>
      </w:pPr>
      <w:r>
        <w:t>2. Warum die Geschichte der SDGs für die Wirkungsökonomie wichtig ist</w:t>
      </w:r>
    </w:p>
    <w:p>
      <w:r>
        <w:t>Ohne historische Einordnung erscheinen die SDGs schnell wie ein beliebiger Zielkatalog. Genau das ist gefährlich, weil dann zwei falsche Deutungen entstehen: Entweder werden sie als dekorative Nachhaltigkeitssymbole behandelt, oder sie werden als ideologisches Steuerungsprogramm missverstanden. Beides verfehlt ihre tatsächliche Funktion.</w:t>
      </w:r>
    </w:p>
    <w:p>
      <w:r>
        <w:t>Die Geschichte zeigt, dass die SDGs aus einer realen Entwicklung globaler Problemlagen entstanden sind. Umweltzerstörung, Armut, Ressourcenknappheit, Gesundheit, Bildung, Gleichstellung, Stadtentwicklung, Institutionen, Frieden und Partnerschaften wurden nicht abstrakt erfunden. Sie wurden über Jahrzehnte als wiederkehrende Stabilitätsbedingungen sichtbar.</w:t>
      </w:r>
    </w:p>
    <w:p>
      <w:r>
        <w:t>Wirkungsökonomisch sind die SDGs deshalb kein Marketingrahmen. Sie sind ein historisch gewachsener Referenzrahmen, der reale Zustände benennt. Was im Marktpreis, in klassischer Steuerlogik oder in Bilanzen häufig unsichtbar bleibt, wird durch die SDGs als Ziel- und Risikofeld benennbar.</w:t>
      </w:r>
    </w:p>
    <w:p>
      <w:pPr>
        <w:pStyle w:val="WOEKQuote"/>
      </w:pPr>
      <w:r>
        <w:t>Die SDGs sind nicht die Wirkungsökonomie. Sie sind ihr globaler Anschlussstecker.</w:t>
      </w:r>
    </w:p>
    <w:p>
      <w:pPr>
        <w:pStyle w:val="Heading1"/>
      </w:pPr>
      <w:r>
        <w:t>3. Vorläufer I: Stockholm 1972 und der Beginn globaler Umweltpolitik</w:t>
      </w:r>
    </w:p>
    <w:p>
      <w:r>
        <w:t>Die Konferenz der Vereinten Nationen über die menschliche Umwelt in Stockholm 1972 war die erste Weltkonferenz, die Umwelt als globales politisches Thema in den Mittelpunkt rückte. Sie markierte den Beginn einer internationalen Umweltpolitik, in der ökologische Fragen nicht mehr nur national oder lokal behandelt wurden.</w:t>
      </w:r>
    </w:p>
    <w:p>
      <w:r>
        <w:t>Stockholm war wichtig, weil dort erstmals im UN-Rahmen sichtbar wurde, dass Umwelt nicht getrennt von Entwicklung verstanden werden kann. Umweltverschmutzung, industrielle Produktion, menschliche Gesundheit, Armut, Ressourcen und staatliche Verantwortung standen in einem Zusammenhang. Aus dieser Perspektive entstand auch der institutionelle Rahmen für spätere Umweltpolitik, insbesondere das Umweltprogramm der Vereinten Nationen.</w:t>
      </w:r>
    </w:p>
    <w:p>
      <w:r>
        <w:t>Für die Wirkungsökonomie ist Stockholm der erste große historische Hinweis darauf, dass ökologische Wirkungen systemisch sind. Sie entstehen nicht nur durch einzelne Unternehmen oder einzelne Konsumentscheidungen, sondern durch ganze Produktions-, Energie-, Verkehrs-, Handels- und Regierungslogiken.</w:t>
      </w:r>
    </w:p>
    <w:tbl>
      <w:tblPr>
        <w:tblStyle w:val="TableGrid"/>
        <w:tblW w:type="auto" w:w="0"/>
        <w:jc w:val="center"/>
        <w:tblLook w:firstColumn="1" w:firstRow="1" w:lastColumn="0" w:lastRow="0" w:noHBand="0" w:noVBand="1" w:val="04A0"/>
      </w:tblPr>
      <w:tblGrid>
        <w:gridCol w:w="3324"/>
        <w:gridCol w:w="3324"/>
        <w:gridCol w:w="3324"/>
      </w:tblGrid>
      <w:tr>
        <w:tc>
          <w:tcPr>
            <w:tcW w:type="dxa" w:w="2551"/>
            <w:vAlign w:val="top"/>
            <w:shd w:fill="F3EFE6"/>
          </w:tcPr>
          <w:p>
            <w:pPr>
              <w:spacing w:after="0"/>
            </w:pPr>
            <w:r/>
            <w:r>
              <w:rPr>
                <w:rFonts w:ascii="Liberation Sans" w:hAnsi="Liberation Sans"/>
                <w:b/>
                <w:color w:val="080120"/>
                <w:sz w:val="17"/>
              </w:rPr>
              <w:t>Historischer Punkt</w:t>
            </w:r>
          </w:p>
        </w:tc>
        <w:tc>
          <w:tcPr>
            <w:tcW w:type="dxa" w:w="3118"/>
            <w:vAlign w:val="top"/>
            <w:shd w:fill="F3EFE6"/>
          </w:tcPr>
          <w:p>
            <w:pPr>
              <w:spacing w:after="0"/>
            </w:pPr>
            <w:r/>
            <w:r>
              <w:rPr>
                <w:rFonts w:ascii="Liberation Sans" w:hAnsi="Liberation Sans"/>
                <w:b/>
                <w:color w:val="080120"/>
                <w:sz w:val="17"/>
              </w:rPr>
              <w:t>Bedeutung</w:t>
            </w:r>
          </w:p>
        </w:tc>
        <w:tc>
          <w:tcPr>
            <w:tcW w:type="dxa" w:w="3402"/>
            <w:vAlign w:val="top"/>
            <w:shd w:fill="F3EFE6"/>
          </w:tcPr>
          <w:p>
            <w:pPr>
              <w:spacing w:after="0"/>
            </w:pPr>
            <w:r/>
            <w:r>
              <w:rPr>
                <w:rFonts w:ascii="Liberation Sans" w:hAnsi="Liberation Sans"/>
                <w:b/>
                <w:color w:val="080120"/>
                <w:sz w:val="17"/>
              </w:rPr>
              <w:t>WÖk-Lesart</w:t>
            </w:r>
          </w:p>
        </w:tc>
      </w:tr>
      <w:tr>
        <w:tc>
          <w:tcPr>
            <w:tcW w:type="dxa" w:w="2551"/>
            <w:vAlign w:val="top"/>
          </w:tcPr>
          <w:p>
            <w:pPr>
              <w:spacing w:after="0"/>
            </w:pPr>
            <w:r/>
            <w:r>
              <w:rPr>
                <w:rFonts w:ascii="Liberation Sans" w:hAnsi="Liberation Sans"/>
                <w:b w:val="0"/>
                <w:color w:val="42404C"/>
                <w:sz w:val="17"/>
              </w:rPr>
              <w:t>Stockholm 1972</w:t>
            </w:r>
          </w:p>
        </w:tc>
        <w:tc>
          <w:tcPr>
            <w:tcW w:type="dxa" w:w="3118"/>
            <w:vAlign w:val="top"/>
          </w:tcPr>
          <w:p>
            <w:pPr>
              <w:spacing w:after="0"/>
            </w:pPr>
            <w:r/>
            <w:r>
              <w:rPr>
                <w:rFonts w:ascii="Liberation Sans" w:hAnsi="Liberation Sans"/>
                <w:b w:val="0"/>
                <w:color w:val="42404C"/>
                <w:sz w:val="17"/>
              </w:rPr>
              <w:t>Umwelt wird zum globalen Politikfeld</w:t>
            </w:r>
          </w:p>
        </w:tc>
        <w:tc>
          <w:tcPr>
            <w:tcW w:type="dxa" w:w="3402"/>
            <w:vAlign w:val="top"/>
          </w:tcPr>
          <w:p>
            <w:pPr>
              <w:spacing w:after="0"/>
            </w:pPr>
            <w:r/>
            <w:r>
              <w:rPr>
                <w:rFonts w:ascii="Liberation Sans" w:hAnsi="Liberation Sans"/>
                <w:b w:val="0"/>
                <w:color w:val="42404C"/>
                <w:sz w:val="17"/>
              </w:rPr>
              <w:t>Planetare Wirkung wird als internationale Systemfrage sichtbar</w:t>
            </w:r>
          </w:p>
        </w:tc>
      </w:tr>
      <w:tr>
        <w:tc>
          <w:tcPr>
            <w:tcW w:type="dxa" w:w="2551"/>
            <w:vAlign w:val="top"/>
          </w:tcPr>
          <w:p>
            <w:pPr>
              <w:spacing w:after="0"/>
            </w:pPr>
            <w:r/>
            <w:r>
              <w:rPr>
                <w:rFonts w:ascii="Liberation Sans" w:hAnsi="Liberation Sans"/>
                <w:b w:val="0"/>
                <w:color w:val="42404C"/>
                <w:sz w:val="17"/>
              </w:rPr>
              <w:t>UNEP und Folgeinstitutionen</w:t>
            </w:r>
          </w:p>
        </w:tc>
        <w:tc>
          <w:tcPr>
            <w:tcW w:type="dxa" w:w="3118"/>
            <w:vAlign w:val="top"/>
          </w:tcPr>
          <w:p>
            <w:pPr>
              <w:spacing w:after="0"/>
            </w:pPr>
            <w:r/>
            <w:r>
              <w:rPr>
                <w:rFonts w:ascii="Liberation Sans" w:hAnsi="Liberation Sans"/>
                <w:b w:val="0"/>
                <w:color w:val="42404C"/>
                <w:sz w:val="17"/>
              </w:rPr>
              <w:t>Umwelt braucht institutionelle Beobachtung</w:t>
            </w:r>
          </w:p>
        </w:tc>
        <w:tc>
          <w:tcPr>
            <w:tcW w:type="dxa" w:w="3402"/>
            <w:vAlign w:val="top"/>
          </w:tcPr>
          <w:p>
            <w:pPr>
              <w:spacing w:after="0"/>
            </w:pPr>
            <w:r/>
            <w:r>
              <w:rPr>
                <w:rFonts w:ascii="Liberation Sans" w:hAnsi="Liberation Sans"/>
                <w:b w:val="0"/>
                <w:color w:val="42404C"/>
                <w:sz w:val="17"/>
              </w:rPr>
              <w:t>Wirkung braucht dauerhafte Governance, nicht nur Einzelbeschlüsse</w:t>
            </w:r>
          </w:p>
        </w:tc>
      </w:tr>
      <w:tr>
        <w:tc>
          <w:tcPr>
            <w:tcW w:type="dxa" w:w="2551"/>
            <w:vAlign w:val="top"/>
          </w:tcPr>
          <w:p>
            <w:pPr>
              <w:spacing w:after="0"/>
            </w:pPr>
            <w:r/>
            <w:r>
              <w:rPr>
                <w:rFonts w:ascii="Liberation Sans" w:hAnsi="Liberation Sans"/>
                <w:b w:val="0"/>
                <w:color w:val="42404C"/>
                <w:sz w:val="17"/>
              </w:rPr>
              <w:t>Umwelt und Entwicklung</w:t>
            </w:r>
          </w:p>
        </w:tc>
        <w:tc>
          <w:tcPr>
            <w:tcW w:type="dxa" w:w="3118"/>
            <w:vAlign w:val="top"/>
          </w:tcPr>
          <w:p>
            <w:pPr>
              <w:spacing w:after="0"/>
            </w:pPr>
            <w:r/>
            <w:r>
              <w:rPr>
                <w:rFonts w:ascii="Liberation Sans" w:hAnsi="Liberation Sans"/>
                <w:b w:val="0"/>
                <w:color w:val="42404C"/>
                <w:sz w:val="17"/>
              </w:rPr>
              <w:t>Ökologie ist nicht isoliert von Armut und Entwicklung</w:t>
            </w:r>
          </w:p>
        </w:tc>
        <w:tc>
          <w:tcPr>
            <w:tcW w:type="dxa" w:w="3402"/>
            <w:vAlign w:val="top"/>
          </w:tcPr>
          <w:p>
            <w:pPr>
              <w:spacing w:after="0"/>
            </w:pPr>
            <w:r/>
            <w:r>
              <w:rPr>
                <w:rFonts w:ascii="Liberation Sans" w:hAnsi="Liberation Sans"/>
                <w:b w:val="0"/>
                <w:color w:val="42404C"/>
                <w:sz w:val="17"/>
              </w:rPr>
              <w:t>Mensch und Planet müssen gekoppelt bewertet werden</w:t>
            </w:r>
          </w:p>
        </w:tc>
      </w:tr>
    </w:tbl>
    <w:p/>
    <w:p>
      <w:pPr>
        <w:pStyle w:val="Heading1"/>
      </w:pPr>
      <w:r>
        <w:t>4. Vorläufer II: Brundtland 1987 und die Verbindung von Umwelt und Entwicklung</w:t>
      </w:r>
    </w:p>
    <w:p>
      <w:r>
        <w:t>Der Brundtland-Bericht „Our Common Future“ von 1987 prägte den Begriff nachhaltiger Entwicklung in der heute bekannten politischen Bedeutung. Nachhaltige Entwicklung wurde als Entwicklung verstanden, die Bedürfnisse der Gegenwart befriedigt, ohne die Möglichkeiten künftiger Generationen zu gefährden.</w:t>
      </w:r>
    </w:p>
    <w:p>
      <w:r>
        <w:t>Der entscheidende Fortschritt lag nicht nur im Begriff, sondern in der Verknüpfung: Umwelt und Entwicklung wurden nicht mehr als Gegensätze beschrieben. Armut, Ressourcenverbrauch, Industrialisierung, globale Ungleichheit und Umweltzerstörung wurden als zusammenhängende Krisen verstanden.</w:t>
      </w:r>
    </w:p>
    <w:p>
      <w:r>
        <w:t>Wirkungsökonomisch ist das der Übergang von einer Umweltperspektive zu einer Wirkungslogik. Eine Maßnahme ist nicht gut, weil sie „grün“ klingt, sondern weil sie die Systembedingungen für heutige und kommende Generationen verbessert. Genau hier beginnt die spätere Logik von Mensch, Planet und Demokratie.</w:t>
      </w:r>
    </w:p>
    <w:p>
      <w:pPr>
        <w:pStyle w:val="Heading1"/>
      </w:pPr>
      <w:r>
        <w:t>5. Rio 1992: Agenda 21, Rio-Erklärung und die erste große Systemarchitektur</w:t>
      </w:r>
    </w:p>
    <w:p>
      <w:r>
        <w:t>Die Konferenz der Vereinten Nationen über Umwelt und Entwicklung in Rio de Janeiro 1992 - der Earth Summit - brachte die bis dahin umfassendste politische Architektur nachhaltiger Entwicklung hervor. Agenda 21, die Rio-Erklärung und weitere Abkommen machten deutlich, dass Nachhaltigkeit nicht nur ein Umweltthema ist, sondern Planung, Wirtschaft, Kommunen, soziale Entwicklung, Wissenschaft und internationale Kooperation betrifft.</w:t>
      </w:r>
    </w:p>
    <w:p>
      <w:r>
        <w:t>Agenda 21 war dabei kein Weltregierungsprogramm, sondern ein Aktionsrahmen. Er sollte national, regional und lokal übersetzt werden. Genau diese Übersetzungslogik ist wichtig: Globale Ziele definieren einen gemeinsamen Richtungskorridor, aber sie ersetzen nicht demokratische Ausgestaltung vor Ort.</w:t>
      </w:r>
    </w:p>
    <w:p>
      <w:r>
        <w:t>Für die Wirkungsökonomie zeigt Rio 1992, dass Nachhaltigkeit schon früh als Systemarchitektur gedacht wurde. Das Problem war nicht das Fehlen von Zielen, sondern die fehlende Rückkopplung in Preise, Steuern, Kapital, Beschaffung, Haushalt und Unternehmenssteuerung.</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top"/>
            <w:shd w:fill="F3EFE6"/>
          </w:tcPr>
          <w:p>
            <w:pPr>
              <w:spacing w:after="0"/>
            </w:pPr>
            <w:r/>
            <w:r>
              <w:rPr>
                <w:rFonts w:ascii="Liberation Sans" w:hAnsi="Liberation Sans"/>
                <w:b/>
                <w:color w:val="080120"/>
                <w:sz w:val="17"/>
              </w:rPr>
              <w:t>Rio-Element</w:t>
            </w:r>
          </w:p>
        </w:tc>
        <w:tc>
          <w:tcPr>
            <w:tcW w:type="dxa" w:w="3118"/>
            <w:vAlign w:val="top"/>
            <w:shd w:fill="F3EFE6"/>
          </w:tcPr>
          <w:p>
            <w:pPr>
              <w:spacing w:after="0"/>
            </w:pPr>
            <w:r/>
            <w:r>
              <w:rPr>
                <w:rFonts w:ascii="Liberation Sans" w:hAnsi="Liberation Sans"/>
                <w:b/>
                <w:color w:val="080120"/>
                <w:sz w:val="17"/>
              </w:rPr>
              <w:t>Funktion</w:t>
            </w:r>
          </w:p>
        </w:tc>
        <w:tc>
          <w:tcPr>
            <w:tcW w:type="dxa" w:w="3685"/>
            <w:vAlign w:val="top"/>
            <w:shd w:fill="F3EFE6"/>
          </w:tcPr>
          <w:p>
            <w:pPr>
              <w:spacing w:after="0"/>
            </w:pPr>
            <w:r/>
            <w:r>
              <w:rPr>
                <w:rFonts w:ascii="Liberation Sans" w:hAnsi="Liberation Sans"/>
                <w:b/>
                <w:color w:val="080120"/>
                <w:sz w:val="17"/>
              </w:rPr>
              <w:t>Wirkungsökonomische Bedeutung</w:t>
            </w:r>
          </w:p>
        </w:tc>
      </w:tr>
      <w:tr>
        <w:tc>
          <w:tcPr>
            <w:tcW w:type="dxa" w:w="2268"/>
            <w:vAlign w:val="top"/>
          </w:tcPr>
          <w:p>
            <w:pPr>
              <w:spacing w:after="0"/>
            </w:pPr>
            <w:r/>
            <w:r>
              <w:rPr>
                <w:rFonts w:ascii="Liberation Sans" w:hAnsi="Liberation Sans"/>
                <w:b w:val="0"/>
                <w:color w:val="42404C"/>
                <w:sz w:val="17"/>
              </w:rPr>
              <w:t>Rio-Erklärung</w:t>
            </w:r>
          </w:p>
        </w:tc>
        <w:tc>
          <w:tcPr>
            <w:tcW w:type="dxa" w:w="3118"/>
            <w:vAlign w:val="top"/>
          </w:tcPr>
          <w:p>
            <w:pPr>
              <w:spacing w:after="0"/>
            </w:pPr>
            <w:r/>
            <w:r>
              <w:rPr>
                <w:rFonts w:ascii="Liberation Sans" w:hAnsi="Liberation Sans"/>
                <w:b w:val="0"/>
                <w:color w:val="42404C"/>
                <w:sz w:val="17"/>
              </w:rPr>
              <w:t>Grundsätze für Umwelt und Entwicklung</w:t>
            </w:r>
          </w:p>
        </w:tc>
        <w:tc>
          <w:tcPr>
            <w:tcW w:type="dxa" w:w="3685"/>
            <w:vAlign w:val="top"/>
          </w:tcPr>
          <w:p>
            <w:pPr>
              <w:spacing w:after="0"/>
            </w:pPr>
            <w:r/>
            <w:r>
              <w:rPr>
                <w:rFonts w:ascii="Liberation Sans" w:hAnsi="Liberation Sans"/>
                <w:b w:val="0"/>
                <w:color w:val="42404C"/>
                <w:sz w:val="17"/>
              </w:rPr>
              <w:t>Normativer Rahmen für Verantwortung und Vorsorge</w:t>
            </w:r>
          </w:p>
        </w:tc>
      </w:tr>
      <w:tr>
        <w:tc>
          <w:tcPr>
            <w:tcW w:type="dxa" w:w="2268"/>
            <w:vAlign w:val="top"/>
          </w:tcPr>
          <w:p>
            <w:pPr>
              <w:spacing w:after="0"/>
            </w:pPr>
            <w:r/>
            <w:r>
              <w:rPr>
                <w:rFonts w:ascii="Liberation Sans" w:hAnsi="Liberation Sans"/>
                <w:b w:val="0"/>
                <w:color w:val="42404C"/>
                <w:sz w:val="17"/>
              </w:rPr>
              <w:t>Agenda 21</w:t>
            </w:r>
          </w:p>
        </w:tc>
        <w:tc>
          <w:tcPr>
            <w:tcW w:type="dxa" w:w="3118"/>
            <w:vAlign w:val="top"/>
          </w:tcPr>
          <w:p>
            <w:pPr>
              <w:spacing w:after="0"/>
            </w:pPr>
            <w:r/>
            <w:r>
              <w:rPr>
                <w:rFonts w:ascii="Liberation Sans" w:hAnsi="Liberation Sans"/>
                <w:b w:val="0"/>
                <w:color w:val="42404C"/>
                <w:sz w:val="17"/>
              </w:rPr>
              <w:t>Aktionsprogramm für Staaten und Kommunen</w:t>
            </w:r>
          </w:p>
        </w:tc>
        <w:tc>
          <w:tcPr>
            <w:tcW w:type="dxa" w:w="3685"/>
            <w:vAlign w:val="top"/>
          </w:tcPr>
          <w:p>
            <w:pPr>
              <w:spacing w:after="0"/>
            </w:pPr>
            <w:r/>
            <w:r>
              <w:rPr>
                <w:rFonts w:ascii="Liberation Sans" w:hAnsi="Liberation Sans"/>
                <w:b w:val="0"/>
                <w:color w:val="42404C"/>
                <w:sz w:val="17"/>
              </w:rPr>
              <w:t>Frühe Form einer Umsetzungsarchitektur</w:t>
            </w:r>
          </w:p>
        </w:tc>
      </w:tr>
      <w:tr>
        <w:tc>
          <w:tcPr>
            <w:tcW w:type="dxa" w:w="2268"/>
            <w:vAlign w:val="top"/>
          </w:tcPr>
          <w:p>
            <w:pPr>
              <w:spacing w:after="0"/>
            </w:pPr>
            <w:r/>
            <w:r>
              <w:rPr>
                <w:rFonts w:ascii="Liberation Sans" w:hAnsi="Liberation Sans"/>
                <w:b w:val="0"/>
                <w:color w:val="42404C"/>
                <w:sz w:val="17"/>
              </w:rPr>
              <w:t>Konventionen zu Klima und Biodiversität</w:t>
            </w:r>
          </w:p>
        </w:tc>
        <w:tc>
          <w:tcPr>
            <w:tcW w:type="dxa" w:w="3118"/>
            <w:vAlign w:val="top"/>
          </w:tcPr>
          <w:p>
            <w:pPr>
              <w:spacing w:after="0"/>
            </w:pPr>
            <w:r/>
            <w:r>
              <w:rPr>
                <w:rFonts w:ascii="Liberation Sans" w:hAnsi="Liberation Sans"/>
                <w:b w:val="0"/>
                <w:color w:val="42404C"/>
                <w:sz w:val="17"/>
              </w:rPr>
              <w:t>Spezifische ökologische Schutzrahmen</w:t>
            </w:r>
          </w:p>
        </w:tc>
        <w:tc>
          <w:tcPr>
            <w:tcW w:type="dxa" w:w="3685"/>
            <w:vAlign w:val="top"/>
          </w:tcPr>
          <w:p>
            <w:pPr>
              <w:spacing w:after="0"/>
            </w:pPr>
            <w:r/>
            <w:r>
              <w:rPr>
                <w:rFonts w:ascii="Liberation Sans" w:hAnsi="Liberation Sans"/>
                <w:b w:val="0"/>
                <w:color w:val="42404C"/>
                <w:sz w:val="17"/>
              </w:rPr>
              <w:t>Planetare Grenzen werden institutionell adressiert</w:t>
            </w:r>
          </w:p>
        </w:tc>
      </w:tr>
      <w:tr>
        <w:tc>
          <w:tcPr>
            <w:tcW w:type="dxa" w:w="2268"/>
            <w:vAlign w:val="top"/>
          </w:tcPr>
          <w:p>
            <w:pPr>
              <w:spacing w:after="0"/>
            </w:pPr>
            <w:r/>
            <w:r>
              <w:rPr>
                <w:rFonts w:ascii="Liberation Sans" w:hAnsi="Liberation Sans"/>
                <w:b w:val="0"/>
                <w:color w:val="42404C"/>
                <w:sz w:val="17"/>
              </w:rPr>
              <w:t>Lokale Agenda 21</w:t>
            </w:r>
          </w:p>
        </w:tc>
        <w:tc>
          <w:tcPr>
            <w:tcW w:type="dxa" w:w="3118"/>
            <w:vAlign w:val="top"/>
          </w:tcPr>
          <w:p>
            <w:pPr>
              <w:spacing w:after="0"/>
            </w:pPr>
            <w:r/>
            <w:r>
              <w:rPr>
                <w:rFonts w:ascii="Liberation Sans" w:hAnsi="Liberation Sans"/>
                <w:b w:val="0"/>
                <w:color w:val="42404C"/>
                <w:sz w:val="17"/>
              </w:rPr>
              <w:t>Kommunale Übersetzung</w:t>
            </w:r>
          </w:p>
        </w:tc>
        <w:tc>
          <w:tcPr>
            <w:tcW w:type="dxa" w:w="3685"/>
            <w:vAlign w:val="top"/>
          </w:tcPr>
          <w:p>
            <w:pPr>
              <w:spacing w:after="0"/>
            </w:pPr>
            <w:r/>
            <w:r>
              <w:rPr>
                <w:rFonts w:ascii="Liberation Sans" w:hAnsi="Liberation Sans"/>
                <w:b w:val="0"/>
                <w:color w:val="42404C"/>
                <w:sz w:val="17"/>
              </w:rPr>
              <w:t>Wirkung entsteht in konkreten Räumen und nicht nur auf Gipfeln</w:t>
            </w:r>
          </w:p>
        </w:tc>
      </w:tr>
    </w:tbl>
    <w:p/>
    <w:p>
      <w:pPr>
        <w:pStyle w:val="Heading1"/>
      </w:pPr>
      <w:r>
        <w:t>6. Die Millennium Development Goals 2000-2015: Fortschritt und Begrenzung</w:t>
      </w:r>
    </w:p>
    <w:p>
      <w:r>
        <w:t>Die Millennium Development Goals (MDGs) wurden im Jahr 2000 als acht Entwicklungsziele formuliert. Sie konzentrierten sich stark auf extreme Armut, Hunger, Bildung, Kinder- und Müttergesundheit, Krankheiten, Umwelt und globale Partnerschaft. Im Vergleich zu den späteren SDGs waren sie enger und stärker auf Entwicklungszusammenarbeit ausgerichtet.</w:t>
      </w:r>
    </w:p>
    <w:p>
      <w:r>
        <w:t>Die MDGs erzielten Fortschritte, machten aber auch Grenzen sichtbar. Sie waren nicht universell im heutigen Sinne: Viele Industriestaaten sahen sich eher als Unterstützende als als gleichermaßen betroffene Transformationsakteure. Zudem blieben Demokratie, Ungleichheit innerhalb reicher Länder, nachhaltiger Konsum, Produktionsmuster, Finanzsysteme und institutionelle Rückkopplung nur begrenzt adressiert.</w:t>
      </w:r>
    </w:p>
    <w:p>
      <w:r>
        <w:t>Die SDGs wurden gerade deshalb breiter: Sie gelten für alle Länder, nicht nur für den globalen Süden. Sie verbinden soziale, ökologische, ökonomische und institutionelle Ziele. Aus wirkungsökonomischer Sicht war dieser Übergang entscheidend, weil damit deutlich wurde: Auch wohlhabende Staaten haben Wirkungsdefizite.</w:t>
      </w:r>
    </w:p>
    <w:p>
      <w:pPr>
        <w:pStyle w:val="Heading1"/>
      </w:pPr>
      <w:r>
        <w:t>7. Rio+20 2012: Der Auftrag zur Entwicklung der SDGs</w:t>
      </w:r>
    </w:p>
    <w:p>
      <w:r>
        <w:t>Rio+20 im Jahr 2012 war der unmittelbare politische Ausgangspunkt für die SDGs. Im Abschlussdokument „The Future We Want“ beschlossen die Mitgliedstaaten, einen Prozess zur Entwicklung von Sustainable Development Goals anzustoßen. Die Ziele sollten auf den MDGs aufbauen und zugleich breiter, universeller und stärker integriert sein.</w:t>
      </w:r>
    </w:p>
    <w:p>
      <w:r>
        <w:t>Wichtig ist: Die SDGs entstanden nicht aus einer kleinen Expertengruppe im Hintergrund. Der Rio+20-Beschluss eröffnete einen zwischenstaatlichen Prozess, der durch Arbeitsgruppen, Konsultationen und Verhandlungen geprägt war. Damit ist ihre Entstehung selbst ein Beispiel globaler Koordination unter Konfliktbedingungen.</w:t>
      </w:r>
    </w:p>
    <w:p>
      <w:r>
        <w:t>Die Wirkungsökonomie liest Rio+20 als Übergang von Zielrhetorik zu Zielstruktur. Der politische Auftrag war nicht nur „mehr Nachhaltigkeit“, sondern die Strukturierung von Nachhaltigkeit in Ziele, Unterziele und Indikatoren.</w:t>
      </w:r>
    </w:p>
    <w:p>
      <w:pPr>
        <w:pStyle w:val="Heading1"/>
      </w:pPr>
      <w:r>
        <w:t>8. Open Working Group, Konsultationen und Post-2015-Verhandlungen</w:t>
      </w:r>
    </w:p>
    <w:p>
      <w:r>
        <w:t>Nach Rio+20 setzte die UN-Generalversammlung eine Open Working Group ein, die einen Vorschlag für die SDGs erarbeitete. Parallel liefen globale Konsultationen mit Staaten, Zivilgesellschaft, Wissenschaft, Wirtschaft und weiteren Akteursgruppen. Die spätere Agenda 2030 verweist ausdrücklich auf mehrjährige öffentliche Konsultation und Beteiligung.</w:t>
      </w:r>
    </w:p>
    <w:p>
      <w:r>
        <w:t>Diese Entstehung ist für die politische Deutung wichtig. Die SDGs sind weder der Entwurf eines einzelnen Landes noch das Programm einer einzelnen Partei. Sie sind ein verhandelter Kompromiss, der Zielkonflikte nicht vollständig auflöst, aber sichtbar macht.</w:t>
      </w:r>
    </w:p>
    <w:p>
      <w:r>
        <w:t>Wirkungsökonomisch ist das zentral: Die SDGs schaffen keinen fertigen Mechanismus, sondern einen gemeinsamen Bewertungsraum. Innerhalb dieses Bewertungsraums bleibt politischer Streit möglich: über Prioritäten, Tempo, Instrumente, Finanzierung, Zuständigkeiten und Übergänge.</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top"/>
            <w:shd w:fill="F3EFE6"/>
          </w:tcPr>
          <w:p>
            <w:pPr>
              <w:spacing w:after="0"/>
            </w:pPr>
            <w:r/>
            <w:r>
              <w:rPr>
                <w:rFonts w:ascii="Liberation Sans" w:hAnsi="Liberation Sans"/>
                <w:b/>
                <w:color w:val="080120"/>
                <w:sz w:val="17"/>
              </w:rPr>
              <w:t>Phase</w:t>
            </w:r>
          </w:p>
        </w:tc>
        <w:tc>
          <w:tcPr>
            <w:tcW w:type="dxa" w:w="3402"/>
            <w:vAlign w:val="top"/>
            <w:shd w:fill="F3EFE6"/>
          </w:tcPr>
          <w:p>
            <w:pPr>
              <w:spacing w:after="0"/>
            </w:pPr>
            <w:r/>
            <w:r>
              <w:rPr>
                <w:rFonts w:ascii="Liberation Sans" w:hAnsi="Liberation Sans"/>
                <w:b/>
                <w:color w:val="080120"/>
                <w:sz w:val="17"/>
              </w:rPr>
              <w:t>Was geschah?</w:t>
            </w:r>
          </w:p>
        </w:tc>
        <w:tc>
          <w:tcPr>
            <w:tcW w:type="dxa" w:w="3402"/>
            <w:vAlign w:val="top"/>
            <w:shd w:fill="F3EFE6"/>
          </w:tcPr>
          <w:p>
            <w:pPr>
              <w:spacing w:after="0"/>
            </w:pPr>
            <w:r/>
            <w:r>
              <w:rPr>
                <w:rFonts w:ascii="Liberation Sans" w:hAnsi="Liberation Sans"/>
                <w:b/>
                <w:color w:val="080120"/>
                <w:sz w:val="17"/>
              </w:rPr>
              <w:t>Warum relevant?</w:t>
            </w:r>
          </w:p>
        </w:tc>
      </w:tr>
      <w:tr>
        <w:tc>
          <w:tcPr>
            <w:tcW w:type="dxa" w:w="1984"/>
            <w:vAlign w:val="top"/>
          </w:tcPr>
          <w:p>
            <w:pPr>
              <w:spacing w:after="0"/>
            </w:pPr>
            <w:r/>
            <w:r>
              <w:rPr>
                <w:rFonts w:ascii="Liberation Sans" w:hAnsi="Liberation Sans"/>
                <w:b w:val="0"/>
                <w:color w:val="42404C"/>
                <w:sz w:val="17"/>
              </w:rPr>
              <w:t>2012 Rio+20</w:t>
            </w:r>
          </w:p>
        </w:tc>
        <w:tc>
          <w:tcPr>
            <w:tcW w:type="dxa" w:w="3402"/>
            <w:vAlign w:val="top"/>
          </w:tcPr>
          <w:p>
            <w:pPr>
              <w:spacing w:after="0"/>
            </w:pPr>
            <w:r/>
            <w:r>
              <w:rPr>
                <w:rFonts w:ascii="Liberation Sans" w:hAnsi="Liberation Sans"/>
                <w:b w:val="0"/>
                <w:color w:val="42404C"/>
                <w:sz w:val="17"/>
              </w:rPr>
              <w:t>Auftrag zur Entwicklung von SDGs</w:t>
            </w:r>
          </w:p>
        </w:tc>
        <w:tc>
          <w:tcPr>
            <w:tcW w:type="dxa" w:w="3402"/>
            <w:vAlign w:val="top"/>
          </w:tcPr>
          <w:p>
            <w:pPr>
              <w:spacing w:after="0"/>
            </w:pPr>
            <w:r/>
            <w:r>
              <w:rPr>
                <w:rFonts w:ascii="Liberation Sans" w:hAnsi="Liberation Sans"/>
                <w:b w:val="0"/>
                <w:color w:val="42404C"/>
                <w:sz w:val="17"/>
              </w:rPr>
              <w:t>Start des Zielprozesses</w:t>
            </w:r>
          </w:p>
        </w:tc>
      </w:tr>
      <w:tr>
        <w:tc>
          <w:tcPr>
            <w:tcW w:type="dxa" w:w="1984"/>
            <w:vAlign w:val="top"/>
          </w:tcPr>
          <w:p>
            <w:pPr>
              <w:spacing w:after="0"/>
            </w:pPr>
            <w:r/>
            <w:r>
              <w:rPr>
                <w:rFonts w:ascii="Liberation Sans" w:hAnsi="Liberation Sans"/>
                <w:b w:val="0"/>
                <w:color w:val="42404C"/>
                <w:sz w:val="17"/>
              </w:rPr>
              <w:t>2013-2014 Open Working Group</w:t>
            </w:r>
          </w:p>
        </w:tc>
        <w:tc>
          <w:tcPr>
            <w:tcW w:type="dxa" w:w="3402"/>
            <w:vAlign w:val="top"/>
          </w:tcPr>
          <w:p>
            <w:pPr>
              <w:spacing w:after="0"/>
            </w:pPr>
            <w:r/>
            <w:r>
              <w:rPr>
                <w:rFonts w:ascii="Liberation Sans" w:hAnsi="Liberation Sans"/>
                <w:b w:val="0"/>
                <w:color w:val="42404C"/>
                <w:sz w:val="17"/>
              </w:rPr>
              <w:t>Ausarbeitung eines Zielvorschlags</w:t>
            </w:r>
          </w:p>
        </w:tc>
        <w:tc>
          <w:tcPr>
            <w:tcW w:type="dxa" w:w="3402"/>
            <w:vAlign w:val="top"/>
          </w:tcPr>
          <w:p>
            <w:pPr>
              <w:spacing w:after="0"/>
            </w:pPr>
            <w:r/>
            <w:r>
              <w:rPr>
                <w:rFonts w:ascii="Liberation Sans" w:hAnsi="Liberation Sans"/>
                <w:b w:val="0"/>
                <w:color w:val="42404C"/>
                <w:sz w:val="17"/>
              </w:rPr>
              <w:t>Ziele werden verhandelt, nicht privat erfunden</w:t>
            </w:r>
          </w:p>
        </w:tc>
      </w:tr>
      <w:tr>
        <w:tc>
          <w:tcPr>
            <w:tcW w:type="dxa" w:w="1984"/>
            <w:vAlign w:val="top"/>
          </w:tcPr>
          <w:p>
            <w:pPr>
              <w:spacing w:after="0"/>
            </w:pPr>
            <w:r/>
            <w:r>
              <w:rPr>
                <w:rFonts w:ascii="Liberation Sans" w:hAnsi="Liberation Sans"/>
                <w:b w:val="0"/>
                <w:color w:val="42404C"/>
                <w:sz w:val="17"/>
              </w:rPr>
              <w:t>Globale Konsultationen</w:t>
            </w:r>
          </w:p>
        </w:tc>
        <w:tc>
          <w:tcPr>
            <w:tcW w:type="dxa" w:w="3402"/>
            <w:vAlign w:val="top"/>
          </w:tcPr>
          <w:p>
            <w:pPr>
              <w:spacing w:after="0"/>
            </w:pPr>
            <w:r/>
            <w:r>
              <w:rPr>
                <w:rFonts w:ascii="Liberation Sans" w:hAnsi="Liberation Sans"/>
                <w:b w:val="0"/>
                <w:color w:val="42404C"/>
                <w:sz w:val="17"/>
              </w:rPr>
              <w:t>Einbindung von Zivilgesellschaft und Stakeholdern</w:t>
            </w:r>
          </w:p>
        </w:tc>
        <w:tc>
          <w:tcPr>
            <w:tcW w:type="dxa" w:w="3402"/>
            <w:vAlign w:val="top"/>
          </w:tcPr>
          <w:p>
            <w:pPr>
              <w:spacing w:after="0"/>
            </w:pPr>
            <w:r/>
            <w:r>
              <w:rPr>
                <w:rFonts w:ascii="Liberation Sans" w:hAnsi="Liberation Sans"/>
                <w:b w:val="0"/>
                <w:color w:val="42404C"/>
                <w:sz w:val="17"/>
              </w:rPr>
              <w:t>Legitimität und Breite wachsen</w:t>
            </w:r>
          </w:p>
        </w:tc>
      </w:tr>
      <w:tr>
        <w:tc>
          <w:tcPr>
            <w:tcW w:type="dxa" w:w="1984"/>
            <w:vAlign w:val="top"/>
          </w:tcPr>
          <w:p>
            <w:pPr>
              <w:spacing w:after="0"/>
            </w:pPr>
            <w:r/>
            <w:r>
              <w:rPr>
                <w:rFonts w:ascii="Liberation Sans" w:hAnsi="Liberation Sans"/>
                <w:b w:val="0"/>
                <w:color w:val="42404C"/>
                <w:sz w:val="17"/>
              </w:rPr>
              <w:t>2015 Post-2015-Verhandlungen</w:t>
            </w:r>
          </w:p>
        </w:tc>
        <w:tc>
          <w:tcPr>
            <w:tcW w:type="dxa" w:w="3402"/>
            <w:vAlign w:val="top"/>
          </w:tcPr>
          <w:p>
            <w:pPr>
              <w:spacing w:after="0"/>
            </w:pPr>
            <w:r/>
            <w:r>
              <w:rPr>
                <w:rFonts w:ascii="Liberation Sans" w:hAnsi="Liberation Sans"/>
                <w:b w:val="0"/>
                <w:color w:val="42404C"/>
                <w:sz w:val="17"/>
              </w:rPr>
              <w:t>Finalisierung der Agenda 2030</w:t>
            </w:r>
          </w:p>
        </w:tc>
        <w:tc>
          <w:tcPr>
            <w:tcW w:type="dxa" w:w="3402"/>
            <w:vAlign w:val="top"/>
          </w:tcPr>
          <w:p>
            <w:pPr>
              <w:spacing w:after="0"/>
            </w:pPr>
            <w:r/>
            <w:r>
              <w:rPr>
                <w:rFonts w:ascii="Liberation Sans" w:hAnsi="Liberation Sans"/>
                <w:b w:val="0"/>
                <w:color w:val="42404C"/>
                <w:sz w:val="17"/>
              </w:rPr>
              <w:t>Zielrahmen wird politisch beschlossen</w:t>
            </w:r>
          </w:p>
        </w:tc>
      </w:tr>
    </w:tbl>
    <w:p/>
    <w:p>
      <w:pPr>
        <w:pStyle w:val="Heading1"/>
      </w:pPr>
      <w:r>
        <w:t>9. 2015 als Architekturjahr: Sendai, Addis Abeba, Agenda 2030 und Paris</w:t>
      </w:r>
    </w:p>
    <w:p>
      <w:r>
        <w:t>Das Jahr 2015 war kein isoliertes SDG-Jahr, sondern ein Architekturjahr globaler Zukunftspolitik. Der Sendai-Rahmen für Katastrophenvorsorge, die Addis Abeba Action Agenda zur Entwicklungsfinanzierung, die Agenda 2030 und das Pariser Klimaabkommen stehen in einem Zusammenhang. Sie zeigen verschiedene Ebenen derselben Frage: Wie werden Risiken, Ressourcen, Finanzierung und Umsetzung für eine instabile Welt organisiert?</w:t>
      </w:r>
    </w:p>
    <w:p>
      <w:r>
        <w:t>Die Agenda 2030 ist dabei der breiteste Zielrahmen. Paris konkretisiert den Klimapfad. Sendai adressiert Katastrophen- und Resilienzrisiken. Addis Abeba thematisiert Finanzierung. Zusammen gelesen entsteht eine frühe globale Risikomanagementarchitektur.</w:t>
      </w:r>
    </w:p>
    <w:p>
      <w:r>
        <w:t>Für die Wirkungsökonomie ist genau das entscheidend: Ziele ohne Finanzierung bleiben Symbolik. Finanzierung ohne Wirkung bleibt blind. Risikomanagement ohne soziale und demokratische Stabilität bleibt technisch verkürzt.</w:t>
      </w:r>
    </w:p>
    <w:p>
      <w:pPr>
        <w:pStyle w:val="Heading1"/>
      </w:pPr>
      <w:r>
        <w:t>10. Was der UN-Beschluss politisch und rechtlich bedeutet</w:t>
      </w:r>
    </w:p>
    <w:p>
      <w:r>
        <w:t>Die Agenda 2030 ist eine Resolution der Vereinten Nationen und damit kein direkt vollstreckbares Weltgesetz. Sie schafft keine Weltregierung und keine automatische nationale Gesetzgebung. Ihr politisches Gewicht entsteht aus der gemeinsamen Annahme durch die UN-Mitgliedstaaten und aus der anschließenden Übersetzung in nationale Strategien, Indikatoren, Berichte und politische Prozesse.</w:t>
      </w:r>
    </w:p>
    <w:p>
      <w:r>
        <w:t>Der Beschluss bedeutet deshalb vor allem: Die Staaten haben sich auf einen gemeinsamen Zielrahmen geeinigt. Dieser Zielrahmen ist universell, integriert und auf 2030 ausgerichtet. Er betrifft alle Länder und alle relevanten Akteursgruppen.</w:t>
      </w:r>
    </w:p>
    <w:p>
      <w:r>
        <w:t>Die Umsetzung bleibt politisch. Jedes Land muss Prioritäten setzen, Instrumente wählen, Haushalte strukturieren, Daten erheben und Zielkonflikte bearbeiten. Genau hier setzt die Wirkungsökonomie an: Sie fragt, wie aus einem Zielrahmen ein Rückkopplungssystem wird.</w:t>
      </w:r>
    </w:p>
    <w:tbl>
      <w:tblPr>
        <w:tblStyle w:val="TableGrid"/>
        <w:tblW w:type="auto" w:w="0"/>
        <w:jc w:val="center"/>
        <w:tblLook w:firstColumn="1" w:firstRow="1" w:lastColumn="0" w:lastRow="0" w:noHBand="0" w:noVBand="1" w:val="04A0"/>
      </w:tblPr>
      <w:tblGrid>
        <w:gridCol w:w="3324"/>
        <w:gridCol w:w="3324"/>
        <w:gridCol w:w="3324"/>
      </w:tblGrid>
      <w:tr>
        <w:tc>
          <w:tcPr>
            <w:tcW w:type="dxa" w:w="1814"/>
            <w:vAlign w:val="top"/>
            <w:shd w:fill="F3EFE6"/>
          </w:tcPr>
          <w:p>
            <w:pPr>
              <w:spacing w:after="0"/>
            </w:pPr>
            <w:r/>
            <w:r>
              <w:rPr>
                <w:rFonts w:ascii="Liberation Sans" w:hAnsi="Liberation Sans"/>
                <w:b/>
                <w:color w:val="080120"/>
                <w:sz w:val="17"/>
              </w:rPr>
              <w:t>Ebene</w:t>
            </w:r>
          </w:p>
        </w:tc>
        <w:tc>
          <w:tcPr>
            <w:tcW w:type="dxa" w:w="3402"/>
            <w:vAlign w:val="top"/>
            <w:shd w:fill="F3EFE6"/>
          </w:tcPr>
          <w:p>
            <w:pPr>
              <w:spacing w:after="0"/>
            </w:pPr>
            <w:r/>
            <w:r>
              <w:rPr>
                <w:rFonts w:ascii="Liberation Sans" w:hAnsi="Liberation Sans"/>
                <w:b/>
                <w:color w:val="080120"/>
                <w:sz w:val="17"/>
              </w:rPr>
              <w:t>Bedeutung des Beschlusses</w:t>
            </w:r>
          </w:p>
        </w:tc>
        <w:tc>
          <w:tcPr>
            <w:tcW w:type="dxa" w:w="3572"/>
            <w:vAlign w:val="top"/>
            <w:shd w:fill="F3EFE6"/>
          </w:tcPr>
          <w:p>
            <w:pPr>
              <w:spacing w:after="0"/>
            </w:pPr>
            <w:r/>
            <w:r>
              <w:rPr>
                <w:rFonts w:ascii="Liberation Sans" w:hAnsi="Liberation Sans"/>
                <w:b/>
                <w:color w:val="080120"/>
                <w:sz w:val="17"/>
              </w:rPr>
              <w:t>WÖk-Konsequenz</w:t>
            </w:r>
          </w:p>
        </w:tc>
      </w:tr>
      <w:tr>
        <w:tc>
          <w:tcPr>
            <w:tcW w:type="dxa" w:w="1814"/>
            <w:vAlign w:val="top"/>
          </w:tcPr>
          <w:p>
            <w:pPr>
              <w:spacing w:after="0"/>
            </w:pPr>
            <w:r/>
            <w:r>
              <w:rPr>
                <w:rFonts w:ascii="Liberation Sans" w:hAnsi="Liberation Sans"/>
                <w:b w:val="0"/>
                <w:color w:val="42404C"/>
                <w:sz w:val="17"/>
              </w:rPr>
              <w:t>Politisch</w:t>
            </w:r>
          </w:p>
        </w:tc>
        <w:tc>
          <w:tcPr>
            <w:tcW w:type="dxa" w:w="3402"/>
            <w:vAlign w:val="top"/>
          </w:tcPr>
          <w:p>
            <w:pPr>
              <w:spacing w:after="0"/>
            </w:pPr>
            <w:r/>
            <w:r>
              <w:rPr>
                <w:rFonts w:ascii="Liberation Sans" w:hAnsi="Liberation Sans"/>
                <w:b w:val="0"/>
                <w:color w:val="42404C"/>
                <w:sz w:val="17"/>
              </w:rPr>
              <w:t>Gemeinsamer globaler Zielrahmen</w:t>
            </w:r>
          </w:p>
        </w:tc>
        <w:tc>
          <w:tcPr>
            <w:tcW w:type="dxa" w:w="3572"/>
            <w:vAlign w:val="top"/>
          </w:tcPr>
          <w:p>
            <w:pPr>
              <w:spacing w:after="0"/>
            </w:pPr>
            <w:r/>
            <w:r>
              <w:rPr>
                <w:rFonts w:ascii="Liberation Sans" w:hAnsi="Liberation Sans"/>
                <w:b w:val="0"/>
                <w:color w:val="42404C"/>
                <w:sz w:val="17"/>
              </w:rPr>
              <w:t>Anschlussfähigkeit statt Privatmaßstab</w:t>
            </w:r>
          </w:p>
        </w:tc>
      </w:tr>
      <w:tr>
        <w:tc>
          <w:tcPr>
            <w:tcW w:type="dxa" w:w="1814"/>
            <w:vAlign w:val="top"/>
          </w:tcPr>
          <w:p>
            <w:pPr>
              <w:spacing w:after="0"/>
            </w:pPr>
            <w:r/>
            <w:r>
              <w:rPr>
                <w:rFonts w:ascii="Liberation Sans" w:hAnsi="Liberation Sans"/>
                <w:b w:val="0"/>
                <w:color w:val="42404C"/>
                <w:sz w:val="17"/>
              </w:rPr>
              <w:t>Rechtlich</w:t>
            </w:r>
          </w:p>
        </w:tc>
        <w:tc>
          <w:tcPr>
            <w:tcW w:type="dxa" w:w="3402"/>
            <w:vAlign w:val="top"/>
          </w:tcPr>
          <w:p>
            <w:pPr>
              <w:spacing w:after="0"/>
            </w:pPr>
            <w:r/>
            <w:r>
              <w:rPr>
                <w:rFonts w:ascii="Liberation Sans" w:hAnsi="Liberation Sans"/>
                <w:b w:val="0"/>
                <w:color w:val="42404C"/>
                <w:sz w:val="17"/>
              </w:rPr>
              <w:t>Keine direkte Weltgesetzgebung</w:t>
            </w:r>
          </w:p>
        </w:tc>
        <w:tc>
          <w:tcPr>
            <w:tcW w:type="dxa" w:w="3572"/>
            <w:vAlign w:val="top"/>
          </w:tcPr>
          <w:p>
            <w:pPr>
              <w:spacing w:after="0"/>
            </w:pPr>
            <w:r/>
            <w:r>
              <w:rPr>
                <w:rFonts w:ascii="Liberation Sans" w:hAnsi="Liberation Sans"/>
                <w:b w:val="0"/>
                <w:color w:val="42404C"/>
                <w:sz w:val="17"/>
              </w:rPr>
              <w:t>Nationale demokratische Ausgestaltung bleibt nötig</w:t>
            </w:r>
          </w:p>
        </w:tc>
      </w:tr>
      <w:tr>
        <w:tc>
          <w:tcPr>
            <w:tcW w:type="dxa" w:w="1814"/>
            <w:vAlign w:val="top"/>
          </w:tcPr>
          <w:p>
            <w:pPr>
              <w:spacing w:after="0"/>
            </w:pPr>
            <w:r/>
            <w:r>
              <w:rPr>
                <w:rFonts w:ascii="Liberation Sans" w:hAnsi="Liberation Sans"/>
                <w:b w:val="0"/>
                <w:color w:val="42404C"/>
                <w:sz w:val="17"/>
              </w:rPr>
              <w:t>Statistisch</w:t>
            </w:r>
          </w:p>
        </w:tc>
        <w:tc>
          <w:tcPr>
            <w:tcW w:type="dxa" w:w="3402"/>
            <w:vAlign w:val="top"/>
          </w:tcPr>
          <w:p>
            <w:pPr>
              <w:spacing w:after="0"/>
            </w:pPr>
            <w:r/>
            <w:r>
              <w:rPr>
                <w:rFonts w:ascii="Liberation Sans" w:hAnsi="Liberation Sans"/>
                <w:b w:val="0"/>
                <w:color w:val="42404C"/>
                <w:sz w:val="17"/>
              </w:rPr>
              <w:t>Indikatoren und Monitoring</w:t>
            </w:r>
          </w:p>
        </w:tc>
        <w:tc>
          <w:tcPr>
            <w:tcW w:type="dxa" w:w="3572"/>
            <w:vAlign w:val="top"/>
          </w:tcPr>
          <w:p>
            <w:pPr>
              <w:spacing w:after="0"/>
            </w:pPr>
            <w:r/>
            <w:r>
              <w:rPr>
                <w:rFonts w:ascii="Liberation Sans" w:hAnsi="Liberation Sans"/>
                <w:b w:val="0"/>
                <w:color w:val="42404C"/>
                <w:sz w:val="17"/>
              </w:rPr>
              <w:t>Daten werden Voraussetzung für Rückkopplung</w:t>
            </w:r>
          </w:p>
        </w:tc>
      </w:tr>
      <w:tr>
        <w:tc>
          <w:tcPr>
            <w:tcW w:type="dxa" w:w="1814"/>
            <w:vAlign w:val="top"/>
          </w:tcPr>
          <w:p>
            <w:pPr>
              <w:spacing w:after="0"/>
            </w:pPr>
            <w:r/>
            <w:r>
              <w:rPr>
                <w:rFonts w:ascii="Liberation Sans" w:hAnsi="Liberation Sans"/>
                <w:b w:val="0"/>
                <w:color w:val="42404C"/>
                <w:sz w:val="17"/>
              </w:rPr>
              <w:t>Institutionell</w:t>
            </w:r>
          </w:p>
        </w:tc>
        <w:tc>
          <w:tcPr>
            <w:tcW w:type="dxa" w:w="3402"/>
            <w:vAlign w:val="top"/>
          </w:tcPr>
          <w:p>
            <w:pPr>
              <w:spacing w:after="0"/>
            </w:pPr>
            <w:r/>
            <w:r>
              <w:rPr>
                <w:rFonts w:ascii="Liberation Sans" w:hAnsi="Liberation Sans"/>
                <w:b w:val="0"/>
                <w:color w:val="42404C"/>
                <w:sz w:val="17"/>
              </w:rPr>
              <w:t>HLPF, nationale Strategien, Berichte</w:t>
            </w:r>
          </w:p>
        </w:tc>
        <w:tc>
          <w:tcPr>
            <w:tcW w:type="dxa" w:w="3572"/>
            <w:vAlign w:val="top"/>
          </w:tcPr>
          <w:p>
            <w:pPr>
              <w:spacing w:after="0"/>
            </w:pPr>
            <w:r/>
            <w:r>
              <w:rPr>
                <w:rFonts w:ascii="Liberation Sans" w:hAnsi="Liberation Sans"/>
                <w:b w:val="0"/>
                <w:color w:val="42404C"/>
                <w:sz w:val="17"/>
              </w:rPr>
              <w:t>Lernende Governance statt einmaliger Beschluss</w:t>
            </w:r>
          </w:p>
        </w:tc>
      </w:tr>
    </w:tbl>
    <w:p/>
    <w:p>
      <w:pPr>
        <w:pStyle w:val="Heading1"/>
      </w:pPr>
      <w:r>
        <w:t>11. Warum die SDGs nicht parteiideologisch eng sind</w:t>
      </w:r>
    </w:p>
    <w:p>
      <w:r>
        <w:t>Die SDGs sind nicht ideologiefrei im Sinne von wertfrei. Sie enthalten klare normative Ziele: Armut verringern, Hunger bekämpfen, Gesundheit verbessern, Bildung sichern, Gleichstellung stärken, Klima schützen, Institutionen stabilisieren. Das sind Werte. Sie sind aber nicht parteiideologisch eng, weil sie keine einzige Wirtschafts-, Regierungs- oder Gesellschaftsform vorschreiben.</w:t>
      </w:r>
    </w:p>
    <w:p>
      <w:r>
        <w:t>Demokratien, Monarchien, autoritäre Staaten, Marktwirtschaften, Mischsysteme und planwirtschaftlich geprägte Staaten konnten dem Zielrahmen zustimmen, weil die SDGs Zielzustände definieren, nicht einen einzigen Weg. Genau darin liegt ihre politische Stärke.</w:t>
      </w:r>
    </w:p>
    <w:p>
      <w:r>
        <w:t>Für die Website ist diese Unterscheidung wichtig: „Ideologiefrei“ darf nicht bedeuten, dass die SDGs neutral gegenüber Leid, Armut, Klimaschäden oder Rechtsstaatszerfall wären. Es bedeutet: Sie sind kein enger Parteicode. Sie sind ein gemeinsamer Mindestkompass für Systemstabilität.</w:t>
      </w:r>
    </w:p>
    <w:p>
      <w:pPr>
        <w:pStyle w:val="WOEKQuote"/>
      </w:pPr>
      <w:r>
        <w:t>Die SDGs sind nicht wertfrei. Aber sie sind breiter als eine Parteiideologie.</w:t>
      </w:r>
    </w:p>
    <w:p>
      <w:pPr>
        <w:pStyle w:val="Heading1"/>
      </w:pPr>
      <w:r>
        <w:t>12. SDGs als strukturierter Umgang mit realen Systemrisiken</w:t>
      </w:r>
    </w:p>
    <w:p>
      <w:r>
        <w:t>Die SDGs können als Risikokarte gelesen werden. Armut ist ein Stabilitätsrisiko. Hunger ist ein Sicherheitsrisiko. Schlechte Gesundheit ist ein Produktivitäts-, Teilhabe- und Würderisiko. Unzureichende Bildung ist ein Zukunftsrisiko. Wasserknappheit, Energieinstabilität, Klimawandel, Biodiversitätsverlust, Ungleichheit und schwache Institutionen sind keine „grünen Meinungen“, sondern reale Systembedingungen.</w:t>
      </w:r>
    </w:p>
    <w:p>
      <w:r>
        <w:t>Hier berührt die SDG-Logik die Physik komplexer Systeme: Klima, Wasser, Boden, Biodiversität, Gesundheit, Vertrauen und institutionelle Stabilität sind keine beliebig verhandelbaren Dekorationen. Sie sind Voraussetzungen dafür, dass Gesellschaften und Märkte dauerhaft funktionieren.</w:t>
      </w:r>
    </w:p>
    <w:p>
      <w:r>
        <w:t>Die Wirkungsökonomie übersetzt diese Einsicht: Wenn ein System seine Stabilitätsbedingungen nicht misst, bepreist und rückkoppelt, produziert es Scheinwohlstand. Es kann kurzfristig wachsen und langfristig seine Grundlagen zerstören.</w:t>
      </w:r>
    </w:p>
    <w:p>
      <w:pPr>
        <w:pStyle w:val="Heading1"/>
      </w:pPr>
      <w:r>
        <w:t>13. Wirkungsökonomische Einordnung: vom Zielrahmen zur Rückkopplung</w:t>
      </w:r>
    </w:p>
    <w:p>
      <w:r>
        <w:t>Die SDGs beantworten die Frage: In welche Richtung soll Entwicklung gehen? Sie beantworten aber nicht vollständig die Frage: Wie werden Preise, Steuern, Kapital, Beschaffung, Management, Medien, Haushalte und politische Entscheidungen so verändert, dass diese Richtung praktisch wirksam wird?</w:t>
      </w:r>
    </w:p>
    <w:p>
      <w:r>
        <w:t>Genau dort setzt die Wirkungsökonomie an. Sie macht aus den SDGs keinen zusätzlichen Berichtsteil, sondern einen Bewertungsrahmen für Wirkung. Wirkung wird dann über WÖk-IDs, Scorecards, Benchmarks, T-SROI, Reverse Merit Order, Wirkungssteuern, Wirkungsfonds, Wirkungshaushalte und den Wirkungsrat in reale Entscheidungssysteme übersetzt.</w:t>
      </w:r>
    </w:p>
    <w:p>
      <w:r>
        <w:t>SDG+ ergänzt diesen Rahmen dort, wo die SDGs aus Sicht der Wirkungsökonomie nicht ausreichend präzise sind: Demokratiequalität, Medienqualität, Rechtsstaatlichkeit, Diskursfähigkeit, institutionelles Vertrauen, gesellschaftlicher Zusammenhalt und digitale Selbstbestimmung.</w:t>
      </w:r>
    </w:p>
    <w:tbl>
      <w:tblPr>
        <w:tblStyle w:val="TableGrid"/>
        <w:tblW w:type="auto" w:w="0"/>
        <w:jc w:val="center"/>
        <w:tblLook w:firstColumn="1" w:firstRow="1" w:lastColumn="0" w:lastRow="0" w:noHBand="0" w:noVBand="1" w:val="04A0"/>
      </w:tblPr>
      <w:tblGrid>
        <w:gridCol w:w="3324"/>
        <w:gridCol w:w="3324"/>
        <w:gridCol w:w="3324"/>
      </w:tblGrid>
      <w:tr>
        <w:tc>
          <w:tcPr>
            <w:tcW w:type="dxa" w:w="1814"/>
            <w:vAlign w:val="top"/>
            <w:shd w:fill="F3EFE6"/>
          </w:tcPr>
          <w:p>
            <w:pPr>
              <w:spacing w:after="0"/>
            </w:pPr>
            <w:r/>
            <w:r>
              <w:rPr>
                <w:rFonts w:ascii="Liberation Sans" w:hAnsi="Liberation Sans"/>
                <w:b/>
                <w:color w:val="080120"/>
                <w:sz w:val="17"/>
              </w:rPr>
              <w:t>SDG-Ebene</w:t>
            </w:r>
          </w:p>
        </w:tc>
        <w:tc>
          <w:tcPr>
            <w:tcW w:type="dxa" w:w="3118"/>
            <w:vAlign w:val="top"/>
            <w:shd w:fill="F3EFE6"/>
          </w:tcPr>
          <w:p>
            <w:pPr>
              <w:spacing w:after="0"/>
            </w:pPr>
            <w:r/>
            <w:r>
              <w:rPr>
                <w:rFonts w:ascii="Liberation Sans" w:hAnsi="Liberation Sans"/>
                <w:b/>
                <w:color w:val="080120"/>
                <w:sz w:val="17"/>
              </w:rPr>
              <w:t>Was sie leistet</w:t>
            </w:r>
          </w:p>
        </w:tc>
        <w:tc>
          <w:tcPr>
            <w:tcW w:type="dxa" w:w="3855"/>
            <w:vAlign w:val="top"/>
            <w:shd w:fill="F3EFE6"/>
          </w:tcPr>
          <w:p>
            <w:pPr>
              <w:spacing w:after="0"/>
            </w:pPr>
            <w:r/>
            <w:r>
              <w:rPr>
                <w:rFonts w:ascii="Liberation Sans" w:hAnsi="Liberation Sans"/>
                <w:b/>
                <w:color w:val="080120"/>
                <w:sz w:val="17"/>
              </w:rPr>
              <w:t>WÖk-Erweiterung</w:t>
            </w:r>
          </w:p>
        </w:tc>
      </w:tr>
      <w:tr>
        <w:tc>
          <w:tcPr>
            <w:tcW w:type="dxa" w:w="1814"/>
            <w:vAlign w:val="top"/>
          </w:tcPr>
          <w:p>
            <w:pPr>
              <w:spacing w:after="0"/>
            </w:pPr>
            <w:r/>
            <w:r>
              <w:rPr>
                <w:rFonts w:ascii="Liberation Sans" w:hAnsi="Liberation Sans"/>
                <w:b w:val="0"/>
                <w:color w:val="42404C"/>
                <w:sz w:val="17"/>
              </w:rPr>
              <w:t>Ziele</w:t>
            </w:r>
          </w:p>
        </w:tc>
        <w:tc>
          <w:tcPr>
            <w:tcW w:type="dxa" w:w="3118"/>
            <w:vAlign w:val="top"/>
          </w:tcPr>
          <w:p>
            <w:pPr>
              <w:spacing w:after="0"/>
            </w:pPr>
            <w:r/>
            <w:r>
              <w:rPr>
                <w:rFonts w:ascii="Liberation Sans" w:hAnsi="Liberation Sans"/>
                <w:b w:val="0"/>
                <w:color w:val="42404C"/>
                <w:sz w:val="17"/>
              </w:rPr>
              <w:t>Richtung und Zielräume</w:t>
            </w:r>
          </w:p>
        </w:tc>
        <w:tc>
          <w:tcPr>
            <w:tcW w:type="dxa" w:w="3855"/>
            <w:vAlign w:val="top"/>
          </w:tcPr>
          <w:p>
            <w:pPr>
              <w:spacing w:after="0"/>
            </w:pPr>
            <w:r/>
            <w:r>
              <w:rPr>
                <w:rFonts w:ascii="Liberation Sans" w:hAnsi="Liberation Sans"/>
                <w:b w:val="0"/>
                <w:color w:val="42404C"/>
                <w:sz w:val="17"/>
              </w:rPr>
              <w:t>Wirkungsbewertung nach Mensch, Planet, Demokratie</w:t>
            </w:r>
          </w:p>
        </w:tc>
      </w:tr>
      <w:tr>
        <w:tc>
          <w:tcPr>
            <w:tcW w:type="dxa" w:w="1814"/>
            <w:vAlign w:val="top"/>
          </w:tcPr>
          <w:p>
            <w:pPr>
              <w:spacing w:after="0"/>
            </w:pPr>
            <w:r/>
            <w:r>
              <w:rPr>
                <w:rFonts w:ascii="Liberation Sans" w:hAnsi="Liberation Sans"/>
                <w:b w:val="0"/>
                <w:color w:val="42404C"/>
                <w:sz w:val="17"/>
              </w:rPr>
              <w:t>Unterziele</w:t>
            </w:r>
          </w:p>
        </w:tc>
        <w:tc>
          <w:tcPr>
            <w:tcW w:type="dxa" w:w="3118"/>
            <w:vAlign w:val="top"/>
          </w:tcPr>
          <w:p>
            <w:pPr>
              <w:spacing w:after="0"/>
            </w:pPr>
            <w:r/>
            <w:r>
              <w:rPr>
                <w:rFonts w:ascii="Liberation Sans" w:hAnsi="Liberation Sans"/>
                <w:b w:val="0"/>
                <w:color w:val="42404C"/>
                <w:sz w:val="17"/>
              </w:rPr>
              <w:t>Konkretere Zielzustände</w:t>
            </w:r>
          </w:p>
        </w:tc>
        <w:tc>
          <w:tcPr>
            <w:tcW w:type="dxa" w:w="3855"/>
            <w:vAlign w:val="top"/>
          </w:tcPr>
          <w:p>
            <w:pPr>
              <w:spacing w:after="0"/>
            </w:pPr>
            <w:r/>
            <w:r>
              <w:rPr>
                <w:rFonts w:ascii="Liberation Sans" w:hAnsi="Liberation Sans"/>
                <w:b w:val="0"/>
                <w:color w:val="42404C"/>
                <w:sz w:val="17"/>
              </w:rPr>
              <w:t>WÖk-ID- und Indikatorfamilien</w:t>
            </w:r>
          </w:p>
        </w:tc>
      </w:tr>
      <w:tr>
        <w:tc>
          <w:tcPr>
            <w:tcW w:type="dxa" w:w="1814"/>
            <w:vAlign w:val="top"/>
          </w:tcPr>
          <w:p>
            <w:pPr>
              <w:spacing w:after="0"/>
            </w:pPr>
            <w:r/>
            <w:r>
              <w:rPr>
                <w:rFonts w:ascii="Liberation Sans" w:hAnsi="Liberation Sans"/>
                <w:b w:val="0"/>
                <w:color w:val="42404C"/>
                <w:sz w:val="17"/>
              </w:rPr>
              <w:t>Indikatoren</w:t>
            </w:r>
          </w:p>
        </w:tc>
        <w:tc>
          <w:tcPr>
            <w:tcW w:type="dxa" w:w="3118"/>
            <w:vAlign w:val="top"/>
          </w:tcPr>
          <w:p>
            <w:pPr>
              <w:spacing w:after="0"/>
            </w:pPr>
            <w:r/>
            <w:r>
              <w:rPr>
                <w:rFonts w:ascii="Liberation Sans" w:hAnsi="Liberation Sans"/>
                <w:b w:val="0"/>
                <w:color w:val="42404C"/>
                <w:sz w:val="17"/>
              </w:rPr>
              <w:t>Monitoring und Vergleichbarkeit</w:t>
            </w:r>
          </w:p>
        </w:tc>
        <w:tc>
          <w:tcPr>
            <w:tcW w:type="dxa" w:w="3855"/>
            <w:vAlign w:val="top"/>
          </w:tcPr>
          <w:p>
            <w:pPr>
              <w:spacing w:after="0"/>
            </w:pPr>
            <w:r/>
            <w:r>
              <w:rPr>
                <w:rFonts w:ascii="Liberation Sans" w:hAnsi="Liberation Sans"/>
                <w:b w:val="0"/>
                <w:color w:val="42404C"/>
                <w:sz w:val="17"/>
              </w:rPr>
              <w:t>Scorecards, Benchmarks, Datenqualität</w:t>
            </w:r>
          </w:p>
        </w:tc>
      </w:tr>
      <w:tr>
        <w:tc>
          <w:tcPr>
            <w:tcW w:type="dxa" w:w="1814"/>
            <w:vAlign w:val="top"/>
          </w:tcPr>
          <w:p>
            <w:pPr>
              <w:spacing w:after="0"/>
            </w:pPr>
            <w:r/>
            <w:r>
              <w:rPr>
                <w:rFonts w:ascii="Liberation Sans" w:hAnsi="Liberation Sans"/>
                <w:b w:val="0"/>
                <w:color w:val="42404C"/>
                <w:sz w:val="17"/>
              </w:rPr>
              <w:t>Umsetzung</w:t>
            </w:r>
          </w:p>
        </w:tc>
        <w:tc>
          <w:tcPr>
            <w:tcW w:type="dxa" w:w="3118"/>
            <w:vAlign w:val="top"/>
          </w:tcPr>
          <w:p>
            <w:pPr>
              <w:spacing w:after="0"/>
            </w:pPr>
            <w:r/>
            <w:r>
              <w:rPr>
                <w:rFonts w:ascii="Liberation Sans" w:hAnsi="Liberation Sans"/>
                <w:b w:val="0"/>
                <w:color w:val="42404C"/>
                <w:sz w:val="17"/>
              </w:rPr>
              <w:t>Nationale Strategien</w:t>
            </w:r>
          </w:p>
        </w:tc>
        <w:tc>
          <w:tcPr>
            <w:tcW w:type="dxa" w:w="3855"/>
            <w:vAlign w:val="top"/>
          </w:tcPr>
          <w:p>
            <w:pPr>
              <w:spacing w:after="0"/>
            </w:pPr>
            <w:r/>
            <w:r>
              <w:rPr>
                <w:rFonts w:ascii="Liberation Sans" w:hAnsi="Liberation Sans"/>
                <w:b w:val="0"/>
                <w:color w:val="42404C"/>
                <w:sz w:val="17"/>
              </w:rPr>
              <w:t>Preise, Steuern, Kapitalzugang, Beschaffung, Haushalte</w:t>
            </w:r>
          </w:p>
        </w:tc>
      </w:tr>
      <w:tr>
        <w:tc>
          <w:tcPr>
            <w:tcW w:type="dxa" w:w="1814"/>
            <w:vAlign w:val="top"/>
          </w:tcPr>
          <w:p>
            <w:pPr>
              <w:spacing w:after="0"/>
            </w:pPr>
            <w:r/>
            <w:r>
              <w:rPr>
                <w:rFonts w:ascii="Liberation Sans" w:hAnsi="Liberation Sans"/>
                <w:b w:val="0"/>
                <w:color w:val="42404C"/>
                <w:sz w:val="17"/>
              </w:rPr>
              <w:t>Lücken</w:t>
            </w:r>
          </w:p>
        </w:tc>
        <w:tc>
          <w:tcPr>
            <w:tcW w:type="dxa" w:w="3118"/>
            <w:vAlign w:val="top"/>
          </w:tcPr>
          <w:p>
            <w:pPr>
              <w:spacing w:after="0"/>
            </w:pPr>
            <w:r/>
            <w:r>
              <w:rPr>
                <w:rFonts w:ascii="Liberation Sans" w:hAnsi="Liberation Sans"/>
                <w:b w:val="0"/>
                <w:color w:val="42404C"/>
                <w:sz w:val="17"/>
              </w:rPr>
              <w:t>Demokratie/Medien/Digitales teils nur indirekt</w:t>
            </w:r>
          </w:p>
        </w:tc>
        <w:tc>
          <w:tcPr>
            <w:tcW w:type="dxa" w:w="3855"/>
            <w:vAlign w:val="top"/>
          </w:tcPr>
          <w:p>
            <w:pPr>
              <w:spacing w:after="0"/>
            </w:pPr>
            <w:r/>
            <w:r>
              <w:rPr>
                <w:rFonts w:ascii="Liberation Sans" w:hAnsi="Liberation Sans"/>
                <w:b w:val="0"/>
                <w:color w:val="42404C"/>
                <w:sz w:val="17"/>
              </w:rPr>
              <w:t>SDG+ als transparente WÖk-Erweiterung</w:t>
            </w:r>
          </w:p>
        </w:tc>
      </w:tr>
    </w:tbl>
    <w:p/>
    <w:p>
      <w:pPr>
        <w:pStyle w:val="Heading1"/>
      </w:pPr>
      <w:r>
        <w:t>14. Europa und Deutschland: Übersetzung in Monitoring und Strategie</w:t>
      </w:r>
    </w:p>
    <w:p>
      <w:r>
        <w:t>In Europa wird der SDG-Rahmen durch Eurostat-Monitoring, EU-Politiken und Nachhaltigkeitsberichte übersetzt. In Deutschland erfolgt die nationale Umsetzung insbesondere über die Deutsche Nachhaltigkeitsstrategie und das Indikatorensystem. Dadurch entstehen Daten und politische Bezugspunkte, die auf der Website nicht nur verlinkt, sondern erklärt werden sollten.</w:t>
      </w:r>
    </w:p>
    <w:p>
      <w:r>
        <w:t>Diese nationale Übersetzung ist wichtig, weil die SDGs global formuliert sind. Ein Unterziel zu Armut, Energie, Wasser oder Bildung bedeutet in Deutschland etwas anderes als in einem Land ohne Grundversorgung. Die Zielrichtung bleibt global, aber die Wirkungsprobleme unterscheiden sich.</w:t>
      </w:r>
    </w:p>
    <w:p>
      <w:r>
        <w:t>Wirkungsökonomisch heißt das: Die Website muss bei jedem SDG zeigen, was global gemeint ist, was es in Europa/Deutschland bedeutet und wie daraus WÖk-Indikatoren, Scorecards, Tools oder politische Aufgaben entstehen.</w:t>
      </w:r>
    </w:p>
    <w:p>
      <w:pPr>
        <w:pStyle w:val="Heading1"/>
      </w:pPr>
      <w:r>
        <w:t>15. Missverständnisse, Verschwörungsnarrative und seriöse Kritik</w:t>
      </w:r>
    </w:p>
    <w:p>
      <w:r>
        <w:t>Die SDGs werden gelegentlich als geheimes globales Steuerungsprogramm missverstanden. Solche Narrative verwechseln Zielkoordination mit Herrschaft. Die Agenda 2030 schafft keinen globalen Zwangsapparat, sondern einen gemeinsamen Zielrahmen, der national übersetzt wird.</w:t>
      </w:r>
    </w:p>
    <w:p>
      <w:r>
        <w:t>Gleichzeitig gibt es berechtigte Kritik: Die SDGs sind sehr breit, Zielkonflikte sind real, viele Indikatoren sind statistisch schwierig, und ohne konkrete Rückkopplung bleiben Ziele symbolisch. Auch kann SDG-Washing entstehen, wenn Unternehmen oder Politik einzelne Ziele kommunikativ nutzen, ohne reale Wirkung zu erzeugen.</w:t>
      </w:r>
    </w:p>
    <w:p>
      <w:r>
        <w:t>Die Wirkungsökonomie nimmt diese Kritik ernst. Sie antwortet nicht mit noch mehr Symbolik, sondern mit Rückkopplung, Datenqualität, Nichtkompensation, Wirkungspfaden, Wirkungsrat, politischer Anschlussfähigkeit und demokratischer Korrektur.</w:t>
      </w:r>
    </w:p>
    <w:tbl>
      <w:tblPr>
        <w:tblStyle w:val="TableGrid"/>
        <w:tblW w:type="auto" w:w="0"/>
        <w:jc w:val="center"/>
        <w:tblLook w:firstColumn="1" w:firstRow="1" w:lastColumn="0" w:lastRow="0" w:noHBand="0" w:noVBand="1" w:val="04A0"/>
      </w:tblPr>
      <w:tblGrid>
        <w:gridCol w:w="3324"/>
        <w:gridCol w:w="3324"/>
        <w:gridCol w:w="3324"/>
      </w:tblGrid>
      <w:tr>
        <w:tc>
          <w:tcPr>
            <w:tcW w:type="dxa" w:w="2551"/>
            <w:vAlign w:val="top"/>
            <w:shd w:fill="F3EFE6"/>
          </w:tcPr>
          <w:p>
            <w:pPr>
              <w:spacing w:after="0"/>
            </w:pPr>
            <w:r/>
            <w:r>
              <w:rPr>
                <w:rFonts w:ascii="Liberation Sans" w:hAnsi="Liberation Sans"/>
                <w:b/>
                <w:color w:val="080120"/>
                <w:sz w:val="17"/>
              </w:rPr>
              <w:t>Missverständnis / Kritik</w:t>
            </w:r>
          </w:p>
        </w:tc>
        <w:tc>
          <w:tcPr>
            <w:tcW w:type="dxa" w:w="3118"/>
            <w:vAlign w:val="top"/>
            <w:shd w:fill="F3EFE6"/>
          </w:tcPr>
          <w:p>
            <w:pPr>
              <w:spacing w:after="0"/>
            </w:pPr>
            <w:r/>
            <w:r>
              <w:rPr>
                <w:rFonts w:ascii="Liberation Sans" w:hAnsi="Liberation Sans"/>
                <w:b/>
                <w:color w:val="080120"/>
                <w:sz w:val="17"/>
              </w:rPr>
              <w:t>Einordnung</w:t>
            </w:r>
          </w:p>
        </w:tc>
        <w:tc>
          <w:tcPr>
            <w:tcW w:type="dxa" w:w="3402"/>
            <w:vAlign w:val="top"/>
            <w:shd w:fill="F3EFE6"/>
          </w:tcPr>
          <w:p>
            <w:pPr>
              <w:spacing w:after="0"/>
            </w:pPr>
            <w:r/>
            <w:r>
              <w:rPr>
                <w:rFonts w:ascii="Liberation Sans" w:hAnsi="Liberation Sans"/>
                <w:b/>
                <w:color w:val="080120"/>
                <w:sz w:val="17"/>
              </w:rPr>
              <w:t>WÖk-Antwort</w:t>
            </w:r>
          </w:p>
        </w:tc>
      </w:tr>
      <w:tr>
        <w:tc>
          <w:tcPr>
            <w:tcW w:type="dxa" w:w="2551"/>
            <w:vAlign w:val="top"/>
          </w:tcPr>
          <w:p>
            <w:pPr>
              <w:spacing w:after="0"/>
            </w:pPr>
            <w:r/>
            <w:r>
              <w:rPr>
                <w:rFonts w:ascii="Liberation Sans" w:hAnsi="Liberation Sans"/>
                <w:b w:val="0"/>
                <w:color w:val="42404C"/>
                <w:sz w:val="17"/>
              </w:rPr>
              <w:t>„Die SDGs sind Weltregierung“</w:t>
            </w:r>
          </w:p>
        </w:tc>
        <w:tc>
          <w:tcPr>
            <w:tcW w:type="dxa" w:w="3118"/>
            <w:vAlign w:val="top"/>
          </w:tcPr>
          <w:p>
            <w:pPr>
              <w:spacing w:after="0"/>
            </w:pPr>
            <w:r/>
            <w:r>
              <w:rPr>
                <w:rFonts w:ascii="Liberation Sans" w:hAnsi="Liberation Sans"/>
                <w:b w:val="0"/>
                <w:color w:val="42404C"/>
                <w:sz w:val="17"/>
              </w:rPr>
              <w:t>Falsch: Sie sind ein politischer Zielrahmen, keine unmittelbare Weltgesetzgebung</w:t>
            </w:r>
          </w:p>
        </w:tc>
        <w:tc>
          <w:tcPr>
            <w:tcW w:type="dxa" w:w="3402"/>
            <w:vAlign w:val="top"/>
          </w:tcPr>
          <w:p>
            <w:pPr>
              <w:spacing w:after="0"/>
            </w:pPr>
            <w:r/>
            <w:r>
              <w:rPr>
                <w:rFonts w:ascii="Liberation Sans" w:hAnsi="Liberation Sans"/>
                <w:b w:val="0"/>
                <w:color w:val="42404C"/>
                <w:sz w:val="17"/>
              </w:rPr>
              <w:t>Transparente nationale und demokratische Umsetzung</w:t>
            </w:r>
          </w:p>
        </w:tc>
      </w:tr>
      <w:tr>
        <w:tc>
          <w:tcPr>
            <w:tcW w:type="dxa" w:w="2551"/>
            <w:vAlign w:val="top"/>
          </w:tcPr>
          <w:p>
            <w:pPr>
              <w:spacing w:after="0"/>
            </w:pPr>
            <w:r/>
            <w:r>
              <w:rPr>
                <w:rFonts w:ascii="Liberation Sans" w:hAnsi="Liberation Sans"/>
                <w:b w:val="0"/>
                <w:color w:val="42404C"/>
                <w:sz w:val="17"/>
              </w:rPr>
              <w:t>„Die SDGs sind grüne Ideologie“</w:t>
            </w:r>
          </w:p>
        </w:tc>
        <w:tc>
          <w:tcPr>
            <w:tcW w:type="dxa" w:w="3118"/>
            <w:vAlign w:val="top"/>
          </w:tcPr>
          <w:p>
            <w:pPr>
              <w:spacing w:after="0"/>
            </w:pPr>
            <w:r/>
            <w:r>
              <w:rPr>
                <w:rFonts w:ascii="Liberation Sans" w:hAnsi="Liberation Sans"/>
                <w:b w:val="0"/>
                <w:color w:val="42404C"/>
                <w:sz w:val="17"/>
              </w:rPr>
              <w:t>Verkürzt: Sie enthalten ökologische, soziale, ökonomische und institutionelle Ziele</w:t>
            </w:r>
          </w:p>
        </w:tc>
        <w:tc>
          <w:tcPr>
            <w:tcW w:type="dxa" w:w="3402"/>
            <w:vAlign w:val="top"/>
          </w:tcPr>
          <w:p>
            <w:pPr>
              <w:spacing w:after="0"/>
            </w:pPr>
            <w:r/>
            <w:r>
              <w:rPr>
                <w:rFonts w:ascii="Liberation Sans" w:hAnsi="Liberation Sans"/>
                <w:b w:val="0"/>
                <w:color w:val="42404C"/>
                <w:sz w:val="17"/>
              </w:rPr>
              <w:t>SDGs als Risikomanagement und Stabilitätsbedingungen erklären</w:t>
            </w:r>
          </w:p>
        </w:tc>
      </w:tr>
      <w:tr>
        <w:tc>
          <w:tcPr>
            <w:tcW w:type="dxa" w:w="2551"/>
            <w:vAlign w:val="top"/>
          </w:tcPr>
          <w:p>
            <w:pPr>
              <w:spacing w:after="0"/>
            </w:pPr>
            <w:r/>
            <w:r>
              <w:rPr>
                <w:rFonts w:ascii="Liberation Sans" w:hAnsi="Liberation Sans"/>
                <w:b w:val="0"/>
                <w:color w:val="42404C"/>
                <w:sz w:val="17"/>
              </w:rPr>
              <w:t>„Die SDGs sind zu breit“</w:t>
            </w:r>
          </w:p>
        </w:tc>
        <w:tc>
          <w:tcPr>
            <w:tcW w:type="dxa" w:w="3118"/>
            <w:vAlign w:val="top"/>
          </w:tcPr>
          <w:p>
            <w:pPr>
              <w:spacing w:after="0"/>
            </w:pPr>
            <w:r/>
            <w:r>
              <w:rPr>
                <w:rFonts w:ascii="Liberation Sans" w:hAnsi="Liberation Sans"/>
                <w:b w:val="0"/>
                <w:color w:val="42404C"/>
                <w:sz w:val="17"/>
              </w:rPr>
              <w:t>Teilweise berechtigt</w:t>
            </w:r>
          </w:p>
        </w:tc>
        <w:tc>
          <w:tcPr>
            <w:tcW w:type="dxa" w:w="3402"/>
            <w:vAlign w:val="top"/>
          </w:tcPr>
          <w:p>
            <w:pPr>
              <w:spacing w:after="0"/>
            </w:pPr>
            <w:r/>
            <w:r>
              <w:rPr>
                <w:rFonts w:ascii="Liberation Sans" w:hAnsi="Liberation Sans"/>
                <w:b w:val="0"/>
                <w:color w:val="42404C"/>
                <w:sz w:val="17"/>
              </w:rPr>
              <w:t>WÖk schafft Priorisierung über Wirkung, Risiken und Engpässe</w:t>
            </w:r>
          </w:p>
        </w:tc>
      </w:tr>
      <w:tr>
        <w:tc>
          <w:tcPr>
            <w:tcW w:type="dxa" w:w="2551"/>
            <w:vAlign w:val="top"/>
          </w:tcPr>
          <w:p>
            <w:pPr>
              <w:spacing w:after="0"/>
            </w:pPr>
            <w:r/>
            <w:r>
              <w:rPr>
                <w:rFonts w:ascii="Liberation Sans" w:hAnsi="Liberation Sans"/>
                <w:b w:val="0"/>
                <w:color w:val="42404C"/>
                <w:sz w:val="17"/>
              </w:rPr>
              <w:t>„SDG-Washing“</w:t>
            </w:r>
          </w:p>
        </w:tc>
        <w:tc>
          <w:tcPr>
            <w:tcW w:type="dxa" w:w="3118"/>
            <w:vAlign w:val="top"/>
          </w:tcPr>
          <w:p>
            <w:pPr>
              <w:spacing w:after="0"/>
            </w:pPr>
            <w:r/>
            <w:r>
              <w:rPr>
                <w:rFonts w:ascii="Liberation Sans" w:hAnsi="Liberation Sans"/>
                <w:b w:val="0"/>
                <w:color w:val="42404C"/>
                <w:sz w:val="17"/>
              </w:rPr>
              <w:t>Reales Risiko</w:t>
            </w:r>
          </w:p>
        </w:tc>
        <w:tc>
          <w:tcPr>
            <w:tcW w:type="dxa" w:w="3402"/>
            <w:vAlign w:val="top"/>
          </w:tcPr>
          <w:p>
            <w:pPr>
              <w:spacing w:after="0"/>
            </w:pPr>
            <w:r/>
            <w:r>
              <w:rPr>
                <w:rFonts w:ascii="Liberation Sans" w:hAnsi="Liberation Sans"/>
                <w:b w:val="0"/>
                <w:color w:val="42404C"/>
                <w:sz w:val="17"/>
              </w:rPr>
              <w:t>Reverse Merit Order, Datenprüfung, Wirkungsrat und Online-Volltexte</w:t>
            </w:r>
          </w:p>
        </w:tc>
      </w:tr>
    </w:tbl>
    <w:p/>
    <w:p>
      <w:pPr>
        <w:pStyle w:val="Heading1"/>
      </w:pPr>
      <w:r>
        <w:t>16. Website- und Portalintegration</w:t>
      </w:r>
    </w:p>
    <w:p>
      <w:r>
        <w:t>Die SDG-/SDG+-Seite sollte diese Geschichte nicht als Nebensatz behandeln. Sie braucht eine eigene Unterseite oder einen vollwertigen Abschnitt „Geschichte der SDGs und Agenda 2030“. Dort sollten Timeline, Vorläufer, Verhandlungsprozess, politische Bedeutung, Missverständnisse und wirkungsökonomische Einordnung sichtbar sein.</w:t>
      </w:r>
    </w:p>
    <w:p>
      <w:r>
        <w:t>Auf der Hauptseite sollte zusätzlich eine kurze Infobox erscheinen: Was sind die SDGs? Was ist die Agenda 2030? Woher kommen sie? Was bedeutet der UN-Beschluss? Warum nutzt die Wirkungsökonomie sie als Referenzrahmen?</w:t>
      </w:r>
    </w:p>
    <w:p>
      <w:r>
        <w:t>Die Detailseite sollte mit der SDG-Unterzielmatrix, SDG+, Glossar, Online-Buch, WÖk-IDs und allen Wirkungsfeldern verlinkt werden. Sie dient als argumentative Grundlage gegen oberflächliche oder ideologische Fehlinterpretationen.</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top"/>
            <w:shd w:fill="F3EFE6"/>
          </w:tcPr>
          <w:p>
            <w:pPr>
              <w:spacing w:after="0"/>
            </w:pPr>
            <w:r/>
            <w:r>
              <w:rPr>
                <w:rFonts w:ascii="Liberation Sans" w:hAnsi="Liberation Sans"/>
                <w:b/>
                <w:color w:val="080120"/>
                <w:sz w:val="17"/>
              </w:rPr>
              <w:t>Website-Element</w:t>
            </w:r>
          </w:p>
        </w:tc>
        <w:tc>
          <w:tcPr>
            <w:tcW w:type="dxa" w:w="3969"/>
            <w:vAlign w:val="top"/>
            <w:shd w:fill="F3EFE6"/>
          </w:tcPr>
          <w:p>
            <w:pPr>
              <w:spacing w:after="0"/>
            </w:pPr>
            <w:r/>
            <w:r>
              <w:rPr>
                <w:rFonts w:ascii="Liberation Sans" w:hAnsi="Liberation Sans"/>
                <w:b/>
                <w:color w:val="080120"/>
                <w:sz w:val="17"/>
              </w:rPr>
              <w:t>Inhalt</w:t>
            </w:r>
          </w:p>
        </w:tc>
        <w:tc>
          <w:tcPr>
            <w:tcW w:type="dxa" w:w="2721"/>
            <w:vAlign w:val="top"/>
            <w:shd w:fill="F3EFE6"/>
          </w:tcPr>
          <w:p>
            <w:pPr>
              <w:spacing w:after="0"/>
            </w:pPr>
            <w:r/>
            <w:r>
              <w:rPr>
                <w:rFonts w:ascii="Liberation Sans" w:hAnsi="Liberation Sans"/>
                <w:b/>
                <w:color w:val="080120"/>
                <w:sz w:val="17"/>
              </w:rPr>
              <w:t>Hinweis</w:t>
            </w:r>
          </w:p>
        </w:tc>
      </w:tr>
      <w:tr>
        <w:tc>
          <w:tcPr>
            <w:tcW w:type="dxa" w:w="2268"/>
            <w:vAlign w:val="top"/>
          </w:tcPr>
          <w:p>
            <w:pPr>
              <w:spacing w:after="0"/>
            </w:pPr>
            <w:r/>
            <w:r>
              <w:rPr>
                <w:rFonts w:ascii="Liberation Sans" w:hAnsi="Liberation Sans"/>
                <w:b w:val="0"/>
                <w:color w:val="42404C"/>
                <w:sz w:val="17"/>
              </w:rPr>
              <w:t>Kurzinfobox</w:t>
            </w:r>
          </w:p>
        </w:tc>
        <w:tc>
          <w:tcPr>
            <w:tcW w:type="dxa" w:w="3969"/>
            <w:vAlign w:val="top"/>
          </w:tcPr>
          <w:p>
            <w:pPr>
              <w:spacing w:after="0"/>
            </w:pPr>
            <w:r/>
            <w:r>
              <w:rPr>
                <w:rFonts w:ascii="Liberation Sans" w:hAnsi="Liberation Sans"/>
                <w:b w:val="0"/>
                <w:color w:val="42404C"/>
                <w:sz w:val="17"/>
              </w:rPr>
              <w:t>SDGs, Agenda 2030, 17 Ziele, 169 Unterziele, UN-Beschluss 2015</w:t>
            </w:r>
          </w:p>
        </w:tc>
        <w:tc>
          <w:tcPr>
            <w:tcW w:type="dxa" w:w="2721"/>
            <w:vAlign w:val="top"/>
          </w:tcPr>
          <w:p>
            <w:pPr>
              <w:spacing w:after="0"/>
            </w:pPr>
            <w:r/>
            <w:r>
              <w:rPr>
                <w:rFonts w:ascii="Liberation Sans" w:hAnsi="Liberation Sans"/>
                <w:b w:val="0"/>
                <w:color w:val="42404C"/>
                <w:sz w:val="17"/>
              </w:rPr>
              <w:t>Auf Hauptseite sichtbar</w:t>
            </w:r>
          </w:p>
        </w:tc>
      </w:tr>
      <w:tr>
        <w:tc>
          <w:tcPr>
            <w:tcW w:type="dxa" w:w="2268"/>
            <w:vAlign w:val="top"/>
          </w:tcPr>
          <w:p>
            <w:pPr>
              <w:spacing w:after="0"/>
            </w:pPr>
            <w:r/>
            <w:r>
              <w:rPr>
                <w:rFonts w:ascii="Liberation Sans" w:hAnsi="Liberation Sans"/>
                <w:b w:val="0"/>
                <w:color w:val="42404C"/>
                <w:sz w:val="17"/>
              </w:rPr>
              <w:t>Timeline</w:t>
            </w:r>
          </w:p>
        </w:tc>
        <w:tc>
          <w:tcPr>
            <w:tcW w:type="dxa" w:w="3969"/>
            <w:vAlign w:val="top"/>
          </w:tcPr>
          <w:p>
            <w:pPr>
              <w:spacing w:after="0"/>
            </w:pPr>
            <w:r/>
            <w:r>
              <w:rPr>
                <w:rFonts w:ascii="Liberation Sans" w:hAnsi="Liberation Sans"/>
                <w:b w:val="0"/>
                <w:color w:val="42404C"/>
                <w:sz w:val="17"/>
              </w:rPr>
              <w:t>Stockholm, Brundtland, Rio, MDGs, Rio+20, OWG, 2015</w:t>
            </w:r>
          </w:p>
        </w:tc>
        <w:tc>
          <w:tcPr>
            <w:tcW w:type="dxa" w:w="2721"/>
            <w:vAlign w:val="top"/>
          </w:tcPr>
          <w:p>
            <w:pPr>
              <w:spacing w:after="0"/>
            </w:pPr>
            <w:r/>
            <w:r>
              <w:rPr>
                <w:rFonts w:ascii="Liberation Sans" w:hAnsi="Liberation Sans"/>
                <w:b w:val="0"/>
                <w:color w:val="42404C"/>
                <w:sz w:val="17"/>
              </w:rPr>
              <w:t>Interaktiv oder als Karten</w:t>
            </w:r>
          </w:p>
        </w:tc>
      </w:tr>
      <w:tr>
        <w:tc>
          <w:tcPr>
            <w:tcW w:type="dxa" w:w="2268"/>
            <w:vAlign w:val="top"/>
          </w:tcPr>
          <w:p>
            <w:pPr>
              <w:spacing w:after="0"/>
            </w:pPr>
            <w:r/>
            <w:r>
              <w:rPr>
                <w:rFonts w:ascii="Liberation Sans" w:hAnsi="Liberation Sans"/>
                <w:b w:val="0"/>
                <w:color w:val="42404C"/>
                <w:sz w:val="17"/>
              </w:rPr>
              <w:t>FAQ</w:t>
            </w:r>
          </w:p>
        </w:tc>
        <w:tc>
          <w:tcPr>
            <w:tcW w:type="dxa" w:w="3969"/>
            <w:vAlign w:val="top"/>
          </w:tcPr>
          <w:p>
            <w:pPr>
              <w:spacing w:after="0"/>
            </w:pPr>
            <w:r/>
            <w:r>
              <w:rPr>
                <w:rFonts w:ascii="Liberation Sans" w:hAnsi="Liberation Sans"/>
                <w:b w:val="0"/>
                <w:color w:val="42404C"/>
                <w:sz w:val="17"/>
              </w:rPr>
              <w:t>Ist das ideologisch? Ist das bindendes Recht? Was heißt SDG+?</w:t>
            </w:r>
          </w:p>
        </w:tc>
        <w:tc>
          <w:tcPr>
            <w:tcW w:type="dxa" w:w="2721"/>
            <w:vAlign w:val="top"/>
          </w:tcPr>
          <w:p>
            <w:pPr>
              <w:spacing w:after="0"/>
            </w:pPr>
            <w:r/>
            <w:r>
              <w:rPr>
                <w:rFonts w:ascii="Liberation Sans" w:hAnsi="Liberation Sans"/>
                <w:b w:val="0"/>
                <w:color w:val="42404C"/>
                <w:sz w:val="17"/>
              </w:rPr>
              <w:t>Für Vertrauensaufbau wichtig</w:t>
            </w:r>
          </w:p>
        </w:tc>
      </w:tr>
      <w:tr>
        <w:tc>
          <w:tcPr>
            <w:tcW w:type="dxa" w:w="2268"/>
            <w:vAlign w:val="top"/>
          </w:tcPr>
          <w:p>
            <w:pPr>
              <w:spacing w:after="0"/>
            </w:pPr>
            <w:r/>
            <w:r>
              <w:rPr>
                <w:rFonts w:ascii="Liberation Sans" w:hAnsi="Liberation Sans"/>
                <w:b w:val="0"/>
                <w:color w:val="42404C"/>
                <w:sz w:val="17"/>
              </w:rPr>
              <w:t>Quellenblock</w:t>
            </w:r>
          </w:p>
        </w:tc>
        <w:tc>
          <w:tcPr>
            <w:tcW w:type="dxa" w:w="3969"/>
            <w:vAlign w:val="top"/>
          </w:tcPr>
          <w:p>
            <w:pPr>
              <w:spacing w:after="0"/>
            </w:pPr>
            <w:r/>
            <w:r>
              <w:rPr>
                <w:rFonts w:ascii="Liberation Sans" w:hAnsi="Liberation Sans"/>
                <w:b w:val="0"/>
                <w:color w:val="42404C"/>
                <w:sz w:val="17"/>
              </w:rPr>
              <w:t>UN, Eurostat, Bundesregierung, Destatis</w:t>
            </w:r>
          </w:p>
        </w:tc>
        <w:tc>
          <w:tcPr>
            <w:tcW w:type="dxa" w:w="2721"/>
            <w:vAlign w:val="top"/>
          </w:tcPr>
          <w:p>
            <w:pPr>
              <w:spacing w:after="0"/>
            </w:pPr>
            <w:r/>
            <w:r>
              <w:rPr>
                <w:rFonts w:ascii="Liberation Sans" w:hAnsi="Liberation Sans"/>
                <w:b w:val="0"/>
                <w:color w:val="42404C"/>
                <w:sz w:val="17"/>
              </w:rPr>
              <w:t>Offizielle Links priorisieren</w:t>
            </w:r>
          </w:p>
        </w:tc>
      </w:tr>
      <w:tr>
        <w:tc>
          <w:tcPr>
            <w:tcW w:type="dxa" w:w="2268"/>
            <w:vAlign w:val="top"/>
          </w:tcPr>
          <w:p>
            <w:pPr>
              <w:spacing w:after="0"/>
            </w:pPr>
            <w:r/>
            <w:r>
              <w:rPr>
                <w:rFonts w:ascii="Liberation Sans" w:hAnsi="Liberation Sans"/>
                <w:b w:val="0"/>
                <w:color w:val="42404C"/>
                <w:sz w:val="17"/>
              </w:rPr>
              <w:t>WÖk-Block</w:t>
            </w:r>
          </w:p>
        </w:tc>
        <w:tc>
          <w:tcPr>
            <w:tcW w:type="dxa" w:w="3969"/>
            <w:vAlign w:val="top"/>
          </w:tcPr>
          <w:p>
            <w:pPr>
              <w:spacing w:after="0"/>
            </w:pPr>
            <w:r/>
            <w:r>
              <w:rPr>
                <w:rFonts w:ascii="Liberation Sans" w:hAnsi="Liberation Sans"/>
                <w:b w:val="0"/>
                <w:color w:val="42404C"/>
                <w:sz w:val="17"/>
              </w:rPr>
              <w:t>Warum SDGs Referenzrahmen, aber nicht Mechanik sind</w:t>
            </w:r>
          </w:p>
        </w:tc>
        <w:tc>
          <w:tcPr>
            <w:tcW w:type="dxa" w:w="2721"/>
            <w:vAlign w:val="top"/>
          </w:tcPr>
          <w:p>
            <w:pPr>
              <w:spacing w:after="0"/>
            </w:pPr>
            <w:r/>
            <w:r>
              <w:rPr>
                <w:rFonts w:ascii="Liberation Sans" w:hAnsi="Liberation Sans"/>
                <w:b w:val="0"/>
                <w:color w:val="42404C"/>
                <w:sz w:val="17"/>
              </w:rPr>
              <w:t>Brücke zu WÖk-IDs/Scorecards</w:t>
            </w:r>
          </w:p>
        </w:tc>
      </w:tr>
    </w:tbl>
    <w:p/>
    <w:p>
      <w:pPr>
        <w:pStyle w:val="Heading1"/>
      </w:pPr>
      <w:r>
        <w:t>17. Politische Anschlussfähigkeit und Umsetzungsoptionen</w:t>
      </w:r>
    </w:p>
    <w:p>
      <w:r>
        <w:t>Dieses Detailkonzept schreibt keine Partei auf eine bestimmte Ausgestaltung fest. Es erklärt den historischen und systemischen Referenzrahmen, innerhalb dessen unterschiedliche demokratische Umsetzungswege möglich bleiben.</w:t>
      </w:r>
    </w:p>
    <w:p>
      <w:r>
        <w:t>Politik muss entscheiden, wie SDGs und SDG+ in Gesetze, Haushalte, Beschaffung, Bildung, Wirtschaftsförderung, Städtebau, Finanzmarktregeln und internationale Kooperation übersetzt werden. Die Wirkungsökonomie liefert dafür eine Rückkopplungslogik, ersetzt aber nicht die demokratische Debatte.</w:t>
      </w:r>
    </w:p>
    <w:tbl>
      <w:tblPr>
        <w:tblStyle w:val="TableGrid"/>
        <w:tblW w:type="auto" w:w="0"/>
        <w:jc w:val="center"/>
        <w:tblLook w:firstColumn="1" w:firstRow="1" w:lastColumn="0" w:lastRow="0" w:noHBand="0" w:noVBand="1" w:val="04A0"/>
      </w:tblPr>
      <w:tblGrid>
        <w:gridCol w:w="4986"/>
        <w:gridCol w:w="4986"/>
      </w:tblGrid>
      <w:tr>
        <w:tc>
          <w:tcPr>
            <w:tcW w:type="dxa" w:w="2381"/>
            <w:vAlign w:val="top"/>
            <w:shd w:fill="F3EFE6"/>
          </w:tcPr>
          <w:p>
            <w:pPr>
              <w:spacing w:after="0"/>
            </w:pPr>
            <w:r/>
            <w:r>
              <w:rPr>
                <w:rFonts w:ascii="Liberation Sans" w:hAnsi="Liberation Sans"/>
                <w:b/>
                <w:color w:val="080120"/>
                <w:sz w:val="17"/>
              </w:rPr>
              <w:t>Ebene</w:t>
            </w:r>
          </w:p>
        </w:tc>
        <w:tc>
          <w:tcPr>
            <w:tcW w:type="dxa" w:w="6236"/>
            <w:vAlign w:val="top"/>
            <w:shd w:fill="F3EFE6"/>
          </w:tcPr>
          <w:p>
            <w:pPr>
              <w:spacing w:after="0"/>
            </w:pPr>
            <w:r/>
            <w:r>
              <w:rPr>
                <w:rFonts w:ascii="Liberation Sans" w:hAnsi="Liberation Sans"/>
                <w:b/>
                <w:color w:val="080120"/>
                <w:sz w:val="17"/>
              </w:rPr>
              <w:t>Aufgabe für Politik und Umsetzung</w:t>
            </w:r>
          </w:p>
        </w:tc>
      </w:tr>
      <w:tr>
        <w:tc>
          <w:tcPr>
            <w:tcW w:type="dxa" w:w="2381"/>
            <w:vAlign w:val="top"/>
          </w:tcPr>
          <w:p>
            <w:pPr>
              <w:spacing w:after="0"/>
            </w:pPr>
            <w:r/>
            <w:r>
              <w:rPr>
                <w:rFonts w:ascii="Liberation Sans" w:hAnsi="Liberation Sans"/>
                <w:b w:val="0"/>
                <w:color w:val="42404C"/>
                <w:sz w:val="17"/>
              </w:rPr>
              <w:t>Aufgabe der Politik</w:t>
            </w:r>
          </w:p>
        </w:tc>
        <w:tc>
          <w:tcPr>
            <w:tcW w:type="dxa" w:w="6236"/>
            <w:vAlign w:val="top"/>
          </w:tcPr>
          <w:p>
            <w:pPr>
              <w:spacing w:after="0"/>
            </w:pPr>
            <w:r/>
            <w:r>
              <w:rPr>
                <w:rFonts w:ascii="Liberation Sans" w:hAnsi="Liberation Sans"/>
                <w:b w:val="0"/>
                <w:color w:val="42404C"/>
                <w:sz w:val="17"/>
              </w:rPr>
              <w:t>SDGs als öffentlichen Zielrahmen erklären und nationale Umsetzung demokratisch verankern.</w:t>
            </w:r>
          </w:p>
        </w:tc>
      </w:tr>
      <w:tr>
        <w:tc>
          <w:tcPr>
            <w:tcW w:type="dxa" w:w="2381"/>
            <w:vAlign w:val="top"/>
          </w:tcPr>
          <w:p>
            <w:pPr>
              <w:spacing w:after="0"/>
            </w:pPr>
            <w:r/>
            <w:r>
              <w:rPr>
                <w:rFonts w:ascii="Liberation Sans" w:hAnsi="Liberation Sans"/>
                <w:b w:val="0"/>
                <w:color w:val="42404C"/>
                <w:sz w:val="17"/>
              </w:rPr>
              <w:t>Politische Rahmenbedingungen</w:t>
            </w:r>
          </w:p>
        </w:tc>
        <w:tc>
          <w:tcPr>
            <w:tcW w:type="dxa" w:w="6236"/>
            <w:vAlign w:val="top"/>
          </w:tcPr>
          <w:p>
            <w:pPr>
              <w:spacing w:after="0"/>
            </w:pPr>
            <w:r/>
            <w:r>
              <w:rPr>
                <w:rFonts w:ascii="Liberation Sans" w:hAnsi="Liberation Sans"/>
                <w:b w:val="0"/>
                <w:color w:val="42404C"/>
                <w:sz w:val="17"/>
              </w:rPr>
              <w:t>Monitoring, Datenqualität, Haushaltsbezug, öffentliche Berichte, Bildungs- und Informationsangebote schaffen.</w:t>
            </w:r>
          </w:p>
        </w:tc>
      </w:tr>
      <w:tr>
        <w:tc>
          <w:tcPr>
            <w:tcW w:type="dxa" w:w="2381"/>
            <w:vAlign w:val="top"/>
          </w:tcPr>
          <w:p>
            <w:pPr>
              <w:spacing w:after="0"/>
            </w:pPr>
            <w:r/>
            <w:r>
              <w:rPr>
                <w:rFonts w:ascii="Liberation Sans" w:hAnsi="Liberation Sans"/>
                <w:b w:val="0"/>
                <w:color w:val="42404C"/>
                <w:sz w:val="17"/>
              </w:rPr>
              <w:t>Ausgestaltungsspielraum</w:t>
            </w:r>
          </w:p>
        </w:tc>
        <w:tc>
          <w:tcPr>
            <w:tcW w:type="dxa" w:w="6236"/>
            <w:vAlign w:val="top"/>
          </w:tcPr>
          <w:p>
            <w:pPr>
              <w:spacing w:after="0"/>
            </w:pPr>
            <w:r/>
            <w:r>
              <w:rPr>
                <w:rFonts w:ascii="Liberation Sans" w:hAnsi="Liberation Sans"/>
                <w:b w:val="0"/>
                <w:color w:val="42404C"/>
                <w:sz w:val="17"/>
              </w:rPr>
              <w:t>Parteien können unterschiedliche Wege bei Tempo, Verbindlichkeit, Finanzierung, Förderung und Regulierung wählen.</w:t>
            </w:r>
          </w:p>
        </w:tc>
      </w:tr>
      <w:tr>
        <w:tc>
          <w:tcPr>
            <w:tcW w:type="dxa" w:w="2381"/>
            <w:vAlign w:val="top"/>
          </w:tcPr>
          <w:p>
            <w:pPr>
              <w:spacing w:after="0"/>
            </w:pPr>
            <w:r/>
            <w:r>
              <w:rPr>
                <w:rFonts w:ascii="Liberation Sans" w:hAnsi="Liberation Sans"/>
                <w:b w:val="0"/>
                <w:color w:val="42404C"/>
                <w:sz w:val="17"/>
              </w:rPr>
              <w:t>Zielkonflikte</w:t>
            </w:r>
          </w:p>
        </w:tc>
        <w:tc>
          <w:tcPr>
            <w:tcW w:type="dxa" w:w="6236"/>
            <w:vAlign w:val="top"/>
          </w:tcPr>
          <w:p>
            <w:pPr>
              <w:spacing w:after="0"/>
            </w:pPr>
            <w:r/>
            <w:r>
              <w:rPr>
                <w:rFonts w:ascii="Liberation Sans" w:hAnsi="Liberation Sans"/>
                <w:b w:val="0"/>
                <w:color w:val="42404C"/>
                <w:sz w:val="17"/>
              </w:rPr>
              <w:t>Kosten, Freiheit, Bürokratie, Wettbewerbsfähigkeit, soziale Abfederung und ökologische Grenzen austarieren.</w:t>
            </w:r>
          </w:p>
        </w:tc>
      </w:tr>
      <w:tr>
        <w:tc>
          <w:tcPr>
            <w:tcW w:type="dxa" w:w="2381"/>
            <w:vAlign w:val="top"/>
          </w:tcPr>
          <w:p>
            <w:pPr>
              <w:spacing w:after="0"/>
            </w:pPr>
            <w:r/>
            <w:r>
              <w:rPr>
                <w:rFonts w:ascii="Liberation Sans" w:hAnsi="Liberation Sans"/>
                <w:b w:val="0"/>
                <w:color w:val="42404C"/>
                <w:sz w:val="17"/>
              </w:rPr>
              <w:t>Schutz vor Technokratie</w:t>
            </w:r>
          </w:p>
        </w:tc>
        <w:tc>
          <w:tcPr>
            <w:tcW w:type="dxa" w:w="6236"/>
            <w:vAlign w:val="top"/>
          </w:tcPr>
          <w:p>
            <w:pPr>
              <w:spacing w:after="0"/>
            </w:pPr>
            <w:r/>
            <w:r>
              <w:rPr>
                <w:rFonts w:ascii="Liberation Sans" w:hAnsi="Liberation Sans"/>
                <w:b w:val="0"/>
                <w:color w:val="42404C"/>
                <w:sz w:val="17"/>
              </w:rPr>
              <w:t>Wirkungsdaten bereiten Entscheidungen vor, ersetzen demokratische Entscheidung aber nicht.</w:t>
            </w:r>
          </w:p>
        </w:tc>
      </w:tr>
      <w:tr>
        <w:tc>
          <w:tcPr>
            <w:tcW w:type="dxa" w:w="2381"/>
            <w:vAlign w:val="top"/>
          </w:tcPr>
          <w:p>
            <w:pPr>
              <w:spacing w:after="0"/>
            </w:pPr>
            <w:r/>
            <w:r>
              <w:rPr>
                <w:rFonts w:ascii="Liberation Sans" w:hAnsi="Liberation Sans"/>
                <w:b w:val="0"/>
                <w:color w:val="42404C"/>
                <w:sz w:val="17"/>
              </w:rPr>
              <w:t>Evaluation und Korrektur</w:t>
            </w:r>
          </w:p>
        </w:tc>
        <w:tc>
          <w:tcPr>
            <w:tcW w:type="dxa" w:w="6236"/>
            <w:vAlign w:val="top"/>
          </w:tcPr>
          <w:p>
            <w:pPr>
              <w:spacing w:after="0"/>
            </w:pPr>
            <w:r/>
            <w:r>
              <w:rPr>
                <w:rFonts w:ascii="Liberation Sans" w:hAnsi="Liberation Sans"/>
                <w:b w:val="0"/>
                <w:color w:val="42404C"/>
                <w:sz w:val="17"/>
              </w:rPr>
              <w:t>Regelmäßige Überprüfung von Wirkung, Datenqualität, Zielkonflikten und Nebenwirkungen.</w:t>
            </w:r>
          </w:p>
        </w:tc>
      </w:tr>
    </w:tbl>
    <w:p/>
    <w:p>
      <w:pPr>
        <w:pStyle w:val="Heading1"/>
      </w:pPr>
      <w:r>
        <w:t>18. Quellen und Referenzen</w:t>
      </w:r>
    </w:p>
    <w:p>
      <w:r>
        <w:t>Auswahl offizieller und tragender Quellen für die öffentliche Website-Fassung:</w:t>
      </w:r>
    </w:p>
    <w:p>
      <w:pPr>
        <w:pStyle w:val="ListBullet"/>
      </w:pPr>
      <w:r>
        <w:t>United Nations Sustainable Development Goals: https://sdgs.un.org/goals</w:t>
      </w:r>
    </w:p>
    <w:p>
      <w:pPr>
        <w:pStyle w:val="ListBullet"/>
      </w:pPr>
      <w:r>
        <w:t>Transforming our world: The 2030 Agenda for Sustainable Development: https://sdgs.un.org/2030agenda</w:t>
      </w:r>
    </w:p>
    <w:p>
      <w:pPr>
        <w:pStyle w:val="ListBullet"/>
      </w:pPr>
      <w:r>
        <w:t>The Future We Want / Rio+20: https://sdgs.un.org/future-we-want</w:t>
      </w:r>
    </w:p>
    <w:p>
      <w:pPr>
        <w:pStyle w:val="ListBullet"/>
      </w:pPr>
      <w:r>
        <w:t>United Nations Millennium Development Goals: https://www.un.org/millenniumgoals/</w:t>
      </w:r>
    </w:p>
    <w:p>
      <w:pPr>
        <w:pStyle w:val="ListBullet"/>
      </w:pPr>
      <w:r>
        <w:t>United Nations Stockholm Conference 1972: https://www.un.org/en/conferences/environment/stockholm1972</w:t>
      </w:r>
    </w:p>
    <w:p>
      <w:pPr>
        <w:pStyle w:val="ListBullet"/>
      </w:pPr>
      <w:r>
        <w:t>United Nations Rio Earth Summit 1992: https://www.un.org/en/conferences/environment/rio1992</w:t>
      </w:r>
    </w:p>
    <w:p>
      <w:pPr>
        <w:pStyle w:val="ListBullet"/>
      </w:pPr>
      <w:r>
        <w:t>Agenda 21, Rio Declaration and related Rio documents: https://sdgs.un.org/publications/agenda21</w:t>
      </w:r>
    </w:p>
    <w:p>
      <w:pPr>
        <w:pStyle w:val="ListBullet"/>
      </w:pPr>
      <w:r>
        <w:t>Brundtland Report / Our Common Future: https://digitallibrary.un.org/record/139811</w:t>
      </w:r>
    </w:p>
    <w:p>
      <w:pPr>
        <w:pStyle w:val="ListBullet"/>
      </w:pPr>
      <w:r>
        <w:t>Eurostat SDG monitoring: https://ec.europa.eu/eurostat</w:t>
      </w:r>
    </w:p>
    <w:p>
      <w:pPr>
        <w:pStyle w:val="ListBullet"/>
      </w:pPr>
      <w:r>
        <w:t>Deutsche Nachhaltigkeitsstrategie: https://www.bundesregierung.de</w:t>
      </w:r>
    </w:p>
    <w:p>
      <w:pPr>
        <w:pStyle w:val="ListBullet"/>
      </w:pPr>
      <w:r>
        <w:t>Führender Begriffsleitfaden der Wirkungsökonomie, Natalie Weber, 2026</w:t>
      </w:r>
    </w:p>
    <w:p>
      <w:pPr>
        <w:pStyle w:val="ListBullet"/>
      </w:pPr>
      <w:r>
        <w:t>Die neue Ordnung des Wohlstands, Natalie Weber, 2026</w:t>
      </w: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42404C"/>
        <w:sz w:val="16"/>
      </w:rPr>
      <w:t>Natalie Weber · Wirkungsökonomie · SDG-Geschichte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2F7D5C"/>
        <w:sz w:val="16"/>
      </w:rPr>
      <w:t>WIRKUNGSÖKONOMIE · DETAILKONZEPT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Liberation Sans" w:hAnsi="Liberation Sans"/>
      <w:color w:val="42404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erif" w:hAnsi="Liberation Serif"/>
      <w:b/>
      <w:bCs/>
      <w:color w:val="08012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erif" w:hAnsi="Liberation Serif"/>
      <w:b/>
      <w:bCs/>
      <w:color w:val="08012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erif" w:hAnsi="Liberation Serif"/>
      <w:b/>
      <w:bCs/>
      <w:color w:val="2F7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erif" w:hAnsi="Liberation Serif"/>
      <w:b/>
      <w:color w:val="0801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EKQuote">
    <w:name w:val="WOEK Quote"/>
    <w:pPr>
      <w:spacing w:before="160" w:after="160"/>
      <w:ind w:left="340" w:right="340"/>
    </w:pPr>
    <w:rPr>
      <w:rFonts w:ascii="Liberation Serif" w:hAnsi="Liberation Serif"/>
      <w:i/>
      <w:color w:val="080120"/>
      <w:sz w:val="26"/>
    </w:rPr>
  </w:style>
  <w:style w:type="paragraph" w:customStyle="1" w:styleId="WOEKLabel">
    <w:name w:val="WOEK Label"/>
    <w:pPr>
      <w:spacing w:after="40"/>
    </w:pPr>
    <w:rPr>
      <w:rFonts w:ascii="Liberation Sans" w:hAnsi="Liberation Sans"/>
      <w:b/>
      <w:color w:val="2F7D5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