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2F7D5C"/>
          <w:sz w:val="24"/>
        </w:rPr>
        <w:t>WIRKUNGSÖKONOMIE</w:t>
      </w:r>
    </w:p>
    <w:p>
      <w:pPr>
        <w:spacing w:after="280"/>
      </w:pPr>
      <w:r>
        <w:rPr>
          <w:rFonts w:ascii="Arial" w:hAnsi="Arial"/>
          <w:b/>
          <w:color w:val="C89B3C"/>
          <w:sz w:val="20"/>
        </w:rPr>
        <w:t>DETAILKONZEPT</w:t>
      </w:r>
    </w:p>
    <w:p>
      <w:pPr>
        <w:pStyle w:val="Title"/>
        <w:spacing w:after="60"/>
      </w:pPr>
      <w:r>
        <w:t>Produkte als Wirkungsträger</w:t>
      </w:r>
    </w:p>
    <w:p>
      <w:pPr>
        <w:spacing w:after="320"/>
      </w:pPr>
      <w:r>
        <w:rPr>
          <w:rFonts w:ascii="Georgia" w:hAnsi="Georgia"/>
          <w:color w:val="0B1020"/>
          <w:sz w:val="26"/>
        </w:rPr>
        <w:t>Produktwirkung über Lebenszyklus, Lieferkette, Nutzung und Ende denken</w:t>
      </w:r>
    </w:p>
    <w:tbl>
      <w:tblPr>
        <w:tblW w:type="auto" w:w="0"/>
        <w:jc w:val="left"/>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4932"/>
        <w:gridCol w:w="4932"/>
      </w:tblGrid>
      <w:tr>
        <w:tc>
          <w:tcPr>
            <w:tcW w:type="dxa" w:w="2438"/>
            <w:shd w:fill="F6F1E8"/>
            <w:tcMar>
              <w:top w:w="90" w:type="dxa"/>
              <w:start w:w="90" w:type="dxa"/>
              <w:bottom w:w="90" w:type="dxa"/>
              <w:end w:w="90" w:type="dxa"/>
            </w:tcMar>
          </w:tcPr>
          <w:p>
            <w:r>
              <w:rPr>
                <w:rFonts w:ascii="Arial" w:hAnsi="Arial"/>
                <w:b/>
                <w:color w:val="0B1020"/>
                <w:sz w:val="17"/>
              </w:rPr>
              <w:t>Autorin</w:t>
            </w:r>
          </w:p>
        </w:tc>
        <w:tc>
          <w:tcPr>
            <w:tcW w:type="dxa" w:w="5953"/>
            <w:tcMar>
              <w:top w:w="90" w:type="dxa"/>
              <w:start w:w="90" w:type="dxa"/>
              <w:bottom w:w="90" w:type="dxa"/>
              <w:end w:w="90" w:type="dxa"/>
            </w:tcMar>
          </w:tcPr>
          <w:p>
            <w:r>
              <w:rPr>
                <w:rFonts w:ascii="Arial" w:hAnsi="Arial"/>
                <w:b w:val="0"/>
                <w:color w:val="4B4F56"/>
                <w:sz w:val="17"/>
              </w:rPr>
              <w:t>Natalie Weber</w:t>
            </w:r>
          </w:p>
        </w:tc>
      </w:tr>
      <w:tr>
        <w:tc>
          <w:tcPr>
            <w:tcW w:type="dxa" w:w="2438"/>
            <w:shd w:fill="F6F1E8"/>
            <w:tcMar>
              <w:top w:w="90" w:type="dxa"/>
              <w:start w:w="90" w:type="dxa"/>
              <w:bottom w:w="90" w:type="dxa"/>
              <w:end w:w="90" w:type="dxa"/>
            </w:tcMar>
          </w:tcPr>
          <w:p>
            <w:r>
              <w:rPr>
                <w:rFonts w:ascii="Arial" w:hAnsi="Arial"/>
                <w:b/>
                <w:color w:val="0B1020"/>
                <w:sz w:val="17"/>
              </w:rPr>
              <w:t>Referenz</w:t>
            </w:r>
          </w:p>
        </w:tc>
        <w:tc>
          <w:tcPr>
            <w:tcW w:type="dxa" w:w="5953"/>
            <w:tcMar>
              <w:top w:w="90" w:type="dxa"/>
              <w:start w:w="90" w:type="dxa"/>
              <w:bottom w:w="90" w:type="dxa"/>
              <w:end w:w="90" w:type="dxa"/>
            </w:tcMar>
          </w:tcPr>
          <w:p>
            <w:r>
              <w:rPr>
                <w:rFonts w:ascii="Arial" w:hAnsi="Arial"/>
                <w:b w:val="0"/>
                <w:color w:val="4B4F56"/>
                <w:sz w:val="17"/>
              </w:rPr>
              <w:t>Wirkungsökonomie</w:t>
            </w:r>
          </w:p>
        </w:tc>
      </w:tr>
      <w:tr>
        <w:tc>
          <w:tcPr>
            <w:tcW w:type="dxa" w:w="2438"/>
            <w:shd w:fill="F6F1E8"/>
            <w:tcMar>
              <w:top w:w="90" w:type="dxa"/>
              <w:start w:w="90" w:type="dxa"/>
              <w:bottom w:w="90" w:type="dxa"/>
              <w:end w:w="90" w:type="dxa"/>
            </w:tcMar>
          </w:tcPr>
          <w:p>
            <w:r>
              <w:rPr>
                <w:rFonts w:ascii="Arial" w:hAnsi="Arial"/>
                <w:b/>
                <w:color w:val="0B1020"/>
                <w:sz w:val="17"/>
              </w:rPr>
              <w:t>Dokumentnummer</w:t>
            </w:r>
          </w:p>
        </w:tc>
        <w:tc>
          <w:tcPr>
            <w:tcW w:type="dxa" w:w="5953"/>
            <w:tcMar>
              <w:top w:w="90" w:type="dxa"/>
              <w:start w:w="90" w:type="dxa"/>
              <w:bottom w:w="90" w:type="dxa"/>
              <w:end w:w="90" w:type="dxa"/>
            </w:tcMar>
          </w:tcPr>
          <w:p>
            <w:r>
              <w:rPr>
                <w:rFonts w:ascii="Arial" w:hAnsi="Arial"/>
                <w:b w:val="0"/>
                <w:color w:val="4B4F56"/>
                <w:sz w:val="17"/>
              </w:rPr>
              <w:t>15</w:t>
            </w:r>
          </w:p>
        </w:tc>
      </w:tr>
      <w:tr>
        <w:tc>
          <w:tcPr>
            <w:tcW w:type="dxa" w:w="2438"/>
            <w:shd w:fill="F6F1E8"/>
            <w:tcMar>
              <w:top w:w="90" w:type="dxa"/>
              <w:start w:w="90" w:type="dxa"/>
              <w:bottom w:w="90" w:type="dxa"/>
              <w:end w:w="90" w:type="dxa"/>
            </w:tcMar>
          </w:tcPr>
          <w:p>
            <w:r>
              <w:rPr>
                <w:rFonts w:ascii="Arial" w:hAnsi="Arial"/>
                <w:b/>
                <w:color w:val="0B1020"/>
                <w:sz w:val="17"/>
              </w:rPr>
              <w:t>Version</w:t>
            </w:r>
          </w:p>
        </w:tc>
        <w:tc>
          <w:tcPr>
            <w:tcW w:type="dxa" w:w="5953"/>
            <w:tcMar>
              <w:top w:w="90" w:type="dxa"/>
              <w:start w:w="90" w:type="dxa"/>
              <w:bottom w:w="90" w:type="dxa"/>
              <w:end w:w="90" w:type="dxa"/>
            </w:tcMar>
          </w:tcPr>
          <w:p>
            <w:r>
              <w:rPr>
                <w:rFonts w:ascii="Arial" w:hAnsi="Arial"/>
                <w:b w:val="0"/>
                <w:color w:val="4B4F56"/>
                <w:sz w:val="17"/>
              </w:rPr>
              <w:t>v1.0</w:t>
            </w:r>
          </w:p>
        </w:tc>
      </w:tr>
      <w:tr>
        <w:tc>
          <w:tcPr>
            <w:tcW w:type="dxa" w:w="2438"/>
            <w:shd w:fill="F6F1E8"/>
            <w:tcMar>
              <w:top w:w="90" w:type="dxa"/>
              <w:start w:w="90" w:type="dxa"/>
              <w:bottom w:w="90" w:type="dxa"/>
              <w:end w:w="90" w:type="dxa"/>
            </w:tcMar>
          </w:tcPr>
          <w:p>
            <w:r>
              <w:rPr>
                <w:rFonts w:ascii="Arial" w:hAnsi="Arial"/>
                <w:b/>
                <w:color w:val="0B1020"/>
                <w:sz w:val="17"/>
              </w:rPr>
              <w:t>Status</w:t>
            </w:r>
          </w:p>
        </w:tc>
        <w:tc>
          <w:tcPr>
            <w:tcW w:type="dxa" w:w="5953"/>
            <w:tcMar>
              <w:top w:w="90" w:type="dxa"/>
              <w:start w:w="90" w:type="dxa"/>
              <w:bottom w:w="90" w:type="dxa"/>
              <w:end w:w="90" w:type="dxa"/>
            </w:tcMar>
          </w:tcPr>
          <w:p>
            <w:r>
              <w:rPr>
                <w:rFonts w:ascii="Arial" w:hAnsi="Arial"/>
                <w:b w:val="0"/>
                <w:color w:val="4B4F56"/>
                <w:sz w:val="17"/>
              </w:rPr>
              <w:t>öffentliche Ausarbeitung / Detailkonzept</w:t>
            </w:r>
          </w:p>
        </w:tc>
      </w:tr>
      <w:tr>
        <w:tc>
          <w:tcPr>
            <w:tcW w:type="dxa" w:w="2438"/>
            <w:shd w:fill="F6F1E8"/>
            <w:tcMar>
              <w:top w:w="90" w:type="dxa"/>
              <w:start w:w="90" w:type="dxa"/>
              <w:bottom w:w="90" w:type="dxa"/>
              <w:end w:w="90" w:type="dxa"/>
            </w:tcMar>
          </w:tcPr>
          <w:p>
            <w:r>
              <w:rPr>
                <w:rFonts w:ascii="Arial" w:hAnsi="Arial"/>
                <w:b/>
                <w:color w:val="0B1020"/>
                <w:sz w:val="17"/>
              </w:rPr>
              <w:t>Stand</w:t>
            </w:r>
          </w:p>
        </w:tc>
        <w:tc>
          <w:tcPr>
            <w:tcW w:type="dxa" w:w="5953"/>
            <w:tcMar>
              <w:top w:w="90" w:type="dxa"/>
              <w:start w:w="90" w:type="dxa"/>
              <w:bottom w:w="90" w:type="dxa"/>
              <w:end w:w="90" w:type="dxa"/>
            </w:tcMar>
          </w:tcPr>
          <w:p>
            <w:r>
              <w:rPr>
                <w:rFonts w:ascii="Arial" w:hAnsi="Arial"/>
                <w:b w:val="0"/>
                <w:color w:val="4B4F56"/>
                <w:sz w:val="17"/>
              </w:rPr>
              <w:t>24. Mai 2026</w:t>
            </w:r>
          </w:p>
        </w:tc>
      </w:tr>
    </w:tbl>
    <w:p/>
    <w:p>
      <w:pPr>
        <w:jc w:val="center"/>
      </w:pPr>
      <w:r>
        <w:rPr>
          <w:rFonts w:ascii="Georgia" w:hAnsi="Georgia"/>
          <w:i/>
          <w:color w:val="2F7D5C"/>
          <w:sz w:val="30"/>
        </w:rPr>
        <w:t>„Ein Produkt ist kein Ding im Regal. Es ist verdichtete Lieferkette, Nutzungsgeschichte und Zukunftsfolge.“</w:t>
      </w:r>
    </w:p>
    <w:p>
      <w:r>
        <w:br w:type="page"/>
      </w:r>
    </w:p>
    <w:p>
      <w:pPr>
        <w:pStyle w:val="Heading1"/>
      </w:pPr>
      <w:r>
        <w:t>Kurzprofil</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4932"/>
        <w:gridCol w:w="4932"/>
      </w:tblGrid>
      <w:tr>
        <w:trPr>
          <w:tblHeader w:val="true"/>
        </w:trPr>
        <w:tc>
          <w:tcPr>
            <w:tcW w:type="dxa" w:w="2835"/>
            <w:shd w:fill="0B1020"/>
            <w:tcMar>
              <w:top w:w="90" w:type="dxa"/>
              <w:start w:w="90" w:type="dxa"/>
              <w:bottom w:w="90" w:type="dxa"/>
              <w:end w:w="90" w:type="dxa"/>
            </w:tcMar>
          </w:tcPr>
          <w:p>
            <w:r>
              <w:rPr>
                <w:rFonts w:ascii="Arial" w:hAnsi="Arial"/>
                <w:b/>
                <w:color w:val="FFFFFF"/>
                <w:sz w:val="17"/>
              </w:rPr>
              <w:t>Metadatum</w:t>
            </w:r>
          </w:p>
        </w:tc>
        <w:tc>
          <w:tcPr>
            <w:tcW w:type="dxa" w:w="5669"/>
            <w:shd w:fill="0B1020"/>
            <w:tcMar>
              <w:top w:w="90" w:type="dxa"/>
              <w:start w:w="90" w:type="dxa"/>
              <w:bottom w:w="90" w:type="dxa"/>
              <w:end w:w="90" w:type="dxa"/>
            </w:tcMar>
          </w:tcPr>
          <w:p>
            <w:r>
              <w:rPr>
                <w:rFonts w:ascii="Arial" w:hAnsi="Arial"/>
                <w:b/>
                <w:color w:val="FFFFFF"/>
                <w:sz w:val="17"/>
              </w:rPr>
              <w:t>Angabe</w:t>
            </w:r>
          </w:p>
        </w:tc>
      </w:tr>
      <w:tr>
        <w:tc>
          <w:tcPr>
            <w:tcW w:type="dxa" w:w="2835"/>
            <w:tcMar>
              <w:top w:w="80" w:type="dxa"/>
              <w:start w:w="80" w:type="dxa"/>
              <w:bottom w:w="80" w:type="dxa"/>
              <w:end w:w="80" w:type="dxa"/>
            </w:tcMar>
            <w:shd w:fill="FBF8F1"/>
          </w:tcPr>
          <w:p>
            <w:r>
              <w:rPr>
                <w:rFonts w:ascii="Arial" w:hAnsi="Arial"/>
                <w:b/>
                <w:color w:val="0B1020"/>
                <w:sz w:val="17"/>
              </w:rPr>
              <w:t>Dokumenttyp</w:t>
            </w:r>
          </w:p>
        </w:tc>
        <w:tc>
          <w:tcPr>
            <w:tcW w:type="dxa" w:w="5669"/>
            <w:tcMar>
              <w:top w:w="80" w:type="dxa"/>
              <w:start w:w="80" w:type="dxa"/>
              <w:bottom w:w="80" w:type="dxa"/>
              <w:end w:w="80" w:type="dxa"/>
            </w:tcMar>
          </w:tcPr>
          <w:p>
            <w:r>
              <w:rPr>
                <w:rFonts w:ascii="Arial" w:hAnsi="Arial"/>
                <w:b w:val="0"/>
                <w:color w:val="4B4F56"/>
                <w:sz w:val="17"/>
              </w:rPr>
              <w:t>Öffentliches Detailkonzept</w:t>
            </w:r>
          </w:p>
        </w:tc>
      </w:tr>
      <w:tr>
        <w:tc>
          <w:tcPr>
            <w:tcW w:type="dxa" w:w="2835"/>
            <w:tcMar>
              <w:top w:w="80" w:type="dxa"/>
              <w:start w:w="80" w:type="dxa"/>
              <w:bottom w:w="80" w:type="dxa"/>
              <w:end w:w="80" w:type="dxa"/>
            </w:tcMar>
            <w:shd w:fill="FBF8F1"/>
          </w:tcPr>
          <w:p>
            <w:r>
              <w:rPr>
                <w:rFonts w:ascii="Arial" w:hAnsi="Arial"/>
                <w:b/>
                <w:color w:val="0B1020"/>
                <w:sz w:val="17"/>
              </w:rPr>
              <w:t>Zugehöriges Portal</w:t>
            </w:r>
          </w:p>
        </w:tc>
        <w:tc>
          <w:tcPr>
            <w:tcW w:type="dxa" w:w="5669"/>
            <w:tcMar>
              <w:top w:w="80" w:type="dxa"/>
              <w:start w:w="80" w:type="dxa"/>
              <w:bottom w:w="80" w:type="dxa"/>
              <w:end w:w="80" w:type="dxa"/>
            </w:tcMar>
          </w:tcPr>
          <w:p>
            <w:r>
              <w:rPr>
                <w:rFonts w:ascii="Arial" w:hAnsi="Arial"/>
                <w:b w:val="0"/>
                <w:color w:val="4B4F56"/>
                <w:sz w:val="17"/>
              </w:rPr>
              <w:t>Produkte &amp; Konsum / Wirkungsumsatzsteuer</w:t>
            </w:r>
          </w:p>
        </w:tc>
      </w:tr>
      <w:tr>
        <w:tc>
          <w:tcPr>
            <w:tcW w:type="dxa" w:w="2835"/>
            <w:tcMar>
              <w:top w:w="80" w:type="dxa"/>
              <w:start w:w="80" w:type="dxa"/>
              <w:bottom w:w="80" w:type="dxa"/>
              <w:end w:w="80" w:type="dxa"/>
            </w:tcMar>
            <w:shd w:fill="FBF8F1"/>
          </w:tcPr>
          <w:p>
            <w:r>
              <w:rPr>
                <w:rFonts w:ascii="Arial" w:hAnsi="Arial"/>
                <w:b/>
                <w:color w:val="0B1020"/>
                <w:sz w:val="17"/>
              </w:rPr>
              <w:t>Unterbereich</w:t>
            </w:r>
          </w:p>
        </w:tc>
        <w:tc>
          <w:tcPr>
            <w:tcW w:type="dxa" w:w="5669"/>
            <w:tcMar>
              <w:top w:w="80" w:type="dxa"/>
              <w:start w:w="80" w:type="dxa"/>
              <w:bottom w:w="80" w:type="dxa"/>
              <w:end w:w="80" w:type="dxa"/>
            </w:tcMar>
          </w:tcPr>
          <w:p>
            <w:r>
              <w:rPr>
                <w:rFonts w:ascii="Arial" w:hAnsi="Arial"/>
                <w:b w:val="0"/>
                <w:color w:val="4B4F56"/>
                <w:sz w:val="17"/>
              </w:rPr>
              <w:t>Produkte als Wirkungsträger und Produktwirkung über den Lebenszyklus</w:t>
            </w:r>
          </w:p>
        </w:tc>
      </w:tr>
      <w:tr>
        <w:tc>
          <w:tcPr>
            <w:tcW w:type="dxa" w:w="2835"/>
            <w:tcMar>
              <w:top w:w="80" w:type="dxa"/>
              <w:start w:w="80" w:type="dxa"/>
              <w:bottom w:w="80" w:type="dxa"/>
              <w:end w:w="80" w:type="dxa"/>
            </w:tcMar>
            <w:shd w:fill="FBF8F1"/>
          </w:tcPr>
          <w:p>
            <w:r>
              <w:rPr>
                <w:rFonts w:ascii="Arial" w:hAnsi="Arial"/>
                <w:b/>
                <w:color w:val="0B1020"/>
                <w:sz w:val="17"/>
              </w:rPr>
              <w:t>Autorin</w:t>
            </w:r>
          </w:p>
        </w:tc>
        <w:tc>
          <w:tcPr>
            <w:tcW w:type="dxa" w:w="5669"/>
            <w:tcMar>
              <w:top w:w="80" w:type="dxa"/>
              <w:start w:w="80" w:type="dxa"/>
              <w:bottom w:w="80" w:type="dxa"/>
              <w:end w:w="80" w:type="dxa"/>
            </w:tcMar>
          </w:tcPr>
          <w:p>
            <w:r>
              <w:rPr>
                <w:rFonts w:ascii="Arial" w:hAnsi="Arial"/>
                <w:b w:val="0"/>
                <w:color w:val="4B4F56"/>
                <w:sz w:val="17"/>
              </w:rPr>
              <w:t>Natalie Weber · Wirkungsökonomie</w:t>
            </w:r>
          </w:p>
        </w:tc>
      </w:tr>
      <w:tr>
        <w:tc>
          <w:tcPr>
            <w:tcW w:type="dxa" w:w="2835"/>
            <w:tcMar>
              <w:top w:w="80" w:type="dxa"/>
              <w:start w:w="80" w:type="dxa"/>
              <w:bottom w:w="80" w:type="dxa"/>
              <w:end w:w="80" w:type="dxa"/>
            </w:tcMar>
            <w:shd w:fill="FBF8F1"/>
          </w:tcPr>
          <w:p>
            <w:r>
              <w:rPr>
                <w:rFonts w:ascii="Arial" w:hAnsi="Arial"/>
                <w:b/>
                <w:color w:val="0B1020"/>
                <w:sz w:val="17"/>
              </w:rPr>
              <w:t>Öffentlichkeit</w:t>
            </w:r>
          </w:p>
        </w:tc>
        <w:tc>
          <w:tcPr>
            <w:tcW w:type="dxa" w:w="5669"/>
            <w:tcMar>
              <w:top w:w="80" w:type="dxa"/>
              <w:start w:w="80" w:type="dxa"/>
              <w:bottom w:w="80" w:type="dxa"/>
              <w:end w:w="80" w:type="dxa"/>
            </w:tcMar>
          </w:tcPr>
          <w:p>
            <w:r>
              <w:rPr>
                <w:rFonts w:ascii="Arial" w:hAnsi="Arial"/>
                <w:b w:val="0"/>
                <w:color w:val="4B4F56"/>
                <w:sz w:val="17"/>
              </w:rPr>
              <w:t>Enthält keine internen CodeX-/Repository-Anweisungen</w:t>
            </w:r>
          </w:p>
        </w:tc>
      </w:tr>
      <w:tr>
        <w:tc>
          <w:tcPr>
            <w:tcW w:type="dxa" w:w="2835"/>
            <w:tcMar>
              <w:top w:w="80" w:type="dxa"/>
              <w:start w:w="80" w:type="dxa"/>
              <w:bottom w:w="80" w:type="dxa"/>
              <w:end w:w="80" w:type="dxa"/>
            </w:tcMar>
            <w:shd w:fill="FBF8F1"/>
          </w:tcPr>
          <w:p>
            <w:r>
              <w:rPr>
                <w:rFonts w:ascii="Arial" w:hAnsi="Arial"/>
                <w:b/>
                <w:color w:val="0B1020"/>
                <w:sz w:val="17"/>
              </w:rPr>
              <w:t>Hinweis</w:t>
            </w:r>
          </w:p>
        </w:tc>
        <w:tc>
          <w:tcPr>
            <w:tcW w:type="dxa" w:w="5669"/>
            <w:tcMar>
              <w:top w:w="80" w:type="dxa"/>
              <w:start w:w="80" w:type="dxa"/>
              <w:bottom w:w="80" w:type="dxa"/>
              <w:end w:w="80" w:type="dxa"/>
            </w:tcMar>
          </w:tcPr>
          <w:p>
            <w:r>
              <w:rPr>
                <w:rFonts w:ascii="Arial" w:hAnsi="Arial"/>
                <w:b w:val="0"/>
                <w:color w:val="4B4F56"/>
                <w:sz w:val="17"/>
              </w:rPr>
              <w:t>Konzeptionelle Arbeitsfassung; keine Rechts-, Steuer-, Anlage- oder Produktberatung</w:t>
            </w:r>
          </w:p>
        </w:tc>
      </w:tr>
    </w:tbl>
    <w:p/>
    <w:p>
      <w:pPr>
        <w:pStyle w:val="Heading1"/>
      </w:pPr>
      <w:r>
        <w:t>Inhaltsübersicht</w:t>
      </w:r>
    </w:p>
    <w:p>
      <w:r>
        <w:rPr>
          <w:rFonts w:ascii="Arial" w:hAnsi="Arial"/>
          <w:b w:val="0"/>
          <w:i w:val="0"/>
          <w:color w:val="4B4F56"/>
          <w:sz w:val="19"/>
        </w:rPr>
        <w:t>1. Executive Summary</w:t>
      </w:r>
    </w:p>
    <w:p>
      <w:r>
        <w:rPr>
          <w:rFonts w:ascii="Arial" w:hAnsi="Arial"/>
          <w:b w:val="0"/>
          <w:i w:val="0"/>
          <w:color w:val="4B4F56"/>
          <w:sz w:val="19"/>
        </w:rPr>
        <w:t>2. Ausgangsdiagnose: Warum Produkte heute zu eng gelesen werden</w:t>
      </w:r>
    </w:p>
    <w:p>
      <w:r>
        <w:rPr>
          <w:rFonts w:ascii="Arial" w:hAnsi="Arial"/>
          <w:b w:val="0"/>
          <w:i w:val="0"/>
          <w:color w:val="4B4F56"/>
          <w:sz w:val="19"/>
        </w:rPr>
        <w:t>3. Produkt als Wirkungsträger</w:t>
      </w:r>
    </w:p>
    <w:p>
      <w:r>
        <w:rPr>
          <w:rFonts w:ascii="Arial" w:hAnsi="Arial"/>
          <w:b w:val="0"/>
          <w:i w:val="0"/>
          <w:color w:val="4B4F56"/>
          <w:sz w:val="19"/>
        </w:rPr>
        <w:t>4. Lebenszykluslogik: vom Rohstoff bis zum Ende</w:t>
      </w:r>
    </w:p>
    <w:p>
      <w:r>
        <w:rPr>
          <w:rFonts w:ascii="Arial" w:hAnsi="Arial"/>
          <w:b w:val="0"/>
          <w:i w:val="0"/>
          <w:color w:val="4B4F56"/>
          <w:sz w:val="19"/>
        </w:rPr>
        <w:t>5. Akteursgruppen und Verantwortungsräume</w:t>
      </w:r>
    </w:p>
    <w:p>
      <w:r>
        <w:rPr>
          <w:rFonts w:ascii="Arial" w:hAnsi="Arial"/>
          <w:b w:val="0"/>
          <w:i w:val="0"/>
          <w:color w:val="4B4F56"/>
          <w:sz w:val="19"/>
        </w:rPr>
        <w:t>6. Wirkungsmechanik: direkte, indirekte und systemische Produktwirkung</w:t>
      </w:r>
    </w:p>
    <w:p>
      <w:r>
        <w:rPr>
          <w:rFonts w:ascii="Arial" w:hAnsi="Arial"/>
          <w:b w:val="0"/>
          <w:i w:val="0"/>
          <w:color w:val="4B4F56"/>
          <w:sz w:val="19"/>
        </w:rPr>
        <w:t>7. Datenbasis und Indikatoren</w:t>
      </w:r>
    </w:p>
    <w:p>
      <w:r>
        <w:rPr>
          <w:rFonts w:ascii="Arial" w:hAnsi="Arial"/>
          <w:b w:val="0"/>
          <w:i w:val="0"/>
          <w:color w:val="4B4F56"/>
          <w:sz w:val="19"/>
        </w:rPr>
        <w:t>8. WÖk-IDs, NACE und Produktklassen</w:t>
      </w:r>
    </w:p>
    <w:p>
      <w:r>
        <w:rPr>
          <w:rFonts w:ascii="Arial" w:hAnsi="Arial"/>
          <w:b w:val="0"/>
          <w:i w:val="0"/>
          <w:color w:val="4B4F56"/>
          <w:sz w:val="19"/>
        </w:rPr>
        <w:t>9. Produktverantwortung und nichtkompensierbare Grenzen</w:t>
      </w:r>
    </w:p>
    <w:p>
      <w:r>
        <w:rPr>
          <w:rFonts w:ascii="Arial" w:hAnsi="Arial"/>
          <w:b w:val="0"/>
          <w:i w:val="0"/>
          <w:color w:val="4B4F56"/>
          <w:sz w:val="19"/>
        </w:rPr>
        <w:t>10. Verbraucherinformation ohne Moralisierung</w:t>
      </w:r>
    </w:p>
    <w:p>
      <w:r>
        <w:rPr>
          <w:rFonts w:ascii="Arial" w:hAnsi="Arial"/>
          <w:b w:val="0"/>
          <w:i w:val="0"/>
          <w:color w:val="4B4F56"/>
          <w:sz w:val="19"/>
        </w:rPr>
        <w:t>11. Politische Anschlussfähigkeit</w:t>
      </w:r>
    </w:p>
    <w:p>
      <w:r>
        <w:rPr>
          <w:rFonts w:ascii="Arial" w:hAnsi="Arial"/>
          <w:b w:val="0"/>
          <w:i w:val="0"/>
          <w:color w:val="4B4F56"/>
          <w:sz w:val="19"/>
        </w:rPr>
        <w:t>12. Tool- und Website-Integration</w:t>
      </w:r>
    </w:p>
    <w:p>
      <w:r>
        <w:rPr>
          <w:rFonts w:ascii="Arial" w:hAnsi="Arial"/>
          <w:b w:val="0"/>
          <w:i w:val="0"/>
          <w:color w:val="4B4F56"/>
          <w:sz w:val="19"/>
        </w:rPr>
        <w:t>13. SDG-/SDG+-Bezug</w:t>
      </w:r>
    </w:p>
    <w:p>
      <w:r>
        <w:rPr>
          <w:rFonts w:ascii="Arial" w:hAnsi="Arial"/>
          <w:b w:val="0"/>
          <w:i w:val="0"/>
          <w:color w:val="4B4F56"/>
          <w:sz w:val="19"/>
        </w:rPr>
        <w:t>14. Quellen und Fazit</w:t>
      </w:r>
    </w:p>
    <w:p>
      <w:r>
        <w:br w:type="page"/>
      </w:r>
    </w:p>
    <w:p>
      <w:pPr>
        <w:pStyle w:val="Heading1"/>
      </w:pPr>
      <w:r>
        <w:t>Executive Summary</w:t>
      </w:r>
    </w:p>
    <w:tbl>
      <w:tblPr>
        <w:tblW w:type="auto" w:w="0"/>
        <w:jc w:val="center"/>
        <w:tblLook w:firstColumn="1" w:firstRow="1" w:lastColumn="0" w:lastRow="0" w:noHBand="0" w:noVBand="1" w:val="04A0"/>
        <w:tblBorders>
          <w:top w:val="single" w:sz="6" w:space="0" w:color="E6DFD4"/>
          <w:left w:val="single" w:sz="6" w:space="0" w:color="E6DFD4"/>
          <w:bottom w:val="single" w:sz="6" w:space="0" w:color="E6DFD4"/>
          <w:right w:val="single" w:sz="6" w:space="0" w:color="E6DFD4"/>
          <w:insideH w:val="single" w:sz="6" w:space="0" w:color="E6DFD4"/>
          <w:insideV w:val="single" w:sz="6" w:space="0" w:color="E6DFD4"/>
        </w:tblBorders>
      </w:tblPr>
      <w:tblGrid>
        <w:gridCol w:w="9865"/>
      </w:tblGrid>
      <w:tr>
        <w:tc>
          <w:tcPr>
            <w:tcW w:type="dxa" w:w="9865"/>
            <w:shd w:fill="FBF8F1"/>
            <w:tcMar>
              <w:top w:w="160" w:type="dxa"/>
              <w:start w:w="180" w:type="dxa"/>
              <w:bottom w:w="160" w:type="dxa"/>
              <w:end w:w="180" w:type="dxa"/>
            </w:tcMar>
          </w:tcPr>
          <w:p>
            <w:r>
              <w:rPr>
                <w:rFonts w:ascii="Arial" w:hAnsi="Arial"/>
                <w:b/>
                <w:color w:val="C89B3C"/>
                <w:sz w:val="16"/>
              </w:rPr>
              <w:t>LEITSATZ</w:t>
            </w:r>
          </w:p>
          <w:p>
            <w:r>
              <w:rPr>
                <w:rFonts w:ascii="Georgia" w:hAnsi="Georgia"/>
                <w:b/>
                <w:color w:val="0B1020"/>
                <w:sz w:val="26"/>
              </w:rPr>
              <w:t>Produkte werden nicht verboten. Sie werden wahrer beschrieben.</w:t>
            </w:r>
          </w:p>
        </w:tc>
      </w:tr>
    </w:tbl>
    <w:p/>
    <w:p>
      <w:r>
        <w:rPr>
          <w:rFonts w:ascii="Arial" w:hAnsi="Arial"/>
          <w:b w:val="0"/>
          <w:i w:val="0"/>
          <w:color w:val="4B4F56"/>
          <w:sz w:val="19"/>
        </w:rPr>
        <w:t>Dieses Detailkonzept beschreibt Produkte als Wirkungsträger. Ein Produkt ist in der Wirkungsökonomie nicht nur Ware, Preis, Marke oder Funktion. Es ist ein verdichteter Wirkungsraum: Rohstoffe, Energie, Wasser, Arbeit, Lieferkette, Gesundheit, Nutzung, Reparatur, Entsorgung, Daten und Konsumentscheidungen wirken zusammen. Der heutige Markt zeigt diese Wirkungen nur unzureichend. Er zeigt Preis, Verfügbarkeit, Marke und Produktnutzen, aber nicht systematisch, ob ein Produkt Mensch, Planet und Demokratie stärkt oder schwächt.</w:t>
      </w:r>
    </w:p>
    <w:p>
      <w:r>
        <w:rPr>
          <w:rFonts w:ascii="Arial" w:hAnsi="Arial"/>
          <w:b w:val="0"/>
          <w:i w:val="0"/>
          <w:color w:val="4B4F56"/>
          <w:sz w:val="19"/>
        </w:rPr>
        <w:t>Die Wirkungsökonomie macht Produktwirkung sichtbar, indem sie Produktdaten mit SDGs, SDG+, WÖk-IDs, Scorecards, NACE, CSRD/ESRS/GRI, digitalen Produktpässen und Wirkungssteuerlogik verbindet. Ziel ist nicht moralische Konsumsteuerung, sondern ehrliche Information und bessere Rückkopplung. Verbraucher:innen sollen nicht recherchieren müssen, welche Lieferkette, welches Wasserstressgebiet, welche Chemikalien, welche Arbeitsbedingungen und welche Entsorgungsrisiken in einem Produkt stecken. Diese Informationen gehören in die Produktarchitektur selbst.</w:t>
      </w:r>
    </w:p>
    <w:p>
      <w:r>
        <w:rPr>
          <w:rFonts w:ascii="Arial" w:hAnsi="Arial"/>
          <w:b w:val="0"/>
          <w:i w:val="0"/>
          <w:color w:val="4B4F56"/>
          <w:sz w:val="19"/>
        </w:rPr>
        <w:t>Die zentrale These lautet: Produkte sind die alltagsnächste Stelle, an der Wirkungsökonomie erfahrbar wird. Wenn Wirkung am Produkt sichtbar wird, verändern sich Preise, Lieferketten, Einkauf, Produktentwicklung, Kapitalzugang, Innovation und Verbraucherverhalten zugleich.</w:t>
      </w:r>
    </w:p>
    <w:p>
      <w:pPr>
        <w:pStyle w:val="Heading1"/>
      </w:pPr>
      <w:r>
        <w:t>Ausgangsdiagnose: Warum Produkte heute zu eng gelesen werden</w:t>
      </w:r>
    </w:p>
    <w:p>
      <w:r>
        <w:rPr>
          <w:rFonts w:ascii="Arial" w:hAnsi="Arial"/>
          <w:b w:val="0"/>
          <w:i w:val="0"/>
          <w:color w:val="4B4F56"/>
          <w:sz w:val="19"/>
        </w:rPr>
        <w:t>Der heutige Produktmarkt unterscheidet präzise nach Preis, Kategorie, Marke, Qualität, Verfügbarkeit und Design. Er unterscheidet aber unzureichend, ob ein Produkt externe Kosten erzeugt, Lieferketten stabilisiert oder zerstört, ökologische Grenzen verletzt, Gesundheit schützt oder gefährdet und demokratische oder soziale Infrastruktur stärkt. Diese Blindheit erzeugt Fehlanreize: Schädliche Produkte können billig erscheinen, wenn ihre Folgekosten nicht im Preis sichtbar werden.</w:t>
      </w:r>
    </w:p>
    <w:p>
      <w:r>
        <w:rPr>
          <w:rFonts w:ascii="Arial" w:hAnsi="Arial"/>
          <w:b w:val="0"/>
          <w:i w:val="0"/>
          <w:color w:val="4B4F56"/>
          <w:sz w:val="19"/>
        </w:rPr>
        <w:t>Diese Diagnose ist in den vorhandenen Produktpapieren bereits klar angelegt: Heutige Produktpreise zeigen nur einen Bruchteil der Wahrheit, weil die Wirkung eines Produkts auf Mensch, Planet und Gesellschaft unsichtbar bleibt. Die Wirkungsökonomie greift diese Diagnose auf und übersetzt sie in eine produktbezogene Steuerungsarchitektur.</w:t>
      </w:r>
    </w:p>
    <w:p>
      <w:r>
        <w:rPr>
          <w:rFonts w:ascii="Arial" w:hAnsi="Arial"/>
          <w:b w:val="0"/>
          <w:i w:val="0"/>
          <w:color w:val="4B4F56"/>
          <w:sz w:val="19"/>
        </w:rPr>
        <w:t>Produkte sind deshalb nicht nur Objekte des Konsums, sondern Knotenpunkte gesellschaftlicher Wirkungen. Sie verbinden Landwirtschaft, Industrie, Logistik, Handel, Finanzierung, Werbung, Nutzung und Entsorgung. Ein einzelnes Produkt kann Wasser in Trockenregionen beanspruchen, faire Arbeit ermöglichen oder verhindern, Mikroplastik erzeugen, lokale Wirtschaft stärken, Entsorgungskosten verursachen oder Gesundheit fördern.</w:t>
      </w:r>
    </w:p>
    <w:p>
      <w:pPr>
        <w:pStyle w:val="Heading1"/>
      </w:pPr>
      <w:r>
        <w:t>Produkt als Wirkungsträger</w:t>
      </w:r>
    </w:p>
    <w:p>
      <w:r>
        <w:rPr>
          <w:rFonts w:ascii="Arial" w:hAnsi="Arial"/>
          <w:b w:val="0"/>
          <w:i w:val="0"/>
          <w:color w:val="4B4F56"/>
          <w:sz w:val="19"/>
        </w:rPr>
        <w:t>Ein Produkt ist ein Wirkungsträger, weil es Zustandsveränderungen auslöst oder ermöglicht. Diese Zustandsveränderungen können positiv, negativ oder neutral sein. Positive Produktwirkung liegt vor, wenn ein Produkt auf SDGs, Agenda 2030 und SDG+ einzahlt. Negative Produktwirkung liegt vor, wenn es diese Rahmen schwächt, blockiert oder zerstört.</w:t>
      </w:r>
    </w:p>
    <w:p>
      <w:r>
        <w:rPr>
          <w:rFonts w:ascii="Arial" w:hAnsi="Arial"/>
          <w:b w:val="0"/>
          <w:i w:val="0"/>
          <w:color w:val="4B4F56"/>
          <w:sz w:val="19"/>
        </w:rPr>
        <w:t>Die Wirkungsökonomie unterscheidet dabei nicht zwischen „guten“ und „bösen“ Produkten im moralischen Sinn. Sie fragt: Welche realen Zustände werden verändert? Wer ist betroffen? Welche Wirkung entsteht direkt, indirekt, zeitverzögert oder kumulativ? Welche Wirkungsgrenzen dürfen nicht kompensiert werden?</w:t>
      </w:r>
    </w:p>
    <w:p>
      <w:r>
        <w:rPr>
          <w:rFonts w:ascii="Arial" w:hAnsi="Arial"/>
          <w:b w:val="0"/>
          <w:i w:val="0"/>
          <w:color w:val="4B4F56"/>
          <w:sz w:val="19"/>
        </w:rPr>
        <w:t>Ein Produkt ist also kein isolierter Gegenstand, sondern ein Paket aus Wirkungspfaden. Ein T-Shirt enthält Baumwollanbau, Wasserverbrauch, Chemikalien, Arbeitsbedingungen, Transport, Nutzung, Waschverhalten, Haltbarkeit, Reparaturfähigkeit und Recyclingfähigkeit. Ein Apfel enthält Landwirtschaft, Wasser, Boden, Pestizide, Transport, Ernährung, Verpackung und regionale Wertschöpfung. Ein Elektrogerät enthält Rohstoffe, Energie, Reparaturfähigkeit, Datenrechte, Elektroschrott und Produktlebensdauer.</w:t>
      </w:r>
    </w:p>
    <w:p>
      <w:pPr>
        <w:pStyle w:val="Heading1"/>
      </w:pPr>
      <w:r>
        <w:t>Lebenszykluslogik: vom Rohstoff bis zum Ende</w:t>
      </w:r>
    </w:p>
    <w:p>
      <w:r>
        <w:rPr>
          <w:rFonts w:ascii="Arial" w:hAnsi="Arial"/>
          <w:b w:val="0"/>
          <w:i w:val="0"/>
          <w:color w:val="4B4F56"/>
          <w:sz w:val="19"/>
        </w:rPr>
        <w:t>Die Lebenszykluslogik verhindert, dass Produktwirkung nur an der Verkaufsstelle betrachtet wird. Die Wirkung beginnt beim Rohstoff und endet nicht mit dem Kauf. Entscheidend sind Rohstoffgewinnung, Herstellung, Lieferkette, Verpackung, Transport, Nutzung, Wartung, Reparatur, Wiederverwendung, Recycling und Entsorgung.</w:t>
      </w:r>
    </w:p>
    <w:p>
      <w:r>
        <w:rPr>
          <w:rFonts w:ascii="Arial" w:hAnsi="Arial"/>
          <w:b w:val="0"/>
          <w:i w:val="0"/>
          <w:color w:val="4B4F56"/>
          <w:sz w:val="19"/>
        </w:rPr>
        <w:t>Jede Lebenszyklusphase erzeugt eigene Wirkungsfragen. Ein Produkt kann in der Herstellung emissionsarm sein, aber in der Nutzung hohe Folgekosten erzeugen. Es kann ressourcenschonend wirken, aber unter problematischen Arbeitsbedingungen hergestellt sein. Es kann sozial positiv sein, aber toxische Stoffe enthalten. Die Wirkungsökonomie braucht deshalb eine Lebenszyklus-Scorecard, die zentrale Engpässe sichtbar macht.</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3288"/>
        <w:gridCol w:w="3288"/>
        <w:gridCol w:w="3288"/>
      </w:tblGrid>
      <w:tr>
        <w:trPr>
          <w:tblHeader w:val="true"/>
        </w:trPr>
        <w:tc>
          <w:tcPr>
            <w:tcW w:type="dxa" w:w="1928"/>
            <w:shd w:fill="0B1020"/>
            <w:tcMar>
              <w:top w:w="90" w:type="dxa"/>
              <w:start w:w="90" w:type="dxa"/>
              <w:bottom w:w="90" w:type="dxa"/>
              <w:end w:w="90" w:type="dxa"/>
            </w:tcMar>
          </w:tcPr>
          <w:p>
            <w:r>
              <w:rPr>
                <w:rFonts w:ascii="Arial" w:hAnsi="Arial"/>
                <w:b/>
                <w:color w:val="FFFFFF"/>
                <w:sz w:val="17"/>
              </w:rPr>
              <w:t>Lebenszyklusphase</w:t>
            </w:r>
          </w:p>
        </w:tc>
        <w:tc>
          <w:tcPr>
            <w:tcW w:type="dxa" w:w="4082"/>
            <w:shd w:fill="0B1020"/>
            <w:tcMar>
              <w:top w:w="90" w:type="dxa"/>
              <w:start w:w="90" w:type="dxa"/>
              <w:bottom w:w="90" w:type="dxa"/>
              <w:end w:w="90" w:type="dxa"/>
            </w:tcMar>
          </w:tcPr>
          <w:p>
            <w:r>
              <w:rPr>
                <w:rFonts w:ascii="Arial" w:hAnsi="Arial"/>
                <w:b/>
                <w:color w:val="FFFFFF"/>
                <w:sz w:val="17"/>
              </w:rPr>
              <w:t>Typische Wirkungsfragen</w:t>
            </w:r>
          </w:p>
        </w:tc>
        <w:tc>
          <w:tcPr>
            <w:tcW w:type="dxa" w:w="2948"/>
            <w:shd w:fill="0B1020"/>
            <w:tcMar>
              <w:top w:w="90" w:type="dxa"/>
              <w:start w:w="90" w:type="dxa"/>
              <w:bottom w:w="90" w:type="dxa"/>
              <w:end w:w="90" w:type="dxa"/>
            </w:tcMar>
          </w:tcPr>
          <w:p>
            <w:r>
              <w:rPr>
                <w:rFonts w:ascii="Arial" w:hAnsi="Arial"/>
                <w:b/>
                <w:color w:val="FFFFFF"/>
                <w:sz w:val="17"/>
              </w:rPr>
              <w:t>WÖk-Anschluss</w:t>
            </w:r>
          </w:p>
        </w:tc>
      </w:tr>
      <w:tr>
        <w:tc>
          <w:tcPr>
            <w:tcW w:type="dxa" w:w="1928"/>
            <w:tcMar>
              <w:top w:w="80" w:type="dxa"/>
              <w:start w:w="80" w:type="dxa"/>
              <w:bottom w:w="80" w:type="dxa"/>
              <w:end w:w="80" w:type="dxa"/>
            </w:tcMar>
            <w:shd w:fill="FBF8F1"/>
          </w:tcPr>
          <w:p>
            <w:r>
              <w:rPr>
                <w:rFonts w:ascii="Arial" w:hAnsi="Arial"/>
                <w:b/>
                <w:color w:val="0B1020"/>
                <w:sz w:val="17"/>
              </w:rPr>
              <w:t>Rohstoff</w:t>
            </w:r>
          </w:p>
        </w:tc>
        <w:tc>
          <w:tcPr>
            <w:tcW w:type="dxa" w:w="4082"/>
            <w:tcMar>
              <w:top w:w="80" w:type="dxa"/>
              <w:start w:w="80" w:type="dxa"/>
              <w:bottom w:w="80" w:type="dxa"/>
              <w:end w:w="80" w:type="dxa"/>
            </w:tcMar>
          </w:tcPr>
          <w:p>
            <w:r>
              <w:rPr>
                <w:rFonts w:ascii="Arial" w:hAnsi="Arial"/>
                <w:b w:val="0"/>
                <w:color w:val="4B4F56"/>
                <w:sz w:val="17"/>
              </w:rPr>
              <w:t>Herkunft, Wasser, Land, Biodiversität, Menschenrechte, kritische Rohstoffe</w:t>
            </w:r>
          </w:p>
        </w:tc>
        <w:tc>
          <w:tcPr>
            <w:tcW w:type="dxa" w:w="2948"/>
            <w:tcMar>
              <w:top w:w="80" w:type="dxa"/>
              <w:start w:w="80" w:type="dxa"/>
              <w:bottom w:w="80" w:type="dxa"/>
              <w:end w:w="80" w:type="dxa"/>
            </w:tcMar>
          </w:tcPr>
          <w:p>
            <w:r>
              <w:rPr>
                <w:rFonts w:ascii="Arial" w:hAnsi="Arial"/>
                <w:b w:val="0"/>
                <w:color w:val="4B4F56"/>
                <w:sz w:val="17"/>
              </w:rPr>
              <w:t>WÖk-IDs, Lieferkettendaten, Taxonomie, CSDDD-Anschluss</w:t>
            </w:r>
          </w:p>
        </w:tc>
      </w:tr>
      <w:tr>
        <w:tc>
          <w:tcPr>
            <w:tcW w:type="dxa" w:w="1928"/>
            <w:tcMar>
              <w:top w:w="80" w:type="dxa"/>
              <w:start w:w="80" w:type="dxa"/>
              <w:bottom w:w="80" w:type="dxa"/>
              <w:end w:w="80" w:type="dxa"/>
            </w:tcMar>
            <w:shd w:fill="FBF8F1"/>
          </w:tcPr>
          <w:p>
            <w:r>
              <w:rPr>
                <w:rFonts w:ascii="Arial" w:hAnsi="Arial"/>
                <w:b/>
                <w:color w:val="0B1020"/>
                <w:sz w:val="17"/>
              </w:rPr>
              <w:t>Herstellung</w:t>
            </w:r>
          </w:p>
        </w:tc>
        <w:tc>
          <w:tcPr>
            <w:tcW w:type="dxa" w:w="4082"/>
            <w:tcMar>
              <w:top w:w="80" w:type="dxa"/>
              <w:start w:w="80" w:type="dxa"/>
              <w:bottom w:w="80" w:type="dxa"/>
              <w:end w:w="80" w:type="dxa"/>
            </w:tcMar>
          </w:tcPr>
          <w:p>
            <w:r>
              <w:rPr>
                <w:rFonts w:ascii="Arial" w:hAnsi="Arial"/>
                <w:b w:val="0"/>
                <w:color w:val="4B4F56"/>
                <w:sz w:val="17"/>
              </w:rPr>
              <w:t>Energie, Emissionen, Chemikalien, Arbeitsschutz, Löhne, Abfall</w:t>
            </w:r>
          </w:p>
        </w:tc>
        <w:tc>
          <w:tcPr>
            <w:tcW w:type="dxa" w:w="2948"/>
            <w:tcMar>
              <w:top w:w="80" w:type="dxa"/>
              <w:start w:w="80" w:type="dxa"/>
              <w:bottom w:w="80" w:type="dxa"/>
              <w:end w:w="80" w:type="dxa"/>
            </w:tcMar>
          </w:tcPr>
          <w:p>
            <w:r>
              <w:rPr>
                <w:rFonts w:ascii="Arial" w:hAnsi="Arial"/>
                <w:b w:val="0"/>
                <w:color w:val="4B4F56"/>
                <w:sz w:val="17"/>
              </w:rPr>
              <w:t>CSRD/ESRS, GRI, Scorecards, Benchmarking</w:t>
            </w:r>
          </w:p>
        </w:tc>
      </w:tr>
      <w:tr>
        <w:tc>
          <w:tcPr>
            <w:tcW w:type="dxa" w:w="1928"/>
            <w:tcMar>
              <w:top w:w="80" w:type="dxa"/>
              <w:start w:w="80" w:type="dxa"/>
              <w:bottom w:w="80" w:type="dxa"/>
              <w:end w:w="80" w:type="dxa"/>
            </w:tcMar>
            <w:shd w:fill="FBF8F1"/>
          </w:tcPr>
          <w:p>
            <w:r>
              <w:rPr>
                <w:rFonts w:ascii="Arial" w:hAnsi="Arial"/>
                <w:b/>
                <w:color w:val="0B1020"/>
                <w:sz w:val="17"/>
              </w:rPr>
              <w:t>Transport</w:t>
            </w:r>
          </w:p>
        </w:tc>
        <w:tc>
          <w:tcPr>
            <w:tcW w:type="dxa" w:w="4082"/>
            <w:tcMar>
              <w:top w:w="80" w:type="dxa"/>
              <w:start w:w="80" w:type="dxa"/>
              <w:bottom w:w="80" w:type="dxa"/>
              <w:end w:w="80" w:type="dxa"/>
            </w:tcMar>
          </w:tcPr>
          <w:p>
            <w:r>
              <w:rPr>
                <w:rFonts w:ascii="Arial" w:hAnsi="Arial"/>
                <w:b w:val="0"/>
                <w:color w:val="4B4F56"/>
                <w:sz w:val="17"/>
              </w:rPr>
              <w:t>Transportdistanz, Energieträger, Kühlkette, Verpackung, Lagerung</w:t>
            </w:r>
          </w:p>
        </w:tc>
        <w:tc>
          <w:tcPr>
            <w:tcW w:type="dxa" w:w="2948"/>
            <w:tcMar>
              <w:top w:w="80" w:type="dxa"/>
              <w:start w:w="80" w:type="dxa"/>
              <w:bottom w:w="80" w:type="dxa"/>
              <w:end w:w="80" w:type="dxa"/>
            </w:tcMar>
          </w:tcPr>
          <w:p>
            <w:r>
              <w:rPr>
                <w:rFonts w:ascii="Arial" w:hAnsi="Arial"/>
                <w:b w:val="0"/>
                <w:color w:val="4B4F56"/>
                <w:sz w:val="17"/>
              </w:rPr>
              <w:t>DPP, PCF, Logistikdaten</w:t>
            </w:r>
          </w:p>
        </w:tc>
      </w:tr>
      <w:tr>
        <w:tc>
          <w:tcPr>
            <w:tcW w:type="dxa" w:w="1928"/>
            <w:tcMar>
              <w:top w:w="80" w:type="dxa"/>
              <w:start w:w="80" w:type="dxa"/>
              <w:bottom w:w="80" w:type="dxa"/>
              <w:end w:w="80" w:type="dxa"/>
            </w:tcMar>
            <w:shd w:fill="FBF8F1"/>
          </w:tcPr>
          <w:p>
            <w:r>
              <w:rPr>
                <w:rFonts w:ascii="Arial" w:hAnsi="Arial"/>
                <w:b/>
                <w:color w:val="0B1020"/>
                <w:sz w:val="17"/>
              </w:rPr>
              <w:t>Nutzung</w:t>
            </w:r>
          </w:p>
        </w:tc>
        <w:tc>
          <w:tcPr>
            <w:tcW w:type="dxa" w:w="4082"/>
            <w:tcMar>
              <w:top w:w="80" w:type="dxa"/>
              <w:start w:w="80" w:type="dxa"/>
              <w:bottom w:w="80" w:type="dxa"/>
              <w:end w:w="80" w:type="dxa"/>
            </w:tcMar>
          </w:tcPr>
          <w:p>
            <w:r>
              <w:rPr>
                <w:rFonts w:ascii="Arial" w:hAnsi="Arial"/>
                <w:b w:val="0"/>
                <w:color w:val="4B4F56"/>
                <w:sz w:val="17"/>
              </w:rPr>
              <w:t>Energieverbrauch, Gesundheit, Sicherheit, Reparatur, Barrierefreiheit</w:t>
            </w:r>
          </w:p>
        </w:tc>
        <w:tc>
          <w:tcPr>
            <w:tcW w:type="dxa" w:w="2948"/>
            <w:tcMar>
              <w:top w:w="80" w:type="dxa"/>
              <w:start w:w="80" w:type="dxa"/>
              <w:bottom w:w="80" w:type="dxa"/>
              <w:end w:w="80" w:type="dxa"/>
            </w:tcMar>
          </w:tcPr>
          <w:p>
            <w:r>
              <w:rPr>
                <w:rFonts w:ascii="Arial" w:hAnsi="Arial"/>
                <w:b w:val="0"/>
                <w:color w:val="4B4F56"/>
                <w:sz w:val="17"/>
              </w:rPr>
              <w:t>DPP, Produktsicherheit, Nutzer:inneninformation</w:t>
            </w:r>
          </w:p>
        </w:tc>
      </w:tr>
      <w:tr>
        <w:tc>
          <w:tcPr>
            <w:tcW w:type="dxa" w:w="1928"/>
            <w:tcMar>
              <w:top w:w="80" w:type="dxa"/>
              <w:start w:w="80" w:type="dxa"/>
              <w:bottom w:w="80" w:type="dxa"/>
              <w:end w:w="80" w:type="dxa"/>
            </w:tcMar>
            <w:shd w:fill="FBF8F1"/>
          </w:tcPr>
          <w:p>
            <w:r>
              <w:rPr>
                <w:rFonts w:ascii="Arial" w:hAnsi="Arial"/>
                <w:b/>
                <w:color w:val="0B1020"/>
                <w:sz w:val="17"/>
              </w:rPr>
              <w:t>Ende</w:t>
            </w:r>
          </w:p>
        </w:tc>
        <w:tc>
          <w:tcPr>
            <w:tcW w:type="dxa" w:w="4082"/>
            <w:tcMar>
              <w:top w:w="80" w:type="dxa"/>
              <w:start w:w="80" w:type="dxa"/>
              <w:bottom w:w="80" w:type="dxa"/>
              <w:end w:w="80" w:type="dxa"/>
            </w:tcMar>
          </w:tcPr>
          <w:p>
            <w:r>
              <w:rPr>
                <w:rFonts w:ascii="Arial" w:hAnsi="Arial"/>
                <w:b w:val="0"/>
                <w:color w:val="4B4F56"/>
                <w:sz w:val="17"/>
              </w:rPr>
              <w:t>Recycling, Wiederverwendung, Rücknahme, Schadstoffe, Abfall</w:t>
            </w:r>
          </w:p>
        </w:tc>
        <w:tc>
          <w:tcPr>
            <w:tcW w:type="dxa" w:w="2948"/>
            <w:tcMar>
              <w:top w:w="80" w:type="dxa"/>
              <w:start w:w="80" w:type="dxa"/>
              <w:bottom w:w="80" w:type="dxa"/>
              <w:end w:w="80" w:type="dxa"/>
            </w:tcMar>
          </w:tcPr>
          <w:p>
            <w:r>
              <w:rPr>
                <w:rFonts w:ascii="Arial" w:hAnsi="Arial"/>
                <w:b w:val="0"/>
                <w:color w:val="4B4F56"/>
                <w:sz w:val="17"/>
              </w:rPr>
              <w:t>ESPR, Kreislaufwirtschaft, Produktpass</w:t>
            </w:r>
          </w:p>
        </w:tc>
      </w:tr>
    </w:tbl>
    <w:p/>
    <w:p>
      <w:pPr>
        <w:pStyle w:val="Heading1"/>
      </w:pPr>
      <w:r>
        <w:t>Akteursgruppen und Verantwortungsräume</w:t>
      </w:r>
    </w:p>
    <w:p>
      <w:r>
        <w:rPr>
          <w:rFonts w:ascii="Arial" w:hAnsi="Arial"/>
          <w:b w:val="0"/>
          <w:i w:val="0"/>
          <w:color w:val="4B4F56"/>
          <w:sz w:val="19"/>
        </w:rPr>
        <w:t>Produktwirkung entsteht nicht durch einen einzelnen Akteur. Hersteller:innen, Lieferanten, Händler:innen, Plattformen, Konsument:innen, Prüfer:innen, Finanzierer, Gesetzgeber und Behörden teilen Verantwortung. Die Wirkungsökonomie vermeidet dabei eine Schuldlogik. Sie schafft eine Verantwortungslogik: Wer an der Produktwirkung beteiligt ist, braucht passende Daten, Rollen, Rechte und Pflichten.</w:t>
      </w:r>
    </w:p>
    <w:p>
      <w:r>
        <w:rPr>
          <w:rFonts w:ascii="Arial" w:hAnsi="Arial"/>
          <w:b w:val="0"/>
          <w:i w:val="0"/>
          <w:color w:val="4B4F56"/>
          <w:sz w:val="19"/>
        </w:rPr>
        <w:t>Besonders wichtig ist die Unterscheidung zwischen kleinen Unternehmen und großen Konzernen. Große Unternehmen können komplexe Produktdatenräume, Audits und Scorecards schneller aufbauen. Kleine Unternehmen brauchen vereinfachte Verfahren, Branchenprofile, Standardwerte, Beratung und Übergangsfristen.</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3288"/>
        <w:gridCol w:w="3288"/>
        <w:gridCol w:w="3288"/>
      </w:tblGrid>
      <w:tr>
        <w:trPr>
          <w:tblHeader w:val="true"/>
        </w:trPr>
        <w:tc>
          <w:tcPr>
            <w:tcW w:type="dxa" w:w="1984"/>
            <w:shd w:fill="0B1020"/>
            <w:tcMar>
              <w:top w:w="90" w:type="dxa"/>
              <w:start w:w="90" w:type="dxa"/>
              <w:bottom w:w="90" w:type="dxa"/>
              <w:end w:w="90" w:type="dxa"/>
            </w:tcMar>
          </w:tcPr>
          <w:p>
            <w:r>
              <w:rPr>
                <w:rFonts w:ascii="Arial" w:hAnsi="Arial"/>
                <w:b/>
                <w:color w:val="FFFFFF"/>
                <w:sz w:val="17"/>
              </w:rPr>
              <w:t>Akteur</w:t>
            </w:r>
          </w:p>
        </w:tc>
        <w:tc>
          <w:tcPr>
            <w:tcW w:type="dxa" w:w="3685"/>
            <w:shd w:fill="0B1020"/>
            <w:tcMar>
              <w:top w:w="90" w:type="dxa"/>
              <w:start w:w="90" w:type="dxa"/>
              <w:bottom w:w="90" w:type="dxa"/>
              <w:end w:w="90" w:type="dxa"/>
            </w:tcMar>
          </w:tcPr>
          <w:p>
            <w:r>
              <w:rPr>
                <w:rFonts w:ascii="Arial" w:hAnsi="Arial"/>
                <w:b/>
                <w:color w:val="FFFFFF"/>
                <w:sz w:val="17"/>
              </w:rPr>
              <w:t>Rolle in der Produktwirkung</w:t>
            </w:r>
          </w:p>
        </w:tc>
        <w:tc>
          <w:tcPr>
            <w:tcW w:type="dxa" w:w="3118"/>
            <w:shd w:fill="0B1020"/>
            <w:tcMar>
              <w:top w:w="90" w:type="dxa"/>
              <w:start w:w="90" w:type="dxa"/>
              <w:bottom w:w="90" w:type="dxa"/>
              <w:end w:w="90" w:type="dxa"/>
            </w:tcMar>
          </w:tcPr>
          <w:p>
            <w:r>
              <w:rPr>
                <w:rFonts w:ascii="Arial" w:hAnsi="Arial"/>
                <w:b/>
                <w:color w:val="FFFFFF"/>
                <w:sz w:val="17"/>
              </w:rPr>
              <w:t>WÖk-Anforderung</w:t>
            </w:r>
          </w:p>
        </w:tc>
      </w:tr>
      <w:tr>
        <w:tc>
          <w:tcPr>
            <w:tcW w:type="dxa" w:w="1984"/>
            <w:tcMar>
              <w:top w:w="80" w:type="dxa"/>
              <w:start w:w="80" w:type="dxa"/>
              <w:bottom w:w="80" w:type="dxa"/>
              <w:end w:w="80" w:type="dxa"/>
            </w:tcMar>
            <w:shd w:fill="FBF8F1"/>
          </w:tcPr>
          <w:p>
            <w:r>
              <w:rPr>
                <w:rFonts w:ascii="Arial" w:hAnsi="Arial"/>
                <w:b/>
                <w:color w:val="0B1020"/>
                <w:sz w:val="17"/>
              </w:rPr>
              <w:t>Hersteller:innen</w:t>
            </w:r>
          </w:p>
        </w:tc>
        <w:tc>
          <w:tcPr>
            <w:tcW w:type="dxa" w:w="3685"/>
            <w:tcMar>
              <w:top w:w="80" w:type="dxa"/>
              <w:start w:w="80" w:type="dxa"/>
              <w:bottom w:w="80" w:type="dxa"/>
              <w:end w:w="80" w:type="dxa"/>
            </w:tcMar>
          </w:tcPr>
          <w:p>
            <w:r>
              <w:rPr>
                <w:rFonts w:ascii="Arial" w:hAnsi="Arial"/>
                <w:b w:val="0"/>
                <w:color w:val="4B4F56"/>
                <w:sz w:val="17"/>
              </w:rPr>
              <w:t>Produktdesign, Materialwahl, Produktionsprozesse, Datenbereitstellung</w:t>
            </w:r>
          </w:p>
        </w:tc>
        <w:tc>
          <w:tcPr>
            <w:tcW w:type="dxa" w:w="3118"/>
            <w:tcMar>
              <w:top w:w="80" w:type="dxa"/>
              <w:start w:w="80" w:type="dxa"/>
              <w:bottom w:w="80" w:type="dxa"/>
              <w:end w:w="80" w:type="dxa"/>
            </w:tcMar>
          </w:tcPr>
          <w:p>
            <w:r>
              <w:rPr>
                <w:rFonts w:ascii="Arial" w:hAnsi="Arial"/>
                <w:b w:val="0"/>
                <w:color w:val="4B4F56"/>
                <w:sz w:val="17"/>
              </w:rPr>
              <w:t>Produkt-Scorecard, DPP, Wirkungsregister</w:t>
            </w:r>
          </w:p>
        </w:tc>
      </w:tr>
      <w:tr>
        <w:tc>
          <w:tcPr>
            <w:tcW w:type="dxa" w:w="1984"/>
            <w:tcMar>
              <w:top w:w="80" w:type="dxa"/>
              <w:start w:w="80" w:type="dxa"/>
              <w:bottom w:w="80" w:type="dxa"/>
              <w:end w:w="80" w:type="dxa"/>
            </w:tcMar>
            <w:shd w:fill="FBF8F1"/>
          </w:tcPr>
          <w:p>
            <w:r>
              <w:rPr>
                <w:rFonts w:ascii="Arial" w:hAnsi="Arial"/>
                <w:b/>
                <w:color w:val="0B1020"/>
                <w:sz w:val="17"/>
              </w:rPr>
              <w:t>Lieferanten</w:t>
            </w:r>
          </w:p>
        </w:tc>
        <w:tc>
          <w:tcPr>
            <w:tcW w:type="dxa" w:w="3685"/>
            <w:tcMar>
              <w:top w:w="80" w:type="dxa"/>
              <w:start w:w="80" w:type="dxa"/>
              <w:bottom w:w="80" w:type="dxa"/>
              <w:end w:w="80" w:type="dxa"/>
            </w:tcMar>
          </w:tcPr>
          <w:p>
            <w:r>
              <w:rPr>
                <w:rFonts w:ascii="Arial" w:hAnsi="Arial"/>
                <w:b w:val="0"/>
                <w:color w:val="4B4F56"/>
                <w:sz w:val="17"/>
              </w:rPr>
              <w:t>Rohstoffe, Vorprodukte, Arbeits- und Umweltwirkungen</w:t>
            </w:r>
          </w:p>
        </w:tc>
        <w:tc>
          <w:tcPr>
            <w:tcW w:type="dxa" w:w="3118"/>
            <w:tcMar>
              <w:top w:w="80" w:type="dxa"/>
              <w:start w:w="80" w:type="dxa"/>
              <w:bottom w:w="80" w:type="dxa"/>
              <w:end w:w="80" w:type="dxa"/>
            </w:tcMar>
          </w:tcPr>
          <w:p>
            <w:r>
              <w:rPr>
                <w:rFonts w:ascii="Arial" w:hAnsi="Arial"/>
                <w:b w:val="0"/>
                <w:color w:val="4B4F56"/>
                <w:sz w:val="17"/>
              </w:rPr>
              <w:t>Vorprodukt-Scores, Audit, Vorsteuerlogik</w:t>
            </w:r>
          </w:p>
        </w:tc>
      </w:tr>
      <w:tr>
        <w:tc>
          <w:tcPr>
            <w:tcW w:type="dxa" w:w="1984"/>
            <w:tcMar>
              <w:top w:w="80" w:type="dxa"/>
              <w:start w:w="80" w:type="dxa"/>
              <w:bottom w:w="80" w:type="dxa"/>
              <w:end w:w="80" w:type="dxa"/>
            </w:tcMar>
            <w:shd w:fill="FBF8F1"/>
          </w:tcPr>
          <w:p>
            <w:r>
              <w:rPr>
                <w:rFonts w:ascii="Arial" w:hAnsi="Arial"/>
                <w:b/>
                <w:color w:val="0B1020"/>
                <w:sz w:val="17"/>
              </w:rPr>
              <w:t>Handel</w:t>
            </w:r>
          </w:p>
        </w:tc>
        <w:tc>
          <w:tcPr>
            <w:tcW w:type="dxa" w:w="3685"/>
            <w:tcMar>
              <w:top w:w="80" w:type="dxa"/>
              <w:start w:w="80" w:type="dxa"/>
              <w:bottom w:w="80" w:type="dxa"/>
              <w:end w:w="80" w:type="dxa"/>
            </w:tcMar>
          </w:tcPr>
          <w:p>
            <w:r>
              <w:rPr>
                <w:rFonts w:ascii="Arial" w:hAnsi="Arial"/>
                <w:b w:val="0"/>
                <w:color w:val="4B4F56"/>
                <w:sz w:val="17"/>
              </w:rPr>
              <w:t>Sortiment, Preissichtbarkeit, Kund:inneninformation</w:t>
            </w:r>
          </w:p>
        </w:tc>
        <w:tc>
          <w:tcPr>
            <w:tcW w:type="dxa" w:w="3118"/>
            <w:tcMar>
              <w:top w:w="80" w:type="dxa"/>
              <w:start w:w="80" w:type="dxa"/>
              <w:bottom w:w="80" w:type="dxa"/>
              <w:end w:w="80" w:type="dxa"/>
            </w:tcMar>
          </w:tcPr>
          <w:p>
            <w:r>
              <w:rPr>
                <w:rFonts w:ascii="Arial" w:hAnsi="Arial"/>
                <w:b w:val="0"/>
                <w:color w:val="4B4F56"/>
                <w:sz w:val="17"/>
              </w:rPr>
              <w:t>Wirkungskennzeichnung, Toolkarten, Datenübernahme</w:t>
            </w:r>
          </w:p>
        </w:tc>
      </w:tr>
      <w:tr>
        <w:tc>
          <w:tcPr>
            <w:tcW w:type="dxa" w:w="1984"/>
            <w:tcMar>
              <w:top w:w="80" w:type="dxa"/>
              <w:start w:w="80" w:type="dxa"/>
              <w:bottom w:w="80" w:type="dxa"/>
              <w:end w:w="80" w:type="dxa"/>
            </w:tcMar>
            <w:shd w:fill="FBF8F1"/>
          </w:tcPr>
          <w:p>
            <w:r>
              <w:rPr>
                <w:rFonts w:ascii="Arial" w:hAnsi="Arial"/>
                <w:b/>
                <w:color w:val="0B1020"/>
                <w:sz w:val="17"/>
              </w:rPr>
              <w:t>Konsument:innen</w:t>
            </w:r>
          </w:p>
        </w:tc>
        <w:tc>
          <w:tcPr>
            <w:tcW w:type="dxa" w:w="3685"/>
            <w:tcMar>
              <w:top w:w="80" w:type="dxa"/>
              <w:start w:w="80" w:type="dxa"/>
              <w:bottom w:w="80" w:type="dxa"/>
              <w:end w:w="80" w:type="dxa"/>
            </w:tcMar>
          </w:tcPr>
          <w:p>
            <w:r>
              <w:rPr>
                <w:rFonts w:ascii="Arial" w:hAnsi="Arial"/>
                <w:b w:val="0"/>
                <w:color w:val="4B4F56"/>
                <w:sz w:val="17"/>
              </w:rPr>
              <w:t>Kauf, Nutzung, Reparatur, Entsorgung</w:t>
            </w:r>
          </w:p>
        </w:tc>
        <w:tc>
          <w:tcPr>
            <w:tcW w:type="dxa" w:w="3118"/>
            <w:tcMar>
              <w:top w:w="80" w:type="dxa"/>
              <w:start w:w="80" w:type="dxa"/>
              <w:bottom w:w="80" w:type="dxa"/>
              <w:end w:w="80" w:type="dxa"/>
            </w:tcMar>
          </w:tcPr>
          <w:p>
            <w:r>
              <w:rPr>
                <w:rFonts w:ascii="Arial" w:hAnsi="Arial"/>
                <w:b w:val="0"/>
                <w:color w:val="4B4F56"/>
                <w:sz w:val="17"/>
              </w:rPr>
              <w:t>verständliche Information, keine moralische Überforderung</w:t>
            </w:r>
          </w:p>
        </w:tc>
      </w:tr>
      <w:tr>
        <w:tc>
          <w:tcPr>
            <w:tcW w:type="dxa" w:w="1984"/>
            <w:tcMar>
              <w:top w:w="80" w:type="dxa"/>
              <w:start w:w="80" w:type="dxa"/>
              <w:bottom w:w="80" w:type="dxa"/>
              <w:end w:w="80" w:type="dxa"/>
            </w:tcMar>
            <w:shd w:fill="FBF8F1"/>
          </w:tcPr>
          <w:p>
            <w:r>
              <w:rPr>
                <w:rFonts w:ascii="Arial" w:hAnsi="Arial"/>
                <w:b/>
                <w:color w:val="0B1020"/>
                <w:sz w:val="17"/>
              </w:rPr>
              <w:t>Politik/Verwaltung</w:t>
            </w:r>
          </w:p>
        </w:tc>
        <w:tc>
          <w:tcPr>
            <w:tcW w:type="dxa" w:w="3685"/>
            <w:tcMar>
              <w:top w:w="80" w:type="dxa"/>
              <w:start w:w="80" w:type="dxa"/>
              <w:bottom w:w="80" w:type="dxa"/>
              <w:end w:w="80" w:type="dxa"/>
            </w:tcMar>
          </w:tcPr>
          <w:p>
            <w:r>
              <w:rPr>
                <w:rFonts w:ascii="Arial" w:hAnsi="Arial"/>
                <w:b w:val="0"/>
                <w:color w:val="4B4F56"/>
                <w:sz w:val="17"/>
              </w:rPr>
              <w:t>Regeln, Register, Steuerklassen, Schutzmechanismen</w:t>
            </w:r>
          </w:p>
        </w:tc>
        <w:tc>
          <w:tcPr>
            <w:tcW w:type="dxa" w:w="3118"/>
            <w:tcMar>
              <w:top w:w="80" w:type="dxa"/>
              <w:start w:w="80" w:type="dxa"/>
              <w:bottom w:w="80" w:type="dxa"/>
              <w:end w:w="80" w:type="dxa"/>
            </w:tcMar>
          </w:tcPr>
          <w:p>
            <w:r>
              <w:rPr>
                <w:rFonts w:ascii="Arial" w:hAnsi="Arial"/>
                <w:b w:val="0"/>
                <w:color w:val="4B4F56"/>
                <w:sz w:val="17"/>
              </w:rPr>
              <w:t>rechtlicher Rahmen, Kaufkraftschutz, Prüfung</w:t>
            </w:r>
          </w:p>
        </w:tc>
      </w:tr>
      <w:tr>
        <w:tc>
          <w:tcPr>
            <w:tcW w:type="dxa" w:w="1984"/>
            <w:tcMar>
              <w:top w:w="80" w:type="dxa"/>
              <w:start w:w="80" w:type="dxa"/>
              <w:bottom w:w="80" w:type="dxa"/>
              <w:end w:w="80" w:type="dxa"/>
            </w:tcMar>
            <w:shd w:fill="FBF8F1"/>
          </w:tcPr>
          <w:p>
            <w:r>
              <w:rPr>
                <w:rFonts w:ascii="Arial" w:hAnsi="Arial"/>
                <w:b/>
                <w:color w:val="0B1020"/>
                <w:sz w:val="17"/>
              </w:rPr>
              <w:t>Wirkungsrat/Prüfer:innen</w:t>
            </w:r>
          </w:p>
        </w:tc>
        <w:tc>
          <w:tcPr>
            <w:tcW w:type="dxa" w:w="3685"/>
            <w:tcMar>
              <w:top w:w="80" w:type="dxa"/>
              <w:start w:w="80" w:type="dxa"/>
              <w:bottom w:w="80" w:type="dxa"/>
              <w:end w:w="80" w:type="dxa"/>
            </w:tcMar>
          </w:tcPr>
          <w:p>
            <w:r>
              <w:rPr>
                <w:rFonts w:ascii="Arial" w:hAnsi="Arial"/>
                <w:b w:val="0"/>
                <w:color w:val="4B4F56"/>
                <w:sz w:val="17"/>
              </w:rPr>
              <w:t>Methodik, Benchmarks, Assurance, Revision</w:t>
            </w:r>
          </w:p>
        </w:tc>
        <w:tc>
          <w:tcPr>
            <w:tcW w:type="dxa" w:w="3118"/>
            <w:tcMar>
              <w:top w:w="80" w:type="dxa"/>
              <w:start w:w="80" w:type="dxa"/>
              <w:bottom w:w="80" w:type="dxa"/>
              <w:end w:w="80" w:type="dxa"/>
            </w:tcMar>
          </w:tcPr>
          <w:p>
            <w:r>
              <w:rPr>
                <w:rFonts w:ascii="Arial" w:hAnsi="Arial"/>
                <w:b w:val="0"/>
                <w:color w:val="4B4F56"/>
                <w:sz w:val="17"/>
              </w:rPr>
              <w:t>Unabhängigkeit, Korrektur, Missbrauchsschutz</w:t>
            </w:r>
          </w:p>
        </w:tc>
      </w:tr>
    </w:tbl>
    <w:p/>
    <w:p>
      <w:pPr>
        <w:pStyle w:val="Heading1"/>
      </w:pPr>
      <w:r>
        <w:t>Wirkungsmechanik: direkte, indirekte und systemische Produktwirkung</w:t>
      </w:r>
    </w:p>
    <w:p>
      <w:r>
        <w:rPr>
          <w:rFonts w:ascii="Arial" w:hAnsi="Arial"/>
          <w:b w:val="0"/>
          <w:i w:val="0"/>
          <w:color w:val="4B4F56"/>
          <w:sz w:val="19"/>
        </w:rPr>
        <w:t>Produktwirkung umfasst direkte Wirkungen, indirekte Wirkungen und systemische Folgewirkungen. Direkte Wirkung entsteht in Produktion, Nutzung oder Entsorgung. Indirekte Wirkung entsteht über Lieferketten, Marktverdrängung, Nachfrageeffekte, Standards oder Innovation. Systemische Wirkung entsteht, wenn Produktentscheidungen ganze Branchen, Lieferketten oder Konsummuster verändern.</w:t>
      </w:r>
    </w:p>
    <w:p>
      <w:r>
        <w:rPr>
          <w:rFonts w:ascii="Arial" w:hAnsi="Arial"/>
          <w:b w:val="0"/>
          <w:i w:val="0"/>
          <w:color w:val="4B4F56"/>
          <w:sz w:val="19"/>
        </w:rPr>
        <w:t>Diese Unterscheidung schützt vor simplen Behauptungen. Nicht jedes nachhaltige Label erzeugt bereits positive Netto-Wirkung. Nicht jede technische Verbesserung ist transformativ. Entscheidend ist, ob sich Zustände tatsächlich verändern und ob negative Wirkungen an Wirkungsgrenzen nicht überdeckt werden.</w:t>
      </w:r>
    </w:p>
    <w:p>
      <w:pPr>
        <w:ind w:left="312" w:hanging="159"/>
      </w:pPr>
      <w:r>
        <w:rPr>
          <w:rFonts w:ascii="Arial" w:hAnsi="Arial"/>
          <w:b/>
          <w:color w:val="2F7D5C"/>
          <w:sz w:val="19"/>
        </w:rPr>
        <w:t xml:space="preserve">• </w:t>
      </w:r>
      <w:r>
        <w:rPr>
          <w:rFonts w:ascii="Arial" w:hAnsi="Arial"/>
          <w:color w:val="4B4F56"/>
          <w:sz w:val="19"/>
        </w:rPr>
        <w:t>Direkte Wirkung: messbare Produktfolgen wie Emissionen, Energieverbrauch, Chemikalien, Arbeitsschutz oder Gesundheit.</w:t>
      </w:r>
    </w:p>
    <w:p>
      <w:pPr>
        <w:ind w:left="312" w:hanging="159"/>
      </w:pPr>
      <w:r>
        <w:rPr>
          <w:rFonts w:ascii="Arial" w:hAnsi="Arial"/>
          <w:b/>
          <w:color w:val="2F7D5C"/>
          <w:sz w:val="19"/>
        </w:rPr>
        <w:t xml:space="preserve">• </w:t>
      </w:r>
      <w:r>
        <w:rPr>
          <w:rFonts w:ascii="Arial" w:hAnsi="Arial"/>
          <w:color w:val="4B4F56"/>
          <w:sz w:val="19"/>
        </w:rPr>
        <w:t>Indirekte Wirkung: Lieferkettenveränderungen, Marktverschiebung, Datenanforderungen oder Innovationsanreize.</w:t>
      </w:r>
    </w:p>
    <w:p>
      <w:pPr>
        <w:ind w:left="312" w:hanging="159"/>
      </w:pPr>
      <w:r>
        <w:rPr>
          <w:rFonts w:ascii="Arial" w:hAnsi="Arial"/>
          <w:b/>
          <w:color w:val="2F7D5C"/>
          <w:sz w:val="19"/>
        </w:rPr>
        <w:t xml:space="preserve">• </w:t>
      </w:r>
      <w:r>
        <w:rPr>
          <w:rFonts w:ascii="Arial" w:hAnsi="Arial"/>
          <w:color w:val="4B4F56"/>
          <w:sz w:val="19"/>
        </w:rPr>
        <w:t>Systemische Wirkung: neue Standards, andere Preislogik, Kreislaufmärkte, Vorsteueranreize und Rückkopplung in Kapitalflüsse.</w:t>
      </w:r>
    </w:p>
    <w:p>
      <w:pPr>
        <w:pStyle w:val="Heading1"/>
      </w:pPr>
      <w:r>
        <w:t>Datenbasis und Indikatoren</w:t>
      </w:r>
    </w:p>
    <w:p>
      <w:r>
        <w:rPr>
          <w:rFonts w:ascii="Arial" w:hAnsi="Arial"/>
          <w:b w:val="0"/>
          <w:i w:val="0"/>
          <w:color w:val="4B4F56"/>
          <w:sz w:val="19"/>
        </w:rPr>
        <w:t>Die Produktbewertung baut nicht auf subjektiven Einschätzungen auf. Sie nutzt Daten, die heute bereits entstehen oder über europäische Regulierung ausgebaut werden: CSRD/ESRS, GRI, EU-Taxonomie, EPDs, NACE, digitale Produktpässe, Lieferkettendaten, LCA-Daten, Produktsicherheitsdaten und sektorale Benchmarks.</w:t>
      </w:r>
    </w:p>
    <w:p>
      <w:r>
        <w:rPr>
          <w:rFonts w:ascii="Arial" w:hAnsi="Arial"/>
          <w:b w:val="0"/>
          <w:i w:val="0"/>
          <w:color w:val="4B4F56"/>
          <w:sz w:val="19"/>
        </w:rPr>
        <w:t>Entscheidend ist: Daten werden nicht nur berichtet, sondern rückgekoppelt. Was heute in Nachhaltigkeitsberichten, Produktdatenblättern oder Auditunterlagen liegt, wird in Scorecards, Produktpässe, Steuerklassen, Einkauf, Finanzierung und Verbraucherinformation übersetzt.</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3288"/>
        <w:gridCol w:w="3288"/>
        <w:gridCol w:w="3288"/>
      </w:tblGrid>
      <w:tr>
        <w:trPr>
          <w:tblHeader w:val="true"/>
        </w:trPr>
        <w:tc>
          <w:tcPr>
            <w:tcW w:type="dxa" w:w="1814"/>
            <w:shd w:fill="0B1020"/>
            <w:tcMar>
              <w:top w:w="90" w:type="dxa"/>
              <w:start w:w="90" w:type="dxa"/>
              <w:bottom w:w="90" w:type="dxa"/>
              <w:end w:w="90" w:type="dxa"/>
            </w:tcMar>
          </w:tcPr>
          <w:p>
            <w:r>
              <w:rPr>
                <w:rFonts w:ascii="Arial" w:hAnsi="Arial"/>
                <w:b/>
                <w:color w:val="FFFFFF"/>
                <w:sz w:val="17"/>
              </w:rPr>
              <w:t>Datenquelle</w:t>
            </w:r>
          </w:p>
        </w:tc>
        <w:tc>
          <w:tcPr>
            <w:tcW w:type="dxa" w:w="4082"/>
            <w:shd w:fill="0B1020"/>
            <w:tcMar>
              <w:top w:w="90" w:type="dxa"/>
              <w:start w:w="90" w:type="dxa"/>
              <w:bottom w:w="90" w:type="dxa"/>
              <w:end w:w="90" w:type="dxa"/>
            </w:tcMar>
          </w:tcPr>
          <w:p>
            <w:r>
              <w:rPr>
                <w:rFonts w:ascii="Arial" w:hAnsi="Arial"/>
                <w:b/>
                <w:color w:val="FFFFFF"/>
                <w:sz w:val="17"/>
              </w:rPr>
              <w:t>Beitrag zur Produktwirkung</w:t>
            </w:r>
          </w:p>
        </w:tc>
        <w:tc>
          <w:tcPr>
            <w:tcW w:type="dxa" w:w="2948"/>
            <w:shd w:fill="0B1020"/>
            <w:tcMar>
              <w:top w:w="90" w:type="dxa"/>
              <w:start w:w="90" w:type="dxa"/>
              <w:bottom w:w="90" w:type="dxa"/>
              <w:end w:w="90" w:type="dxa"/>
            </w:tcMar>
          </w:tcPr>
          <w:p>
            <w:r>
              <w:rPr>
                <w:rFonts w:ascii="Arial" w:hAnsi="Arial"/>
                <w:b/>
                <w:color w:val="FFFFFF"/>
                <w:sz w:val="17"/>
              </w:rPr>
              <w:t>Grenze / Schutzbedarf</w:t>
            </w:r>
          </w:p>
        </w:tc>
      </w:tr>
      <w:tr>
        <w:tc>
          <w:tcPr>
            <w:tcW w:type="dxa" w:w="1814"/>
            <w:tcMar>
              <w:top w:w="80" w:type="dxa"/>
              <w:start w:w="80" w:type="dxa"/>
              <w:bottom w:w="80" w:type="dxa"/>
              <w:end w:w="80" w:type="dxa"/>
            </w:tcMar>
            <w:shd w:fill="FBF8F1"/>
          </w:tcPr>
          <w:p>
            <w:r>
              <w:rPr>
                <w:rFonts w:ascii="Arial" w:hAnsi="Arial"/>
                <w:b/>
                <w:color w:val="0B1020"/>
                <w:sz w:val="17"/>
              </w:rPr>
              <w:t>CSRD/ESRS</w:t>
            </w:r>
          </w:p>
        </w:tc>
        <w:tc>
          <w:tcPr>
            <w:tcW w:type="dxa" w:w="4082"/>
            <w:tcMar>
              <w:top w:w="80" w:type="dxa"/>
              <w:start w:w="80" w:type="dxa"/>
              <w:bottom w:w="80" w:type="dxa"/>
              <w:end w:w="80" w:type="dxa"/>
            </w:tcMar>
          </w:tcPr>
          <w:p>
            <w:r>
              <w:rPr>
                <w:rFonts w:ascii="Arial" w:hAnsi="Arial"/>
                <w:b w:val="0"/>
                <w:color w:val="4B4F56"/>
                <w:sz w:val="17"/>
              </w:rPr>
              <w:t>Unternehmens- und Wertschöpfungsdaten zu Umwelt, Sozialem und Governance</w:t>
            </w:r>
          </w:p>
        </w:tc>
        <w:tc>
          <w:tcPr>
            <w:tcW w:type="dxa" w:w="2948"/>
            <w:tcMar>
              <w:top w:w="80" w:type="dxa"/>
              <w:start w:w="80" w:type="dxa"/>
              <w:bottom w:w="80" w:type="dxa"/>
              <w:end w:w="80" w:type="dxa"/>
            </w:tcMar>
          </w:tcPr>
          <w:p>
            <w:r>
              <w:rPr>
                <w:rFonts w:ascii="Arial" w:hAnsi="Arial"/>
                <w:b w:val="0"/>
                <w:color w:val="4B4F56"/>
                <w:sz w:val="17"/>
              </w:rPr>
              <w:t>nicht automatisch produktscharf; braucht Zuordnung</w:t>
            </w:r>
          </w:p>
        </w:tc>
      </w:tr>
      <w:tr>
        <w:tc>
          <w:tcPr>
            <w:tcW w:type="dxa" w:w="1814"/>
            <w:tcMar>
              <w:top w:w="80" w:type="dxa"/>
              <w:start w:w="80" w:type="dxa"/>
              <w:bottom w:w="80" w:type="dxa"/>
              <w:end w:w="80" w:type="dxa"/>
            </w:tcMar>
            <w:shd w:fill="FBF8F1"/>
          </w:tcPr>
          <w:p>
            <w:r>
              <w:rPr>
                <w:rFonts w:ascii="Arial" w:hAnsi="Arial"/>
                <w:b/>
                <w:color w:val="0B1020"/>
                <w:sz w:val="17"/>
              </w:rPr>
              <w:t>GRI</w:t>
            </w:r>
          </w:p>
        </w:tc>
        <w:tc>
          <w:tcPr>
            <w:tcW w:type="dxa" w:w="4082"/>
            <w:tcMar>
              <w:top w:w="80" w:type="dxa"/>
              <w:start w:w="80" w:type="dxa"/>
              <w:bottom w:w="80" w:type="dxa"/>
              <w:end w:w="80" w:type="dxa"/>
            </w:tcMar>
          </w:tcPr>
          <w:p>
            <w:r>
              <w:rPr>
                <w:rFonts w:ascii="Arial" w:hAnsi="Arial"/>
                <w:b w:val="0"/>
                <w:color w:val="4B4F56"/>
                <w:sz w:val="17"/>
              </w:rPr>
              <w:t>international anschlussfähige Indikatoren</w:t>
            </w:r>
          </w:p>
        </w:tc>
        <w:tc>
          <w:tcPr>
            <w:tcW w:type="dxa" w:w="2948"/>
            <w:tcMar>
              <w:top w:w="80" w:type="dxa"/>
              <w:start w:w="80" w:type="dxa"/>
              <w:bottom w:w="80" w:type="dxa"/>
              <w:end w:w="80" w:type="dxa"/>
            </w:tcMar>
          </w:tcPr>
          <w:p>
            <w:r>
              <w:rPr>
                <w:rFonts w:ascii="Arial" w:hAnsi="Arial"/>
                <w:b w:val="0"/>
                <w:color w:val="4B4F56"/>
                <w:sz w:val="17"/>
              </w:rPr>
              <w:t>unterschiedliche Tiefe und Datenqualität</w:t>
            </w:r>
          </w:p>
        </w:tc>
      </w:tr>
      <w:tr>
        <w:tc>
          <w:tcPr>
            <w:tcW w:type="dxa" w:w="1814"/>
            <w:tcMar>
              <w:top w:w="80" w:type="dxa"/>
              <w:start w:w="80" w:type="dxa"/>
              <w:bottom w:w="80" w:type="dxa"/>
              <w:end w:w="80" w:type="dxa"/>
            </w:tcMar>
            <w:shd w:fill="FBF8F1"/>
          </w:tcPr>
          <w:p>
            <w:r>
              <w:rPr>
                <w:rFonts w:ascii="Arial" w:hAnsi="Arial"/>
                <w:b/>
                <w:color w:val="0B1020"/>
                <w:sz w:val="17"/>
              </w:rPr>
              <w:t>NACE</w:t>
            </w:r>
          </w:p>
        </w:tc>
        <w:tc>
          <w:tcPr>
            <w:tcW w:type="dxa" w:w="4082"/>
            <w:tcMar>
              <w:top w:w="80" w:type="dxa"/>
              <w:start w:w="80" w:type="dxa"/>
              <w:bottom w:w="80" w:type="dxa"/>
              <w:end w:w="80" w:type="dxa"/>
            </w:tcMar>
          </w:tcPr>
          <w:p>
            <w:r>
              <w:rPr>
                <w:rFonts w:ascii="Arial" w:hAnsi="Arial"/>
                <w:b w:val="0"/>
                <w:color w:val="4B4F56"/>
                <w:sz w:val="17"/>
              </w:rPr>
              <w:t>wirtschaftliche Aktivität und Branchenzuordnung</w:t>
            </w:r>
          </w:p>
        </w:tc>
        <w:tc>
          <w:tcPr>
            <w:tcW w:type="dxa" w:w="2948"/>
            <w:tcMar>
              <w:top w:w="80" w:type="dxa"/>
              <w:start w:w="80" w:type="dxa"/>
              <w:bottom w:w="80" w:type="dxa"/>
              <w:end w:w="80" w:type="dxa"/>
            </w:tcMar>
          </w:tcPr>
          <w:p>
            <w:r>
              <w:rPr>
                <w:rFonts w:ascii="Arial" w:hAnsi="Arial"/>
                <w:b w:val="0"/>
                <w:color w:val="4B4F56"/>
                <w:sz w:val="17"/>
              </w:rPr>
              <w:t>Produktgruppen müssen sauber gemappt werden</w:t>
            </w:r>
          </w:p>
        </w:tc>
      </w:tr>
      <w:tr>
        <w:tc>
          <w:tcPr>
            <w:tcW w:type="dxa" w:w="1814"/>
            <w:tcMar>
              <w:top w:w="80" w:type="dxa"/>
              <w:start w:w="80" w:type="dxa"/>
              <w:bottom w:w="80" w:type="dxa"/>
              <w:end w:w="80" w:type="dxa"/>
            </w:tcMar>
            <w:shd w:fill="FBF8F1"/>
          </w:tcPr>
          <w:p>
            <w:r>
              <w:rPr>
                <w:rFonts w:ascii="Arial" w:hAnsi="Arial"/>
                <w:b/>
                <w:color w:val="0B1020"/>
                <w:sz w:val="17"/>
              </w:rPr>
              <w:t>DPP</w:t>
            </w:r>
          </w:p>
        </w:tc>
        <w:tc>
          <w:tcPr>
            <w:tcW w:type="dxa" w:w="4082"/>
            <w:tcMar>
              <w:top w:w="80" w:type="dxa"/>
              <w:start w:w="80" w:type="dxa"/>
              <w:bottom w:w="80" w:type="dxa"/>
              <w:end w:w="80" w:type="dxa"/>
            </w:tcMar>
          </w:tcPr>
          <w:p>
            <w:r>
              <w:rPr>
                <w:rFonts w:ascii="Arial" w:hAnsi="Arial"/>
                <w:b w:val="0"/>
                <w:color w:val="4B4F56"/>
                <w:sz w:val="17"/>
              </w:rPr>
              <w:t>produktbezogene Daten über Materialien, Herkunft, Reparatur, Recycling, Lebenszyklus</w:t>
            </w:r>
          </w:p>
        </w:tc>
        <w:tc>
          <w:tcPr>
            <w:tcW w:type="dxa" w:w="2948"/>
            <w:tcMar>
              <w:top w:w="80" w:type="dxa"/>
              <w:start w:w="80" w:type="dxa"/>
              <w:bottom w:w="80" w:type="dxa"/>
              <w:end w:w="80" w:type="dxa"/>
            </w:tcMar>
          </w:tcPr>
          <w:p>
            <w:r>
              <w:rPr>
                <w:rFonts w:ascii="Arial" w:hAnsi="Arial"/>
                <w:b w:val="0"/>
                <w:color w:val="4B4F56"/>
                <w:sz w:val="17"/>
              </w:rPr>
              <w:t>Interoperabilität und Datenschutz sichern</w:t>
            </w:r>
          </w:p>
        </w:tc>
      </w:tr>
      <w:tr>
        <w:tc>
          <w:tcPr>
            <w:tcW w:type="dxa" w:w="1814"/>
            <w:tcMar>
              <w:top w:w="80" w:type="dxa"/>
              <w:start w:w="80" w:type="dxa"/>
              <w:bottom w:w="80" w:type="dxa"/>
              <w:end w:w="80" w:type="dxa"/>
            </w:tcMar>
            <w:shd w:fill="FBF8F1"/>
          </w:tcPr>
          <w:p>
            <w:r>
              <w:rPr>
                <w:rFonts w:ascii="Arial" w:hAnsi="Arial"/>
                <w:b/>
                <w:color w:val="0B1020"/>
                <w:sz w:val="17"/>
              </w:rPr>
              <w:t>EPD/LCA</w:t>
            </w:r>
          </w:p>
        </w:tc>
        <w:tc>
          <w:tcPr>
            <w:tcW w:type="dxa" w:w="4082"/>
            <w:tcMar>
              <w:top w:w="80" w:type="dxa"/>
              <w:start w:w="80" w:type="dxa"/>
              <w:bottom w:w="80" w:type="dxa"/>
              <w:end w:w="80" w:type="dxa"/>
            </w:tcMar>
          </w:tcPr>
          <w:p>
            <w:r>
              <w:rPr>
                <w:rFonts w:ascii="Arial" w:hAnsi="Arial"/>
                <w:b w:val="0"/>
                <w:color w:val="4B4F56"/>
                <w:sz w:val="17"/>
              </w:rPr>
              <w:t>Umweltproduktdaten und Lebenszyklusbewertung</w:t>
            </w:r>
          </w:p>
        </w:tc>
        <w:tc>
          <w:tcPr>
            <w:tcW w:type="dxa" w:w="2948"/>
            <w:tcMar>
              <w:top w:w="80" w:type="dxa"/>
              <w:start w:w="80" w:type="dxa"/>
              <w:bottom w:w="80" w:type="dxa"/>
              <w:end w:w="80" w:type="dxa"/>
            </w:tcMar>
          </w:tcPr>
          <w:p>
            <w:r>
              <w:rPr>
                <w:rFonts w:ascii="Arial" w:hAnsi="Arial"/>
                <w:b w:val="0"/>
                <w:color w:val="4B4F56"/>
                <w:sz w:val="17"/>
              </w:rPr>
              <w:t>soziale und demokratische Wirkung ergänzen</w:t>
            </w:r>
          </w:p>
        </w:tc>
      </w:tr>
      <w:tr>
        <w:tc>
          <w:tcPr>
            <w:tcW w:type="dxa" w:w="1814"/>
            <w:tcMar>
              <w:top w:w="80" w:type="dxa"/>
              <w:start w:w="80" w:type="dxa"/>
              <w:bottom w:w="80" w:type="dxa"/>
              <w:end w:w="80" w:type="dxa"/>
            </w:tcMar>
            <w:shd w:fill="FBF8F1"/>
          </w:tcPr>
          <w:p>
            <w:r>
              <w:rPr>
                <w:rFonts w:ascii="Arial" w:hAnsi="Arial"/>
                <w:b/>
                <w:color w:val="0B1020"/>
                <w:sz w:val="17"/>
              </w:rPr>
              <w:t>WÖk-ID</w:t>
            </w:r>
          </w:p>
        </w:tc>
        <w:tc>
          <w:tcPr>
            <w:tcW w:type="dxa" w:w="4082"/>
            <w:tcMar>
              <w:top w:w="80" w:type="dxa"/>
              <w:start w:w="80" w:type="dxa"/>
              <w:bottom w:w="80" w:type="dxa"/>
              <w:end w:w="80" w:type="dxa"/>
            </w:tcMar>
          </w:tcPr>
          <w:p>
            <w:r>
              <w:rPr>
                <w:rFonts w:ascii="Arial" w:hAnsi="Arial"/>
                <w:b w:val="0"/>
                <w:color w:val="4B4F56"/>
                <w:sz w:val="17"/>
              </w:rPr>
              <w:t>standardisierte Wirkungsindikatoren</w:t>
            </w:r>
          </w:p>
        </w:tc>
        <w:tc>
          <w:tcPr>
            <w:tcW w:type="dxa" w:w="2948"/>
            <w:tcMar>
              <w:top w:w="80" w:type="dxa"/>
              <w:start w:w="80" w:type="dxa"/>
              <w:bottom w:w="80" w:type="dxa"/>
              <w:end w:w="80" w:type="dxa"/>
            </w:tcMar>
          </w:tcPr>
          <w:p>
            <w:r>
              <w:rPr>
                <w:rFonts w:ascii="Arial" w:hAnsi="Arial"/>
                <w:b w:val="0"/>
                <w:color w:val="4B4F56"/>
                <w:sz w:val="17"/>
              </w:rPr>
              <w:t>Governance, Missbrauchsschutz, Versionierung</w:t>
            </w:r>
          </w:p>
        </w:tc>
      </w:tr>
    </w:tbl>
    <w:p/>
    <w:p>
      <w:pPr>
        <w:pStyle w:val="Heading1"/>
      </w:pPr>
      <w:r>
        <w:t>WÖk-IDs, NACE und Produktklassen</w:t>
      </w:r>
    </w:p>
    <w:p>
      <w:r>
        <w:rPr>
          <w:rFonts w:ascii="Arial" w:hAnsi="Arial"/>
          <w:b w:val="0"/>
          <w:i w:val="0"/>
          <w:color w:val="4B4F56"/>
          <w:sz w:val="19"/>
        </w:rPr>
        <w:t>Die WÖk-ID ist das Bindeglied zwischen Produktdaten und Wirkungsbewertung. Sie ordnet Messwerte einem Wirkungsfeld, einem Zielrahmen, einer Datenquelle und einem Bewertungsarchetyp zu. NACE liefert die wirtschaftliche Zuordnung. Produktklassen helfen, vergleichbare Produkte in faire Bewertungsräume zu bringen.</w:t>
      </w:r>
    </w:p>
    <w:p>
      <w:r>
        <w:rPr>
          <w:rFonts w:ascii="Arial" w:hAnsi="Arial"/>
          <w:b w:val="0"/>
          <w:i w:val="0"/>
          <w:color w:val="4B4F56"/>
          <w:sz w:val="19"/>
        </w:rPr>
        <w:t>Damit wird vermieden, dass Äpfel mit Chemieprodukten, lokale Dienstleistungen mit globalen Lieferketten oder Investitionsgüter mit Verbrauchsgütern nach identischen Maßstäben bewertet werden. Vergleichbarkeit braucht Kontext. Die Wirkungsökonomie bewertet deshalb nicht absolutistisch, sondern branchenspezifisch, datenbasiert und revisionsfähig.</w:t>
      </w:r>
    </w:p>
    <w:p>
      <w:pPr>
        <w:pStyle w:val="Heading1"/>
      </w:pPr>
      <w:r>
        <w:t>Produktverantwortung und nichtkompensierbare Grenzen</w:t>
      </w:r>
    </w:p>
    <w:tbl>
      <w:tblPr>
        <w:tblW w:type="auto" w:w="0"/>
        <w:jc w:val="center"/>
        <w:tblLook w:firstColumn="1" w:firstRow="1" w:lastColumn="0" w:lastRow="0" w:noHBand="0" w:noVBand="1" w:val="04A0"/>
        <w:tblBorders>
          <w:top w:val="single" w:sz="6" w:space="0" w:color="E6DFD4"/>
          <w:left w:val="single" w:sz="6" w:space="0" w:color="E6DFD4"/>
          <w:bottom w:val="single" w:sz="6" w:space="0" w:color="E6DFD4"/>
          <w:right w:val="single" w:sz="6" w:space="0" w:color="E6DFD4"/>
          <w:insideH w:val="single" w:sz="6" w:space="0" w:color="E6DFD4"/>
          <w:insideV w:val="single" w:sz="6" w:space="0" w:color="E6DFD4"/>
        </w:tblBorders>
      </w:tblPr>
      <w:tblGrid>
        <w:gridCol w:w="9865"/>
      </w:tblGrid>
      <w:tr>
        <w:tc>
          <w:tcPr>
            <w:tcW w:type="dxa" w:w="9865"/>
            <w:shd w:fill="FBF8F1"/>
            <w:tcMar>
              <w:top w:w="160" w:type="dxa"/>
              <w:start w:w="180" w:type="dxa"/>
              <w:bottom w:w="160" w:type="dxa"/>
              <w:end w:w="180" w:type="dxa"/>
            </w:tcMar>
          </w:tcPr>
          <w:p>
            <w:r>
              <w:rPr>
                <w:rFonts w:ascii="Arial" w:hAnsi="Arial"/>
                <w:b/>
                <w:color w:val="C89B3C"/>
                <w:sz w:val="16"/>
              </w:rPr>
              <w:t>LEITSATZ</w:t>
            </w:r>
          </w:p>
          <w:p>
            <w:r>
              <w:rPr>
                <w:rFonts w:ascii="Georgia" w:hAnsi="Georgia"/>
                <w:b/>
                <w:color w:val="0B1020"/>
                <w:sz w:val="26"/>
              </w:rPr>
              <w:t>Kein Produkt kann sich durch ein gutes Feld von einem schweren Schaden freikaufen.</w:t>
            </w:r>
          </w:p>
        </w:tc>
      </w:tr>
    </w:tbl>
    <w:p/>
    <w:p>
      <w:r>
        <w:rPr>
          <w:rFonts w:ascii="Arial" w:hAnsi="Arial"/>
          <w:b w:val="0"/>
          <w:i w:val="0"/>
          <w:color w:val="4B4F56"/>
          <w:sz w:val="19"/>
        </w:rPr>
        <w:t>Produktverantwortung bedeutet: Die Wirkung eines Produkts endet nicht an Eigentums- oder Bilanzgrenzen. Wer ein Produkt entwirft, herstellt, importiert oder verkauft, beeinflusst Wirkungspfade. Diese Verantwortung muss verhältnismäßig, prüfbar und rechtsstaatlich ausgestaltet werden.</w:t>
      </w:r>
    </w:p>
    <w:p>
      <w:r>
        <w:rPr>
          <w:rFonts w:ascii="Arial" w:hAnsi="Arial"/>
          <w:b w:val="0"/>
          <w:i w:val="0"/>
          <w:color w:val="4B4F56"/>
          <w:sz w:val="19"/>
        </w:rPr>
        <w:t>Bestimmte negative Wirkungen dürfen nicht beliebig kompensiert werden. Kinderarbeit, gefährliche Chemikalien, schwere Gesundheitsrisiken, massive Biodiversitätsschäden, Rechtsstaatsverletzungen oder systematische Desinformation können nicht durch positive Werte in anderen Feldern „ausgeglichen“ werden. Hier greift das Nichtkompensationsprinzip.</w:t>
      </w:r>
    </w:p>
    <w:p>
      <w:pPr>
        <w:pStyle w:val="Heading1"/>
      </w:pPr>
      <w:r>
        <w:t>Verbraucherinformation ohne Moralisierung</w:t>
      </w:r>
    </w:p>
    <w:p>
      <w:r>
        <w:rPr>
          <w:rFonts w:ascii="Arial" w:hAnsi="Arial"/>
          <w:b w:val="0"/>
          <w:i w:val="0"/>
          <w:color w:val="4B4F56"/>
          <w:sz w:val="19"/>
        </w:rPr>
        <w:t>Die Wirkungsökonomie soll Verbraucher:innen nicht moralisch überfordern. Heute müssen Menschen selbst recherchieren, ob ein Produkt fair, ökologisch, gesund, kreislauffähig oder demokratisch unproblematisch ist. Das ist unrealistisch und sozial unfair. Informationslast darf nicht auf Einzelne abgewälzt werden.</w:t>
      </w:r>
    </w:p>
    <w:p>
      <w:r>
        <w:rPr>
          <w:rFonts w:ascii="Arial" w:hAnsi="Arial"/>
          <w:b w:val="0"/>
          <w:i w:val="0"/>
          <w:color w:val="4B4F56"/>
          <w:sz w:val="19"/>
        </w:rPr>
        <w:t>Stattdessen sollen Wirkungsscore, Steuerklasse, Kernrisiken und Alternativen sichtbar werden. Wer frei entscheiden soll, braucht verständliche Information. Wirkung im Preisschild ist deshalb kein Bevormundungsinstrument, sondern ein Freiheitsinstrument: Es macht die Wirklichkeit sichtbar, die der Preis heute verdeckt.</w:t>
      </w:r>
    </w:p>
    <w:p>
      <w:pPr>
        <w:pStyle w:val="Heading1"/>
      </w:pPr>
      <w:r>
        <w:t>Politische Anschlussfähigkeit</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4932"/>
        <w:gridCol w:w="4932"/>
      </w:tblGrid>
      <w:tr>
        <w:trPr>
          <w:tblHeader w:val="true"/>
        </w:trPr>
        <w:tc>
          <w:tcPr>
            <w:tcW w:type="dxa" w:w="2268"/>
            <w:shd w:fill="0B1020"/>
            <w:tcMar>
              <w:top w:w="90" w:type="dxa"/>
              <w:start w:w="90" w:type="dxa"/>
              <w:bottom w:w="90" w:type="dxa"/>
              <w:end w:w="90" w:type="dxa"/>
            </w:tcMar>
          </w:tcPr>
          <w:p>
            <w:r>
              <w:rPr>
                <w:rFonts w:ascii="Arial" w:hAnsi="Arial"/>
                <w:b/>
                <w:color w:val="FFFFFF"/>
                <w:sz w:val="17"/>
              </w:rPr>
              <w:t>Ebene</w:t>
            </w:r>
          </w:p>
        </w:tc>
        <w:tc>
          <w:tcPr>
            <w:tcW w:type="dxa" w:w="6690"/>
            <w:shd w:fill="0B1020"/>
            <w:tcMar>
              <w:top w:w="90" w:type="dxa"/>
              <w:start w:w="90" w:type="dxa"/>
              <w:bottom w:w="90" w:type="dxa"/>
              <w:end w:w="90" w:type="dxa"/>
            </w:tcMar>
          </w:tcPr>
          <w:p>
            <w:r>
              <w:rPr>
                <w:rFonts w:ascii="Arial" w:hAnsi="Arial"/>
                <w:b/>
                <w:color w:val="FFFFFF"/>
                <w:sz w:val="17"/>
              </w:rPr>
              <w:t>Aufgabe für Politik und Umsetzung</w:t>
            </w:r>
          </w:p>
        </w:tc>
      </w:tr>
      <w:tr>
        <w:tc>
          <w:tcPr>
            <w:tcW w:type="dxa" w:w="2268"/>
            <w:tcMar>
              <w:top w:w="80" w:type="dxa"/>
              <w:start w:w="80" w:type="dxa"/>
              <w:bottom w:w="80" w:type="dxa"/>
              <w:end w:w="80" w:type="dxa"/>
            </w:tcMar>
            <w:shd w:fill="FBF8F1"/>
          </w:tcPr>
          <w:p>
            <w:r>
              <w:rPr>
                <w:rFonts w:ascii="Arial" w:hAnsi="Arial"/>
                <w:b/>
                <w:color w:val="0B1020"/>
                <w:sz w:val="17"/>
              </w:rPr>
              <w:t>Aufgabe der Politik</w:t>
            </w:r>
          </w:p>
        </w:tc>
        <w:tc>
          <w:tcPr>
            <w:tcW w:type="dxa" w:w="6690"/>
            <w:tcMar>
              <w:top w:w="80" w:type="dxa"/>
              <w:start w:w="80" w:type="dxa"/>
              <w:bottom w:w="80" w:type="dxa"/>
              <w:end w:w="80" w:type="dxa"/>
            </w:tcMar>
          </w:tcPr>
          <w:p>
            <w:r>
              <w:rPr>
                <w:rFonts w:ascii="Arial" w:hAnsi="Arial"/>
                <w:b w:val="0"/>
                <w:color w:val="4B4F56"/>
                <w:sz w:val="17"/>
              </w:rPr>
              <w:t>Preise, Steuern, Produktdaten und Verbraucherinformation so rahmen, dass reale Wirkung sichtbar und rückkoppelbar wird.</w:t>
            </w:r>
          </w:p>
        </w:tc>
      </w:tr>
      <w:tr>
        <w:tc>
          <w:tcPr>
            <w:tcW w:type="dxa" w:w="2268"/>
            <w:tcMar>
              <w:top w:w="80" w:type="dxa"/>
              <w:start w:w="80" w:type="dxa"/>
              <w:bottom w:w="80" w:type="dxa"/>
              <w:end w:w="80" w:type="dxa"/>
            </w:tcMar>
            <w:shd w:fill="FBF8F1"/>
          </w:tcPr>
          <w:p>
            <w:r>
              <w:rPr>
                <w:rFonts w:ascii="Arial" w:hAnsi="Arial"/>
                <w:b/>
                <w:color w:val="0B1020"/>
                <w:sz w:val="17"/>
              </w:rPr>
              <w:t>Politische Rahmenbedingungen</w:t>
            </w:r>
          </w:p>
        </w:tc>
        <w:tc>
          <w:tcPr>
            <w:tcW w:type="dxa" w:w="6690"/>
            <w:tcMar>
              <w:top w:w="80" w:type="dxa"/>
              <w:start w:w="80" w:type="dxa"/>
              <w:bottom w:w="80" w:type="dxa"/>
              <w:end w:w="80" w:type="dxa"/>
            </w:tcMar>
          </w:tcPr>
          <w:p>
            <w:r>
              <w:rPr>
                <w:rFonts w:ascii="Arial" w:hAnsi="Arial"/>
                <w:b w:val="0"/>
                <w:color w:val="4B4F56"/>
                <w:sz w:val="17"/>
              </w:rPr>
              <w:t>Wirkungsregister, WÖk-IDs, DPP-Anschluss, Auditstandards, KMU-Erleichterungen, Übergangsfristen und Rechtsschutz.</w:t>
            </w:r>
          </w:p>
        </w:tc>
      </w:tr>
      <w:tr>
        <w:tc>
          <w:tcPr>
            <w:tcW w:type="dxa" w:w="2268"/>
            <w:tcMar>
              <w:top w:w="80" w:type="dxa"/>
              <w:start w:w="80" w:type="dxa"/>
              <w:bottom w:w="80" w:type="dxa"/>
              <w:end w:w="80" w:type="dxa"/>
            </w:tcMar>
            <w:shd w:fill="FBF8F1"/>
          </w:tcPr>
          <w:p>
            <w:r>
              <w:rPr>
                <w:rFonts w:ascii="Arial" w:hAnsi="Arial"/>
                <w:b/>
                <w:color w:val="0B1020"/>
                <w:sz w:val="17"/>
              </w:rPr>
              <w:t>Ausgestaltungsspielraum</w:t>
            </w:r>
          </w:p>
        </w:tc>
        <w:tc>
          <w:tcPr>
            <w:tcW w:type="dxa" w:w="6690"/>
            <w:tcMar>
              <w:top w:w="80" w:type="dxa"/>
              <w:start w:w="80" w:type="dxa"/>
              <w:bottom w:w="80" w:type="dxa"/>
              <w:end w:w="80" w:type="dxa"/>
            </w:tcMar>
          </w:tcPr>
          <w:p>
            <w:r>
              <w:rPr>
                <w:rFonts w:ascii="Arial" w:hAnsi="Arial"/>
                <w:b w:val="0"/>
                <w:color w:val="4B4F56"/>
                <w:sz w:val="17"/>
              </w:rPr>
              <w:t>Parteien können Tempo, Steuerklassen, Pilotsektoren, Sozialausgleich, Förderung, Sanktionen und Grenzfälle unterschiedlich gewichten.</w:t>
            </w:r>
          </w:p>
        </w:tc>
      </w:tr>
      <w:tr>
        <w:tc>
          <w:tcPr>
            <w:tcW w:type="dxa" w:w="2268"/>
            <w:tcMar>
              <w:top w:w="80" w:type="dxa"/>
              <w:start w:w="80" w:type="dxa"/>
              <w:bottom w:w="80" w:type="dxa"/>
              <w:end w:w="80" w:type="dxa"/>
            </w:tcMar>
            <w:shd w:fill="FBF8F1"/>
          </w:tcPr>
          <w:p>
            <w:r>
              <w:rPr>
                <w:rFonts w:ascii="Arial" w:hAnsi="Arial"/>
                <w:b/>
                <w:color w:val="0B1020"/>
                <w:sz w:val="17"/>
              </w:rPr>
              <w:t>Zielkonflikte</w:t>
            </w:r>
          </w:p>
        </w:tc>
        <w:tc>
          <w:tcPr>
            <w:tcW w:type="dxa" w:w="6690"/>
            <w:tcMar>
              <w:top w:w="80" w:type="dxa"/>
              <w:start w:w="80" w:type="dxa"/>
              <w:bottom w:w="80" w:type="dxa"/>
              <w:end w:w="80" w:type="dxa"/>
            </w:tcMar>
          </w:tcPr>
          <w:p>
            <w:r>
              <w:rPr>
                <w:rFonts w:ascii="Arial" w:hAnsi="Arial"/>
                <w:b w:val="0"/>
                <w:color w:val="4B4F56"/>
                <w:sz w:val="17"/>
              </w:rPr>
              <w:t>Kaufkraftschutz, Wettbewerbsfähigkeit, Datenlast, Innovation, Datenschutz, EU-Recht und internationale Lieferketten müssen austariert werden.</w:t>
            </w:r>
          </w:p>
        </w:tc>
      </w:tr>
      <w:tr>
        <w:tc>
          <w:tcPr>
            <w:tcW w:type="dxa" w:w="2268"/>
            <w:tcMar>
              <w:top w:w="80" w:type="dxa"/>
              <w:start w:w="80" w:type="dxa"/>
              <w:bottom w:w="80" w:type="dxa"/>
              <w:end w:w="80" w:type="dxa"/>
            </w:tcMar>
            <w:shd w:fill="FBF8F1"/>
          </w:tcPr>
          <w:p>
            <w:r>
              <w:rPr>
                <w:rFonts w:ascii="Arial" w:hAnsi="Arial"/>
                <w:b/>
                <w:color w:val="0B1020"/>
                <w:sz w:val="17"/>
              </w:rPr>
              <w:t>Rollenverteilung</w:t>
            </w:r>
          </w:p>
        </w:tc>
        <w:tc>
          <w:tcPr>
            <w:tcW w:type="dxa" w:w="6690"/>
            <w:tcMar>
              <w:top w:w="80" w:type="dxa"/>
              <w:start w:w="80" w:type="dxa"/>
              <w:bottom w:w="80" w:type="dxa"/>
              <w:end w:w="80" w:type="dxa"/>
            </w:tcMar>
          </w:tcPr>
          <w:p>
            <w:r>
              <w:rPr>
                <w:rFonts w:ascii="Arial" w:hAnsi="Arial"/>
                <w:b w:val="0"/>
                <w:color w:val="4B4F56"/>
                <w:sz w:val="17"/>
              </w:rPr>
              <w:t>EU, Bund, Länder, Kommunen, Unternehmen, Handel, Prüfer:innen, Wissenschaft, Verbraucher:innen und Wirkungsrat tragen unterschiedliche Aufgaben.</w:t>
            </w:r>
          </w:p>
        </w:tc>
      </w:tr>
      <w:tr>
        <w:tc>
          <w:tcPr>
            <w:tcW w:type="dxa" w:w="2268"/>
            <w:tcMar>
              <w:top w:w="80" w:type="dxa"/>
              <w:start w:w="80" w:type="dxa"/>
              <w:bottom w:w="80" w:type="dxa"/>
              <w:end w:w="80" w:type="dxa"/>
            </w:tcMar>
            <w:shd w:fill="FBF8F1"/>
          </w:tcPr>
          <w:p>
            <w:r>
              <w:rPr>
                <w:rFonts w:ascii="Arial" w:hAnsi="Arial"/>
                <w:b/>
                <w:color w:val="0B1020"/>
                <w:sz w:val="17"/>
              </w:rPr>
              <w:t>Übergang und Schutz</w:t>
            </w:r>
          </w:p>
        </w:tc>
        <w:tc>
          <w:tcPr>
            <w:tcW w:type="dxa" w:w="6690"/>
            <w:tcMar>
              <w:top w:w="80" w:type="dxa"/>
              <w:start w:w="80" w:type="dxa"/>
              <w:bottom w:w="80" w:type="dxa"/>
              <w:end w:w="80" w:type="dxa"/>
            </w:tcMar>
          </w:tcPr>
          <w:p>
            <w:r>
              <w:rPr>
                <w:rFonts w:ascii="Arial" w:hAnsi="Arial"/>
                <w:b w:val="0"/>
                <w:color w:val="4B4F56"/>
                <w:sz w:val="17"/>
              </w:rPr>
              <w:t>Kleine Unternehmen, Grundbedarf, vulnerable Haushalte und Transformationsbranchen brauchen Übergang, Beratung und soziale Abfederung.</w:t>
            </w:r>
          </w:p>
        </w:tc>
      </w:tr>
      <w:tr>
        <w:tc>
          <w:tcPr>
            <w:tcW w:type="dxa" w:w="2268"/>
            <w:tcMar>
              <w:top w:w="80" w:type="dxa"/>
              <w:start w:w="80" w:type="dxa"/>
              <w:bottom w:w="80" w:type="dxa"/>
              <w:end w:w="80" w:type="dxa"/>
            </w:tcMar>
            <w:shd w:fill="FBF8F1"/>
          </w:tcPr>
          <w:p>
            <w:r>
              <w:rPr>
                <w:rFonts w:ascii="Arial" w:hAnsi="Arial"/>
                <w:b/>
                <w:color w:val="0B1020"/>
                <w:sz w:val="17"/>
              </w:rPr>
              <w:t>Evaluation und Korrektur</w:t>
            </w:r>
          </w:p>
        </w:tc>
        <w:tc>
          <w:tcPr>
            <w:tcW w:type="dxa" w:w="6690"/>
            <w:tcMar>
              <w:top w:w="80" w:type="dxa"/>
              <w:start w:w="80" w:type="dxa"/>
              <w:bottom w:w="80" w:type="dxa"/>
              <w:end w:w="80" w:type="dxa"/>
            </w:tcMar>
          </w:tcPr>
          <w:p>
            <w:r>
              <w:rPr>
                <w:rFonts w:ascii="Arial" w:hAnsi="Arial"/>
                <w:b w:val="0"/>
                <w:color w:val="4B4F56"/>
                <w:sz w:val="17"/>
              </w:rPr>
              <w:t>Wirkungsberichte, Revisionszyklen, öffentliche Konsultation und unabhängige Assurance halten das System lernfähig.</w:t>
            </w:r>
          </w:p>
        </w:tc>
      </w:tr>
      <w:tr>
        <w:tc>
          <w:tcPr>
            <w:tcW w:type="dxa" w:w="2268"/>
            <w:tcMar>
              <w:top w:w="80" w:type="dxa"/>
              <w:start w:w="80" w:type="dxa"/>
              <w:bottom w:w="80" w:type="dxa"/>
              <w:end w:w="80" w:type="dxa"/>
            </w:tcMar>
            <w:shd w:fill="FBF8F1"/>
          </w:tcPr>
          <w:p>
            <w:r>
              <w:rPr>
                <w:rFonts w:ascii="Arial" w:hAnsi="Arial"/>
                <w:b/>
                <w:color w:val="0B1020"/>
                <w:sz w:val="17"/>
              </w:rPr>
              <w:t>Schutz vor Technokratie</w:t>
            </w:r>
          </w:p>
        </w:tc>
        <w:tc>
          <w:tcPr>
            <w:tcW w:type="dxa" w:w="6690"/>
            <w:tcMar>
              <w:top w:w="80" w:type="dxa"/>
              <w:start w:w="80" w:type="dxa"/>
              <w:bottom w:w="80" w:type="dxa"/>
              <w:end w:w="80" w:type="dxa"/>
            </w:tcMar>
          </w:tcPr>
          <w:p>
            <w:r>
              <w:rPr>
                <w:rFonts w:ascii="Arial" w:hAnsi="Arial"/>
                <w:b w:val="0"/>
                <w:color w:val="4B4F56"/>
                <w:sz w:val="17"/>
              </w:rPr>
              <w:t>Wirkungsdaten bereiten Entscheidungen vor, ersetzen sie aber nicht. Normative Entscheidungen bleiben demokratisch legitimiert.</w:t>
            </w:r>
          </w:p>
        </w:tc>
      </w:tr>
    </w:tbl>
    <w:p/>
    <w:p>
      <w:pPr>
        <w:pStyle w:val="Heading1"/>
      </w:pPr>
      <w:r>
        <w:t>Tool- und Website-Integration</w:t>
      </w:r>
    </w:p>
    <w:p>
      <w:r>
        <w:rPr>
          <w:rFonts w:ascii="Arial" w:hAnsi="Arial"/>
          <w:b w:val="0"/>
          <w:i w:val="0"/>
          <w:color w:val="4B4F56"/>
          <w:sz w:val="19"/>
        </w:rPr>
        <w:t>Dieses Detailkonzept gehört auf die Portalseite Produkte &amp; Konsum als Vertiefung unter „Produkte als Wirkungsträger“. Der bestehende Portaltext bleibt als Einstieg und Themenlandkarte erhalten. Dieses Dokument ersetzt keine guten Grundtexte, sondern ergänzt sie als fachliche Vertiefung.</w:t>
      </w:r>
    </w:p>
    <w:p>
      <w:pPr>
        <w:ind w:left="312" w:hanging="159"/>
      </w:pPr>
      <w:r>
        <w:rPr>
          <w:rFonts w:ascii="Arial" w:hAnsi="Arial"/>
          <w:b/>
          <w:color w:val="2F7D5C"/>
          <w:sz w:val="19"/>
        </w:rPr>
        <w:t xml:space="preserve">• </w:t>
      </w:r>
      <w:r>
        <w:rPr>
          <w:rFonts w:ascii="Arial" w:hAnsi="Arial"/>
          <w:color w:val="4B4F56"/>
          <w:sz w:val="19"/>
        </w:rPr>
        <w:t>Produktwirkungsrechner: veranschaulicht Produktdaten, Scorefelder und Steuerklasse.</w:t>
      </w:r>
    </w:p>
    <w:p>
      <w:pPr>
        <w:ind w:left="312" w:hanging="159"/>
      </w:pPr>
      <w:r>
        <w:rPr>
          <w:rFonts w:ascii="Arial" w:hAnsi="Arial"/>
          <w:b/>
          <w:color w:val="2F7D5C"/>
          <w:sz w:val="19"/>
        </w:rPr>
        <w:t xml:space="preserve">• </w:t>
      </w:r>
      <w:r>
        <w:rPr>
          <w:rFonts w:ascii="Arial" w:hAnsi="Arial"/>
          <w:color w:val="4B4F56"/>
          <w:sz w:val="19"/>
        </w:rPr>
        <w:t>Produktscorecard-Viewer: zeigt WÖk-IDs, Benchmarks und FinalScore.</w:t>
      </w:r>
    </w:p>
    <w:p>
      <w:pPr>
        <w:ind w:left="312" w:hanging="159"/>
      </w:pPr>
      <w:r>
        <w:rPr>
          <w:rFonts w:ascii="Arial" w:hAnsi="Arial"/>
          <w:b/>
          <w:color w:val="2F7D5C"/>
          <w:sz w:val="19"/>
        </w:rPr>
        <w:t xml:space="preserve">• </w:t>
      </w:r>
      <w:r>
        <w:rPr>
          <w:rFonts w:ascii="Arial" w:hAnsi="Arial"/>
          <w:color w:val="4B4F56"/>
          <w:sz w:val="19"/>
        </w:rPr>
        <w:t>DPP-Demo: macht sichtbar, welche Daten in den Produktpass gehören.</w:t>
      </w:r>
    </w:p>
    <w:p>
      <w:pPr>
        <w:ind w:left="312" w:hanging="159"/>
      </w:pPr>
      <w:r>
        <w:rPr>
          <w:rFonts w:ascii="Arial" w:hAnsi="Arial"/>
          <w:b/>
          <w:color w:val="2F7D5C"/>
          <w:sz w:val="19"/>
        </w:rPr>
        <w:t xml:space="preserve">• </w:t>
      </w:r>
      <w:r>
        <w:rPr>
          <w:rFonts w:ascii="Arial" w:hAnsi="Arial"/>
          <w:color w:val="4B4F56"/>
          <w:sz w:val="19"/>
        </w:rPr>
        <w:t>Apfel-Rechner: nutzt das bekannte Beispiel als niedrigschwelligen Einstieg.</w:t>
      </w:r>
    </w:p>
    <w:p>
      <w:pPr>
        <w:ind w:left="312" w:hanging="159"/>
      </w:pPr>
      <w:r>
        <w:rPr>
          <w:rFonts w:ascii="Arial" w:hAnsi="Arial"/>
          <w:b/>
          <w:color w:val="2F7D5C"/>
          <w:sz w:val="19"/>
        </w:rPr>
        <w:t xml:space="preserve">• </w:t>
      </w:r>
      <w:r>
        <w:rPr>
          <w:rFonts w:ascii="Arial" w:hAnsi="Arial"/>
          <w:color w:val="4B4F56"/>
          <w:sz w:val="19"/>
        </w:rPr>
        <w:t>Lieferketten-Scorecard: verknüpft Vorprodukte, Import und Vorsteuerlogik.</w:t>
      </w:r>
    </w:p>
    <w:p>
      <w:pPr>
        <w:pStyle w:val="Heading1"/>
      </w:pPr>
      <w:r>
        <w:t>SDG-/SDG+-Bezug</w:t>
      </w:r>
    </w:p>
    <w:p>
      <w:r>
        <w:rPr>
          <w:rFonts w:ascii="Arial" w:hAnsi="Arial"/>
          <w:b w:val="0"/>
          <w:i w:val="0"/>
          <w:color w:val="4B4F56"/>
          <w:sz w:val="19"/>
        </w:rPr>
        <w:t>Relevante SDGs sind insbesondere SDG 2, 3, 6, 8, 9, 10, 12, 13, 14, 15 und 17. Für Produkte ist außerdem SDG+ relevant, weil Informationsqualität, institutionelles Vertrauen, Medienqualität und digitale Selbstbestimmung bestimmen, ob Verbraucher:innen Produktwirkung nachvollziehen können.</w:t>
      </w:r>
    </w:p>
    <w:p>
      <w:r>
        <w:rPr>
          <w:rFonts w:ascii="Arial" w:hAnsi="Arial"/>
          <w:b w:val="0"/>
          <w:i w:val="0"/>
          <w:color w:val="4B4F56"/>
          <w:sz w:val="19"/>
        </w:rPr>
        <w:t>Die SDGs sind hier kein dekorativer Bezug, sondern der Zielrahmen, an dem Produktwirkung bewertet wird. SDG+ ergänzt diesen Rahmen, wenn Produktdaten, Werbung, Plattformen, digitale Produktpässe und demokratische Vertrauensthemen betroffen sind.</w:t>
      </w:r>
    </w:p>
    <w:p>
      <w:pPr>
        <w:pStyle w:val="Heading1"/>
      </w:pPr>
      <w:r>
        <w:t>Quellen und Fazit</w:t>
      </w:r>
    </w:p>
    <w:p>
      <w:r>
        <w:rPr>
          <w:rFonts w:ascii="Arial" w:hAnsi="Arial"/>
          <w:b w:val="0"/>
          <w:i w:val="0"/>
          <w:color w:val="4B4F56"/>
          <w:sz w:val="19"/>
        </w:rPr>
        <w:t>Produkte sind der alltagsnächste Einstieg in die Wirkungsökonomie. An ihnen wird sichtbar, warum Kapital als alleiniger Kompass falsch ist: Der billigste Preis kann der teuerste für Mensch, Planet und Demokratie sein. Wenn Produkte als Wirkungsträger gelesen werden, entstehen ehrliche Preise, bessere Daten, bessere Lieferketten und ein Wettbewerb um positive Netto-Wirkung.</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3288"/>
        <w:gridCol w:w="3288"/>
        <w:gridCol w:w="3288"/>
      </w:tblGrid>
      <w:tr>
        <w:trPr>
          <w:tblHeader w:val="true"/>
        </w:trPr>
        <w:tc>
          <w:tcPr>
            <w:tcW w:type="dxa" w:w="2154"/>
            <w:shd w:fill="0B1020"/>
            <w:tcMar>
              <w:top w:w="90" w:type="dxa"/>
              <w:start w:w="90" w:type="dxa"/>
              <w:bottom w:w="90" w:type="dxa"/>
              <w:end w:w="90" w:type="dxa"/>
            </w:tcMar>
          </w:tcPr>
          <w:p>
            <w:r>
              <w:rPr>
                <w:rFonts w:ascii="Arial" w:hAnsi="Arial"/>
                <w:b/>
                <w:color w:val="FFFFFF"/>
                <w:sz w:val="17"/>
              </w:rPr>
              <w:t>Quelle / Anschlussstelle</w:t>
            </w:r>
          </w:p>
        </w:tc>
        <w:tc>
          <w:tcPr>
            <w:tcW w:type="dxa" w:w="3742"/>
            <w:shd w:fill="0B1020"/>
            <w:tcMar>
              <w:top w:w="90" w:type="dxa"/>
              <w:start w:w="90" w:type="dxa"/>
              <w:bottom w:w="90" w:type="dxa"/>
              <w:end w:w="90" w:type="dxa"/>
            </w:tcMar>
          </w:tcPr>
          <w:p>
            <w:r>
              <w:rPr>
                <w:rFonts w:ascii="Arial" w:hAnsi="Arial"/>
                <w:b/>
                <w:color w:val="FFFFFF"/>
                <w:sz w:val="17"/>
              </w:rPr>
              <w:t>Bedeutung</w:t>
            </w:r>
          </w:p>
        </w:tc>
        <w:tc>
          <w:tcPr>
            <w:tcW w:type="dxa" w:w="3175"/>
            <w:shd w:fill="0B1020"/>
            <w:tcMar>
              <w:top w:w="90" w:type="dxa"/>
              <w:start w:w="90" w:type="dxa"/>
              <w:bottom w:w="90" w:type="dxa"/>
              <w:end w:w="90" w:type="dxa"/>
            </w:tcMar>
          </w:tcPr>
          <w:p>
            <w:r>
              <w:rPr>
                <w:rFonts w:ascii="Arial" w:hAnsi="Arial"/>
                <w:b/>
                <w:color w:val="FFFFFF"/>
                <w:sz w:val="17"/>
              </w:rPr>
              <w:t>Referenz</w:t>
            </w:r>
          </w:p>
        </w:tc>
      </w:tr>
      <w:tr>
        <w:tc>
          <w:tcPr>
            <w:tcW w:type="dxa" w:w="2154"/>
            <w:tcMar>
              <w:top w:w="80" w:type="dxa"/>
              <w:start w:w="80" w:type="dxa"/>
              <w:bottom w:w="80" w:type="dxa"/>
              <w:end w:w="80" w:type="dxa"/>
            </w:tcMar>
            <w:shd w:fill="FBF8F1"/>
          </w:tcPr>
          <w:p>
            <w:r>
              <w:rPr>
                <w:rFonts w:ascii="Arial" w:hAnsi="Arial"/>
                <w:b/>
                <w:color w:val="0B1020"/>
                <w:sz w:val="17"/>
              </w:rPr>
              <w:t>WP Produkte</w:t>
            </w:r>
          </w:p>
        </w:tc>
        <w:tc>
          <w:tcPr>
            <w:tcW w:type="dxa" w:w="3742"/>
            <w:tcMar>
              <w:top w:w="80" w:type="dxa"/>
              <w:start w:w="80" w:type="dxa"/>
              <w:bottom w:w="80" w:type="dxa"/>
              <w:end w:w="80" w:type="dxa"/>
            </w:tcMar>
          </w:tcPr>
          <w:p>
            <w:r>
              <w:rPr>
                <w:rFonts w:ascii="Arial" w:hAnsi="Arial"/>
                <w:b w:val="0"/>
                <w:color w:val="4B4F56"/>
                <w:sz w:val="17"/>
              </w:rPr>
              <w:t>Grundlage für Produktbesteuerung, ehrliche Preise, Wirkungssteuer und Marktlogik.</w:t>
            </w:r>
          </w:p>
        </w:tc>
        <w:tc>
          <w:tcPr>
            <w:tcW w:type="dxa" w:w="3175"/>
            <w:tcMar>
              <w:top w:w="80" w:type="dxa"/>
              <w:start w:w="80" w:type="dxa"/>
              <w:bottom w:w="80" w:type="dxa"/>
              <w:end w:w="80" w:type="dxa"/>
            </w:tcMar>
          </w:tcPr>
          <w:p>
            <w:r>
              <w:rPr>
                <w:rFonts w:ascii="Arial" w:hAnsi="Arial"/>
                <w:b w:val="0"/>
                <w:color w:val="4B4F56"/>
                <w:sz w:val="17"/>
              </w:rPr>
              <w:t>Interne Arbeitsbibliothek / Wirkungsökonomie</w:t>
            </w:r>
          </w:p>
        </w:tc>
      </w:tr>
      <w:tr>
        <w:tc>
          <w:tcPr>
            <w:tcW w:type="dxa" w:w="2154"/>
            <w:tcMar>
              <w:top w:w="80" w:type="dxa"/>
              <w:start w:w="80" w:type="dxa"/>
              <w:bottom w:w="80" w:type="dxa"/>
              <w:end w:w="80" w:type="dxa"/>
            </w:tcMar>
            <w:shd w:fill="FBF8F1"/>
          </w:tcPr>
          <w:p>
            <w:r>
              <w:rPr>
                <w:rFonts w:ascii="Arial" w:hAnsi="Arial"/>
                <w:b/>
                <w:color w:val="0B1020"/>
                <w:sz w:val="17"/>
              </w:rPr>
              <w:t>Beispiel Apfel</w:t>
            </w:r>
          </w:p>
        </w:tc>
        <w:tc>
          <w:tcPr>
            <w:tcW w:type="dxa" w:w="3742"/>
            <w:tcMar>
              <w:top w:w="80" w:type="dxa"/>
              <w:start w:w="80" w:type="dxa"/>
              <w:bottom w:w="80" w:type="dxa"/>
              <w:end w:w="80" w:type="dxa"/>
            </w:tcMar>
          </w:tcPr>
          <w:p>
            <w:r>
              <w:rPr>
                <w:rFonts w:ascii="Arial" w:hAnsi="Arial"/>
                <w:b w:val="0"/>
                <w:color w:val="4B4F56"/>
                <w:sz w:val="17"/>
              </w:rPr>
              <w:t>NACE-Zuordnung, CSRD/ESRS/GRI-Daten, Reverse Merit Order und Steuerklassen am Produktbeispiel.</w:t>
            </w:r>
          </w:p>
        </w:tc>
        <w:tc>
          <w:tcPr>
            <w:tcW w:type="dxa" w:w="3175"/>
            <w:tcMar>
              <w:top w:w="80" w:type="dxa"/>
              <w:start w:w="80" w:type="dxa"/>
              <w:bottom w:w="80" w:type="dxa"/>
              <w:end w:w="80" w:type="dxa"/>
            </w:tcMar>
          </w:tcPr>
          <w:p>
            <w:r>
              <w:rPr>
                <w:rFonts w:ascii="Arial" w:hAnsi="Arial"/>
                <w:b w:val="0"/>
                <w:color w:val="4B4F56"/>
                <w:sz w:val="17"/>
              </w:rPr>
              <w:t>Interne Arbeitsbibliothek / Wirkungsökonomie</w:t>
            </w:r>
          </w:p>
        </w:tc>
      </w:tr>
      <w:tr>
        <w:tc>
          <w:tcPr>
            <w:tcW w:type="dxa" w:w="2154"/>
            <w:tcMar>
              <w:top w:w="80" w:type="dxa"/>
              <w:start w:w="80" w:type="dxa"/>
              <w:bottom w:w="80" w:type="dxa"/>
              <w:end w:w="80" w:type="dxa"/>
            </w:tcMar>
            <w:shd w:fill="FBF8F1"/>
          </w:tcPr>
          <w:p>
            <w:r>
              <w:rPr>
                <w:rFonts w:ascii="Arial" w:hAnsi="Arial"/>
                <w:b/>
                <w:color w:val="0B1020"/>
                <w:sz w:val="17"/>
              </w:rPr>
              <w:t>Technische Leitlinien WUStG</w:t>
            </w:r>
          </w:p>
        </w:tc>
        <w:tc>
          <w:tcPr>
            <w:tcW w:type="dxa" w:w="3742"/>
            <w:tcMar>
              <w:top w:w="80" w:type="dxa"/>
              <w:start w:w="80" w:type="dxa"/>
              <w:bottom w:w="80" w:type="dxa"/>
              <w:end w:w="80" w:type="dxa"/>
            </w:tcMar>
          </w:tcPr>
          <w:p>
            <w:r>
              <w:rPr>
                <w:rFonts w:ascii="Arial" w:hAnsi="Arial"/>
                <w:b w:val="0"/>
                <w:color w:val="4B4F56"/>
                <w:sz w:val="17"/>
              </w:rPr>
              <w:t>WÖk-IDs, Scorecards, Archetypen, Benchmarks, Datenqualität und Assurance.</w:t>
            </w:r>
          </w:p>
        </w:tc>
        <w:tc>
          <w:tcPr>
            <w:tcW w:type="dxa" w:w="3175"/>
            <w:tcMar>
              <w:top w:w="80" w:type="dxa"/>
              <w:start w:w="80" w:type="dxa"/>
              <w:bottom w:w="80" w:type="dxa"/>
              <w:end w:w="80" w:type="dxa"/>
            </w:tcMar>
          </w:tcPr>
          <w:p>
            <w:r>
              <w:rPr>
                <w:rFonts w:ascii="Arial" w:hAnsi="Arial"/>
                <w:b w:val="0"/>
                <w:color w:val="4B4F56"/>
                <w:sz w:val="17"/>
              </w:rPr>
              <w:t>Interne Arbeitsbibliothek / Wirkungsökonomie</w:t>
            </w:r>
          </w:p>
        </w:tc>
      </w:tr>
      <w:tr>
        <w:tc>
          <w:tcPr>
            <w:tcW w:type="dxa" w:w="2154"/>
            <w:tcMar>
              <w:top w:w="80" w:type="dxa"/>
              <w:start w:w="80" w:type="dxa"/>
              <w:bottom w:w="80" w:type="dxa"/>
              <w:end w:w="80" w:type="dxa"/>
            </w:tcMar>
            <w:shd w:fill="FBF8F1"/>
          </w:tcPr>
          <w:p>
            <w:r>
              <w:rPr>
                <w:rFonts w:ascii="Arial" w:hAnsi="Arial"/>
                <w:b/>
                <w:color w:val="0B1020"/>
                <w:sz w:val="17"/>
              </w:rPr>
              <w:t>Wirkungsökonomie in der Lieferkette</w:t>
            </w:r>
          </w:p>
        </w:tc>
        <w:tc>
          <w:tcPr>
            <w:tcW w:type="dxa" w:w="3742"/>
            <w:tcMar>
              <w:top w:w="80" w:type="dxa"/>
              <w:start w:w="80" w:type="dxa"/>
              <w:bottom w:w="80" w:type="dxa"/>
              <w:end w:w="80" w:type="dxa"/>
            </w:tcMar>
          </w:tcPr>
          <w:p>
            <w:r>
              <w:rPr>
                <w:rFonts w:ascii="Arial" w:hAnsi="Arial"/>
                <w:b w:val="0"/>
                <w:color w:val="4B4F56"/>
                <w:sz w:val="17"/>
              </w:rPr>
              <w:t>Vorsteuerlogik, Lieferkettenscores, Reverse Merit Order und globale Anschlussfähigkeit.</w:t>
            </w:r>
          </w:p>
        </w:tc>
        <w:tc>
          <w:tcPr>
            <w:tcW w:type="dxa" w:w="3175"/>
            <w:tcMar>
              <w:top w:w="80" w:type="dxa"/>
              <w:start w:w="80" w:type="dxa"/>
              <w:bottom w:w="80" w:type="dxa"/>
              <w:end w:w="80" w:type="dxa"/>
            </w:tcMar>
          </w:tcPr>
          <w:p>
            <w:r>
              <w:rPr>
                <w:rFonts w:ascii="Arial" w:hAnsi="Arial"/>
                <w:b w:val="0"/>
                <w:color w:val="4B4F56"/>
                <w:sz w:val="17"/>
              </w:rPr>
              <w:t>Interne Arbeitsbibliothek / Wirkungsökonomie</w:t>
            </w:r>
          </w:p>
        </w:tc>
      </w:tr>
      <w:tr>
        <w:tc>
          <w:tcPr>
            <w:tcW w:type="dxa" w:w="2154"/>
            <w:tcMar>
              <w:top w:w="80" w:type="dxa"/>
              <w:start w:w="80" w:type="dxa"/>
              <w:bottom w:w="80" w:type="dxa"/>
              <w:end w:w="80" w:type="dxa"/>
            </w:tcMar>
            <w:shd w:fill="FBF8F1"/>
          </w:tcPr>
          <w:p>
            <w:r>
              <w:rPr>
                <w:rFonts w:ascii="Arial" w:hAnsi="Arial"/>
                <w:b/>
                <w:color w:val="0B1020"/>
                <w:sz w:val="17"/>
              </w:rPr>
              <w:t>Die neue Ordnung des Wohlstands</w:t>
            </w:r>
          </w:p>
        </w:tc>
        <w:tc>
          <w:tcPr>
            <w:tcW w:type="dxa" w:w="3742"/>
            <w:tcMar>
              <w:top w:w="80" w:type="dxa"/>
              <w:start w:w="80" w:type="dxa"/>
              <w:bottom w:w="80" w:type="dxa"/>
              <w:end w:w="80" w:type="dxa"/>
            </w:tcMar>
          </w:tcPr>
          <w:p>
            <w:r>
              <w:rPr>
                <w:rFonts w:ascii="Arial" w:hAnsi="Arial"/>
                <w:b w:val="0"/>
                <w:color w:val="4B4F56"/>
                <w:sz w:val="17"/>
              </w:rPr>
              <w:t>Buchanker: Produkte, Märkte, Preise, Produktscorecards, Apfelbeispiel, DPP und WUStG.</w:t>
            </w:r>
          </w:p>
        </w:tc>
        <w:tc>
          <w:tcPr>
            <w:tcW w:type="dxa" w:w="3175"/>
            <w:tcMar>
              <w:top w:w="80" w:type="dxa"/>
              <w:start w:w="80" w:type="dxa"/>
              <w:bottom w:w="80" w:type="dxa"/>
              <w:end w:w="80" w:type="dxa"/>
            </w:tcMar>
          </w:tcPr>
          <w:p>
            <w:r>
              <w:rPr>
                <w:rFonts w:ascii="Arial" w:hAnsi="Arial"/>
                <w:b w:val="0"/>
                <w:color w:val="4B4F56"/>
                <w:sz w:val="17"/>
              </w:rPr>
              <w:t>Natalie Weber, 2026</w:t>
            </w:r>
          </w:p>
        </w:tc>
      </w:tr>
      <w:tr>
        <w:tc>
          <w:tcPr>
            <w:tcW w:type="dxa" w:w="2154"/>
            <w:tcMar>
              <w:top w:w="80" w:type="dxa"/>
              <w:start w:w="80" w:type="dxa"/>
              <w:bottom w:w="80" w:type="dxa"/>
              <w:end w:w="80" w:type="dxa"/>
            </w:tcMar>
            <w:shd w:fill="FBF8F1"/>
          </w:tcPr>
          <w:p>
            <w:r>
              <w:rPr>
                <w:rFonts w:ascii="Arial" w:hAnsi="Arial"/>
                <w:b/>
                <w:color w:val="0B1020"/>
                <w:sz w:val="17"/>
              </w:rPr>
              <w:t>EU CSRD/ESRS</w:t>
            </w:r>
          </w:p>
        </w:tc>
        <w:tc>
          <w:tcPr>
            <w:tcW w:type="dxa" w:w="3742"/>
            <w:tcMar>
              <w:top w:w="80" w:type="dxa"/>
              <w:start w:w="80" w:type="dxa"/>
              <w:bottom w:w="80" w:type="dxa"/>
              <w:end w:w="80" w:type="dxa"/>
            </w:tcMar>
          </w:tcPr>
          <w:p>
            <w:r>
              <w:rPr>
                <w:rFonts w:ascii="Arial" w:hAnsi="Arial"/>
                <w:b w:val="0"/>
                <w:color w:val="4B4F56"/>
                <w:sz w:val="17"/>
              </w:rPr>
              <w:t>Nachhaltigkeitsberichterstattung zu Risiken und Wirkungen; erste CSRD-Berichte für Geschäftsjahr 2024 in 2025.</w:t>
            </w:r>
          </w:p>
        </w:tc>
        <w:tc>
          <w:tcPr>
            <w:tcW w:type="dxa" w:w="3175"/>
            <w:tcMar>
              <w:top w:w="80" w:type="dxa"/>
              <w:start w:w="80" w:type="dxa"/>
              <w:bottom w:w="80" w:type="dxa"/>
              <w:end w:w="80" w:type="dxa"/>
            </w:tcMar>
          </w:tcPr>
          <w:p>
            <w:r>
              <w:rPr>
                <w:rFonts w:ascii="Arial" w:hAnsi="Arial"/>
                <w:b w:val="0"/>
                <w:color w:val="4B4F56"/>
                <w:sz w:val="17"/>
              </w:rPr>
              <w:t>https://finance.ec.europa.eu/financial-markets/company-reporting-and-auditing/company-reporting/corporate-sustainability-reporting_en</w:t>
            </w:r>
          </w:p>
        </w:tc>
      </w:tr>
      <w:tr>
        <w:tc>
          <w:tcPr>
            <w:tcW w:type="dxa" w:w="2154"/>
            <w:tcMar>
              <w:top w:w="80" w:type="dxa"/>
              <w:start w:w="80" w:type="dxa"/>
              <w:bottom w:w="80" w:type="dxa"/>
              <w:end w:w="80" w:type="dxa"/>
            </w:tcMar>
            <w:shd w:fill="FBF8F1"/>
          </w:tcPr>
          <w:p>
            <w:r>
              <w:rPr>
                <w:rFonts w:ascii="Arial" w:hAnsi="Arial"/>
                <w:b/>
                <w:color w:val="0B1020"/>
                <w:sz w:val="17"/>
              </w:rPr>
              <w:t>EU ESPR / DPP</w:t>
            </w:r>
          </w:p>
        </w:tc>
        <w:tc>
          <w:tcPr>
            <w:tcW w:type="dxa" w:w="3742"/>
            <w:tcMar>
              <w:top w:w="80" w:type="dxa"/>
              <w:start w:w="80" w:type="dxa"/>
              <w:bottom w:w="80" w:type="dxa"/>
              <w:end w:w="80" w:type="dxa"/>
            </w:tcMar>
          </w:tcPr>
          <w:p>
            <w:r>
              <w:rPr>
                <w:rFonts w:ascii="Arial" w:hAnsi="Arial"/>
                <w:b w:val="0"/>
                <w:color w:val="4B4F56"/>
                <w:sz w:val="17"/>
              </w:rPr>
              <w:t>Digital Product Passport als digitale Identitätskarte für Produkte, Komponenten und Materialien.</w:t>
            </w:r>
          </w:p>
        </w:tc>
        <w:tc>
          <w:tcPr>
            <w:tcW w:type="dxa" w:w="3175"/>
            <w:tcMar>
              <w:top w:w="80" w:type="dxa"/>
              <w:start w:w="80" w:type="dxa"/>
              <w:bottom w:w="80" w:type="dxa"/>
              <w:end w:w="80" w:type="dxa"/>
            </w:tcMar>
          </w:tcPr>
          <w:p>
            <w:r>
              <w:rPr>
                <w:rFonts w:ascii="Arial" w:hAnsi="Arial"/>
                <w:b w:val="0"/>
                <w:color w:val="4B4F56"/>
                <w:sz w:val="17"/>
              </w:rPr>
              <w:t>https://environment.ec.europa.eu/strategy/circular-economy/ecodesign-sustainable-products-regulation_en</w:t>
            </w:r>
          </w:p>
        </w:tc>
      </w:tr>
      <w:tr>
        <w:tc>
          <w:tcPr>
            <w:tcW w:type="dxa" w:w="2154"/>
            <w:tcMar>
              <w:top w:w="80" w:type="dxa"/>
              <w:start w:w="80" w:type="dxa"/>
              <w:bottom w:w="80" w:type="dxa"/>
              <w:end w:w="80" w:type="dxa"/>
            </w:tcMar>
            <w:shd w:fill="FBF8F1"/>
          </w:tcPr>
          <w:p>
            <w:r>
              <w:rPr>
                <w:rFonts w:ascii="Arial" w:hAnsi="Arial"/>
                <w:b/>
                <w:color w:val="0B1020"/>
                <w:sz w:val="17"/>
              </w:rPr>
              <w:t>EU-Taxonomie</w:t>
            </w:r>
          </w:p>
        </w:tc>
        <w:tc>
          <w:tcPr>
            <w:tcW w:type="dxa" w:w="3742"/>
            <w:tcMar>
              <w:top w:w="80" w:type="dxa"/>
              <w:start w:w="80" w:type="dxa"/>
              <w:bottom w:w="80" w:type="dxa"/>
              <w:end w:w="80" w:type="dxa"/>
            </w:tcMar>
          </w:tcPr>
          <w:p>
            <w:r>
              <w:rPr>
                <w:rFonts w:ascii="Arial" w:hAnsi="Arial"/>
                <w:b w:val="0"/>
                <w:color w:val="4B4F56"/>
                <w:sz w:val="17"/>
              </w:rPr>
              <w:t>Klassifikationssystem für ökologisch nachhaltige wirtschaftliche Aktivitäten.</w:t>
            </w:r>
          </w:p>
        </w:tc>
        <w:tc>
          <w:tcPr>
            <w:tcW w:type="dxa" w:w="3175"/>
            <w:tcMar>
              <w:top w:w="80" w:type="dxa"/>
              <w:start w:w="80" w:type="dxa"/>
              <w:bottom w:w="80" w:type="dxa"/>
              <w:end w:w="80" w:type="dxa"/>
            </w:tcMar>
          </w:tcPr>
          <w:p>
            <w:r>
              <w:rPr>
                <w:rFonts w:ascii="Arial" w:hAnsi="Arial"/>
                <w:b w:val="0"/>
                <w:color w:val="4B4F56"/>
                <w:sz w:val="17"/>
              </w:rPr>
              <w:t>https://finance.ec.europa.eu/sustainable-finance/tools-and-standards/eu-taxonomy-sustainable-activities_en</w:t>
            </w:r>
          </w:p>
        </w:tc>
      </w:tr>
      <w:tr>
        <w:tc>
          <w:tcPr>
            <w:tcW w:type="dxa" w:w="2154"/>
            <w:tcMar>
              <w:top w:w="80" w:type="dxa"/>
              <w:start w:w="80" w:type="dxa"/>
              <w:bottom w:w="80" w:type="dxa"/>
              <w:end w:w="80" w:type="dxa"/>
            </w:tcMar>
            <w:shd w:fill="FBF8F1"/>
          </w:tcPr>
          <w:p>
            <w:r>
              <w:rPr>
                <w:rFonts w:ascii="Arial" w:hAnsi="Arial"/>
                <w:b/>
                <w:color w:val="0B1020"/>
                <w:sz w:val="17"/>
              </w:rPr>
              <w:t>CBAM</w:t>
            </w:r>
          </w:p>
        </w:tc>
        <w:tc>
          <w:tcPr>
            <w:tcW w:type="dxa" w:w="3742"/>
            <w:tcMar>
              <w:top w:w="80" w:type="dxa"/>
              <w:start w:w="80" w:type="dxa"/>
              <w:bottom w:w="80" w:type="dxa"/>
              <w:end w:w="80" w:type="dxa"/>
            </w:tcMar>
          </w:tcPr>
          <w:p>
            <w:r>
              <w:rPr>
                <w:rFonts w:ascii="Arial" w:hAnsi="Arial"/>
                <w:b w:val="0"/>
                <w:color w:val="4B4F56"/>
                <w:sz w:val="17"/>
              </w:rPr>
              <w:t>CO2-Grenzausgleich als Anschlusslogik für Importe und eingebettete Emissionen.</w:t>
            </w:r>
          </w:p>
        </w:tc>
        <w:tc>
          <w:tcPr>
            <w:tcW w:type="dxa" w:w="3175"/>
            <w:tcMar>
              <w:top w:w="80" w:type="dxa"/>
              <w:start w:w="80" w:type="dxa"/>
              <w:bottom w:w="80" w:type="dxa"/>
              <w:end w:w="80" w:type="dxa"/>
            </w:tcMar>
          </w:tcPr>
          <w:p>
            <w:r>
              <w:rPr>
                <w:rFonts w:ascii="Arial" w:hAnsi="Arial"/>
                <w:b w:val="0"/>
                <w:color w:val="4B4F56"/>
                <w:sz w:val="17"/>
              </w:rPr>
              <w:t>https://taxation-customs.ec.europa.eu/carbon-border-adjustment-mechanism_en</w:t>
            </w:r>
          </w:p>
        </w:tc>
      </w:tr>
    </w:tbl>
    <w:p/>
    <w:sectPr w:rsidR="00FC693F" w:rsidRPr="0006063C" w:rsidSect="00034616">
      <w:headerReference w:type="default" r:id="rId9"/>
      <w:footerReference w:type="default" r:id="rId10"/>
      <w:pgSz w:w="11906" w:h="16838"/>
      <w:pgMar w:top="1020" w:right="992" w:bottom="964" w:left="104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4F56"/>
        <w:sz w:val="16"/>
      </w:rPr>
      <w:t xml:space="preserve">Natalie Weber · Wirkungsökonomie · Go 8 · Seite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2F7D5C"/>
        <w:sz w:val="16"/>
      </w:rPr>
      <w:t>Wirkungsökonomie · Produkte &amp; Konsum / Wirkungsumsatzsteuer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7" w:lineRule="auto"/>
    </w:pPr>
    <w:rPr>
      <w:rFonts w:ascii="Arial" w:hAnsi="Arial" w:eastAsia="Arial"/>
      <w:color w:val="4B4F5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Georgia" w:hAnsi="Georgia" w:eastAsia="Georgia"/>
      <w:b/>
      <w:bCs/>
      <w:color w:val="0B102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Georgia" w:hAnsi="Georgia" w:eastAsia="Georgia"/>
      <w:b/>
      <w:bCs/>
      <w:color w:val="0B102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Georgia" w:hAnsi="Georgia" w:eastAsia="Georgia"/>
      <w:b/>
      <w:bCs/>
      <w:color w:val="0B10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0B102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