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Georgia" w:hAnsi="Georgia"/>
          <w:b/>
          <w:color w:val="2F7D5C"/>
          <w:sz w:val="26"/>
        </w:rPr>
        <w:t>Wirkungsökonomie</w:t>
      </w:r>
      <w:r>
        <w:rPr>
          <w:rFonts w:ascii="Arial" w:hAnsi="Arial"/>
          <w:color w:val="6B6B6B"/>
          <w:sz w:val="20"/>
        </w:rPr>
        <w:t xml:space="preserve"> · Natalie Weber</w:t>
      </w:r>
    </w:p>
    <w:p/>
    <w:p>
      <w:r>
        <w:rPr>
          <w:rFonts w:ascii="Arial" w:hAnsi="Arial"/>
          <w:b/>
          <w:color w:val="2F7D5C"/>
          <w:sz w:val="20"/>
        </w:rPr>
        <w:t>WIRKUNGSÖKONOMIE</w:t>
      </w:r>
      <w:r>
        <w:rPr>
          <w:rFonts w:ascii="Arial" w:hAnsi="Arial"/>
          <w:b/>
          <w:color w:val="2F7D5C"/>
          <w:sz w:val="20"/>
        </w:rPr>
        <w:br/>
        <w:t>METHODENPAPIER</w:t>
      </w:r>
    </w:p>
    <w:p>
      <w:r>
        <w:rPr>
          <w:rFonts w:ascii="Georgia" w:hAnsi="Georgia"/>
          <w:b/>
          <w:color w:val="0B1020"/>
          <w:sz w:val="56"/>
        </w:rPr>
        <w:t>Scorecards, Benchmarks und Netto-Wirkungs-Index</w:t>
      </w:r>
    </w:p>
    <w:p>
      <w:r>
        <w:rPr>
          <w:rFonts w:ascii="Arial" w:hAnsi="Arial"/>
          <w:color w:val="2F343C"/>
          <w:sz w:val="26"/>
        </w:rPr>
        <w:t>Wie Wirkungsdaten zu prüfbaren Entscheidungen werden - ohne Kompensation, Scheingenauigkeit oder Personenbewertung</w:t>
      </w:r>
    </w:p>
    <w:p>
      <w:r>
        <w:br/>
      </w:r>
    </w:p>
    <w:tbl>
      <w:tblPr>
        <w:tblStyle w:val="TableGrid"/>
        <w:tblW w:type="auto" w:w="0"/>
        <w:jc w:val="center"/>
        <w:tblLook w:firstColumn="1" w:firstRow="1" w:lastColumn="0" w:lastRow="0" w:noHBand="0" w:noVBand="1" w:val="04A0"/>
      </w:tblPr>
      <w:tblGrid>
        <w:gridCol w:w="4929"/>
        <w:gridCol w:w="4929"/>
      </w:tblGrid>
      <w:tr>
        <w:tc>
          <w:tcPr>
            <w:tcW w:type="dxa" w:w="2381"/>
            <w:shd w:fill="0B1020"/>
          </w:tcPr>
          <w:p>
            <w:r/>
            <w:r>
              <w:rPr>
                <w:rFonts w:ascii="Arial" w:hAnsi="Arial"/>
                <w:b/>
                <w:color w:val="FFFFFF"/>
                <w:sz w:val="16"/>
              </w:rPr>
              <w:t>Metadatum</w:t>
            </w:r>
          </w:p>
        </w:tc>
        <w:tc>
          <w:tcPr>
            <w:tcW w:type="dxa" w:w="6123"/>
            <w:shd w:fill="0B1020"/>
          </w:tcPr>
          <w:p>
            <w:r/>
            <w:r>
              <w:rPr>
                <w:rFonts w:ascii="Arial" w:hAnsi="Arial"/>
                <w:b/>
                <w:color w:val="FFFFFF"/>
                <w:sz w:val="16"/>
              </w:rPr>
              <w:t>Angabe</w:t>
            </w:r>
          </w:p>
        </w:tc>
      </w:tr>
      <w:tr>
        <w:tc>
          <w:tcPr>
            <w:tcW w:type="dxa" w:w="2381"/>
            <w:vAlign w:val="top"/>
          </w:tcPr>
          <w:p>
            <w:r/>
            <w:r>
              <w:rPr>
                <w:rFonts w:ascii="Arial" w:hAnsi="Arial"/>
                <w:b w:val="0"/>
                <w:color w:val="2F343C"/>
                <w:sz w:val="16"/>
              </w:rPr>
              <w:t>Autorin</w:t>
            </w:r>
          </w:p>
        </w:tc>
        <w:tc>
          <w:tcPr>
            <w:tcW w:type="dxa" w:w="6123"/>
            <w:vAlign w:val="top"/>
          </w:tcPr>
          <w:p>
            <w:r/>
            <w:r>
              <w:rPr>
                <w:rFonts w:ascii="Arial" w:hAnsi="Arial"/>
                <w:b w:val="0"/>
                <w:color w:val="2F343C"/>
                <w:sz w:val="16"/>
              </w:rPr>
              <w:t>Natalie Weber</w:t>
            </w:r>
          </w:p>
        </w:tc>
      </w:tr>
      <w:tr>
        <w:tc>
          <w:tcPr>
            <w:tcW w:type="dxa" w:w="2381"/>
            <w:vAlign w:val="top"/>
          </w:tcPr>
          <w:p>
            <w:r/>
            <w:r>
              <w:rPr>
                <w:rFonts w:ascii="Arial" w:hAnsi="Arial"/>
                <w:b w:val="0"/>
                <w:color w:val="2F343C"/>
                <w:sz w:val="16"/>
              </w:rPr>
              <w:t>Referenz</w:t>
            </w:r>
          </w:p>
        </w:tc>
        <w:tc>
          <w:tcPr>
            <w:tcW w:type="dxa" w:w="6123"/>
            <w:vAlign w:val="top"/>
          </w:tcPr>
          <w:p>
            <w:r/>
            <w:r>
              <w:rPr>
                <w:rFonts w:ascii="Arial" w:hAnsi="Arial"/>
                <w:b w:val="0"/>
                <w:color w:val="2F343C"/>
                <w:sz w:val="16"/>
              </w:rPr>
              <w:t>Wirkungsökonomie</w:t>
            </w:r>
          </w:p>
        </w:tc>
      </w:tr>
      <w:tr>
        <w:tc>
          <w:tcPr>
            <w:tcW w:type="dxa" w:w="2381"/>
            <w:vAlign w:val="top"/>
          </w:tcPr>
          <w:p>
            <w:r/>
            <w:r>
              <w:rPr>
                <w:rFonts w:ascii="Arial" w:hAnsi="Arial"/>
                <w:b w:val="0"/>
                <w:color w:val="2F343C"/>
                <w:sz w:val="16"/>
              </w:rPr>
              <w:t>Version</w:t>
            </w:r>
          </w:p>
        </w:tc>
        <w:tc>
          <w:tcPr>
            <w:tcW w:type="dxa" w:w="6123"/>
            <w:vAlign w:val="top"/>
          </w:tcPr>
          <w:p>
            <w:r/>
            <w:r>
              <w:rPr>
                <w:rFonts w:ascii="Arial" w:hAnsi="Arial"/>
                <w:b w:val="0"/>
                <w:color w:val="2F343C"/>
                <w:sz w:val="16"/>
              </w:rPr>
              <w:t>v1.0</w:t>
            </w:r>
          </w:p>
        </w:tc>
      </w:tr>
      <w:tr>
        <w:tc>
          <w:tcPr>
            <w:tcW w:type="dxa" w:w="2381"/>
            <w:vAlign w:val="top"/>
          </w:tcPr>
          <w:p>
            <w:r/>
            <w:r>
              <w:rPr>
                <w:rFonts w:ascii="Arial" w:hAnsi="Arial"/>
                <w:b w:val="0"/>
                <w:color w:val="2F343C"/>
                <w:sz w:val="16"/>
              </w:rPr>
              <w:t>Status</w:t>
            </w:r>
          </w:p>
        </w:tc>
        <w:tc>
          <w:tcPr>
            <w:tcW w:type="dxa" w:w="6123"/>
            <w:vAlign w:val="top"/>
          </w:tcPr>
          <w:p>
            <w:r/>
            <w:r>
              <w:rPr>
                <w:rFonts w:ascii="Arial" w:hAnsi="Arial"/>
                <w:b w:val="0"/>
                <w:color w:val="2F343C"/>
                <w:sz w:val="16"/>
              </w:rPr>
              <w:t>öffentliche Methodenfassung</w:t>
            </w:r>
          </w:p>
        </w:tc>
      </w:tr>
      <w:tr>
        <w:tc>
          <w:tcPr>
            <w:tcW w:type="dxa" w:w="2381"/>
            <w:vAlign w:val="top"/>
          </w:tcPr>
          <w:p>
            <w:r/>
            <w:r>
              <w:rPr>
                <w:rFonts w:ascii="Arial" w:hAnsi="Arial"/>
                <w:b w:val="0"/>
                <w:color w:val="2F343C"/>
                <w:sz w:val="16"/>
              </w:rPr>
              <w:t>Stand</w:t>
            </w:r>
          </w:p>
        </w:tc>
        <w:tc>
          <w:tcPr>
            <w:tcW w:type="dxa" w:w="6123"/>
            <w:vAlign w:val="top"/>
          </w:tcPr>
          <w:p>
            <w:r/>
            <w:r>
              <w:rPr>
                <w:rFonts w:ascii="Arial" w:hAnsi="Arial"/>
                <w:b w:val="0"/>
                <w:color w:val="2F343C"/>
                <w:sz w:val="16"/>
              </w:rPr>
              <w:t>24. Mai 2026</w:t>
            </w:r>
          </w:p>
        </w:tc>
      </w:tr>
    </w:tbl>
    <w:p/>
    <w:p>
      <w:pPr>
        <w:jc w:val="center"/>
      </w:pPr>
      <w:r>
        <w:rPr>
          <w:rFonts w:ascii="Georgia" w:hAnsi="Georgia"/>
          <w:i/>
          <w:color w:val="0B1020"/>
          <w:sz w:val="30"/>
        </w:rPr>
        <w:t>„Eine Scorecard ist kein Urteil über Menschen, sondern ein Fenster auf Wirkungszusammenhänge.“</w:t>
      </w:r>
    </w:p>
    <w:p>
      <w:r>
        <w:br w:type="page"/>
      </w:r>
    </w:p>
    <w:p>
      <w:pPr>
        <w:pStyle w:val="Heading1"/>
      </w:pPr>
      <w:r>
        <w:t>Kurzprofil</w:t>
      </w:r>
    </w:p>
    <w:tbl>
      <w:tblPr>
        <w:tblStyle w:val="TableGrid"/>
        <w:tblW w:type="auto" w:w="0"/>
        <w:jc w:val="center"/>
        <w:tblLook w:firstColumn="1" w:firstRow="1" w:lastColumn="0" w:lastRow="0" w:noHBand="0" w:noVBand="1" w:val="04A0"/>
      </w:tblPr>
      <w:tblGrid>
        <w:gridCol w:w="4929"/>
        <w:gridCol w:w="4929"/>
      </w:tblGrid>
      <w:tr>
        <w:tc>
          <w:tcPr>
            <w:tcW w:type="dxa" w:w="2381"/>
            <w:shd w:fill="0B1020"/>
          </w:tcPr>
          <w:p>
            <w:r/>
            <w:r>
              <w:rPr>
                <w:rFonts w:ascii="Arial" w:hAnsi="Arial"/>
                <w:b/>
                <w:color w:val="FFFFFF"/>
                <w:sz w:val="16"/>
              </w:rPr>
              <w:t>Metadatum</w:t>
            </w:r>
          </w:p>
        </w:tc>
        <w:tc>
          <w:tcPr>
            <w:tcW w:type="dxa" w:w="6123"/>
            <w:shd w:fill="0B1020"/>
          </w:tcPr>
          <w:p>
            <w:r/>
            <w:r>
              <w:rPr>
                <w:rFonts w:ascii="Arial" w:hAnsi="Arial"/>
                <w:b/>
                <w:color w:val="FFFFFF"/>
                <w:sz w:val="16"/>
              </w:rPr>
              <w:t>Angabe</w:t>
            </w:r>
          </w:p>
        </w:tc>
      </w:tr>
      <w:tr>
        <w:tc>
          <w:tcPr>
            <w:tcW w:type="dxa" w:w="2381"/>
            <w:vAlign w:val="top"/>
          </w:tcPr>
          <w:p>
            <w:r/>
            <w:r>
              <w:rPr>
                <w:rFonts w:ascii="Arial" w:hAnsi="Arial"/>
                <w:b w:val="0"/>
                <w:color w:val="2F343C"/>
                <w:sz w:val="16"/>
              </w:rPr>
              <w:t>Dokumenttyp</w:t>
            </w:r>
          </w:p>
        </w:tc>
        <w:tc>
          <w:tcPr>
            <w:tcW w:type="dxa" w:w="6123"/>
            <w:vAlign w:val="top"/>
          </w:tcPr>
          <w:p>
            <w:r/>
            <w:r>
              <w:rPr>
                <w:rFonts w:ascii="Arial" w:hAnsi="Arial"/>
                <w:b w:val="0"/>
                <w:color w:val="2F343C"/>
                <w:sz w:val="16"/>
              </w:rPr>
              <w:t>Öffentliches Methodenpapier</w:t>
            </w:r>
          </w:p>
        </w:tc>
      </w:tr>
      <w:tr>
        <w:tc>
          <w:tcPr>
            <w:tcW w:type="dxa" w:w="2381"/>
            <w:vAlign w:val="top"/>
          </w:tcPr>
          <w:p>
            <w:r/>
            <w:r>
              <w:rPr>
                <w:rFonts w:ascii="Arial" w:hAnsi="Arial"/>
                <w:b w:val="0"/>
                <w:color w:val="2F343C"/>
                <w:sz w:val="16"/>
              </w:rPr>
              <w:t>Zugehöriger Bereich</w:t>
            </w:r>
          </w:p>
        </w:tc>
        <w:tc>
          <w:tcPr>
            <w:tcW w:type="dxa" w:w="6123"/>
            <w:vAlign w:val="top"/>
          </w:tcPr>
          <w:p>
            <w:r/>
            <w:r>
              <w:rPr>
                <w:rFonts w:ascii="Arial" w:hAnsi="Arial"/>
                <w:b w:val="0"/>
                <w:color w:val="2F343C"/>
                <w:sz w:val="16"/>
              </w:rPr>
              <w:t>Impact Controlling / Scorecards / NWI</w:t>
            </w:r>
          </w:p>
        </w:tc>
      </w:tr>
      <w:tr>
        <w:tc>
          <w:tcPr>
            <w:tcW w:type="dxa" w:w="2381"/>
            <w:vAlign w:val="top"/>
          </w:tcPr>
          <w:p>
            <w:r/>
            <w:r>
              <w:rPr>
                <w:rFonts w:ascii="Arial" w:hAnsi="Arial"/>
                <w:b w:val="0"/>
                <w:color w:val="2F343C"/>
                <w:sz w:val="16"/>
              </w:rPr>
              <w:t>Unterbereich</w:t>
            </w:r>
          </w:p>
        </w:tc>
        <w:tc>
          <w:tcPr>
            <w:tcW w:type="dxa" w:w="6123"/>
            <w:vAlign w:val="top"/>
          </w:tcPr>
          <w:p>
            <w:r/>
            <w:r>
              <w:rPr>
                <w:rFonts w:ascii="Arial" w:hAnsi="Arial"/>
                <w:b w:val="0"/>
                <w:color w:val="2F343C"/>
                <w:sz w:val="16"/>
              </w:rPr>
              <w:t>Scorecards, Benchmarks und Netto-Wirkungs-Index</w:t>
            </w:r>
          </w:p>
        </w:tc>
      </w:tr>
      <w:tr>
        <w:tc>
          <w:tcPr>
            <w:tcW w:type="dxa" w:w="2381"/>
            <w:vAlign w:val="top"/>
          </w:tcPr>
          <w:p>
            <w:r/>
            <w:r>
              <w:rPr>
                <w:rFonts w:ascii="Arial" w:hAnsi="Arial"/>
                <w:b w:val="0"/>
                <w:color w:val="2F343C"/>
                <w:sz w:val="16"/>
              </w:rPr>
              <w:t>Autorin</w:t>
            </w:r>
          </w:p>
        </w:tc>
        <w:tc>
          <w:tcPr>
            <w:tcW w:type="dxa" w:w="6123"/>
            <w:vAlign w:val="top"/>
          </w:tcPr>
          <w:p>
            <w:r/>
            <w:r>
              <w:rPr>
                <w:rFonts w:ascii="Arial" w:hAnsi="Arial"/>
                <w:b w:val="0"/>
                <w:color w:val="2F343C"/>
                <w:sz w:val="16"/>
              </w:rPr>
              <w:t>Natalie Weber · Wirkungsökonomie</w:t>
            </w:r>
          </w:p>
        </w:tc>
      </w:tr>
      <w:tr>
        <w:tc>
          <w:tcPr>
            <w:tcW w:type="dxa" w:w="2381"/>
            <w:vAlign w:val="top"/>
          </w:tcPr>
          <w:p>
            <w:r/>
            <w:r>
              <w:rPr>
                <w:rFonts w:ascii="Arial" w:hAnsi="Arial"/>
                <w:b w:val="0"/>
                <w:color w:val="2F343C"/>
                <w:sz w:val="16"/>
              </w:rPr>
              <w:t>Öffentlichkeit</w:t>
            </w:r>
          </w:p>
        </w:tc>
        <w:tc>
          <w:tcPr>
            <w:tcW w:type="dxa" w:w="6123"/>
            <w:vAlign w:val="top"/>
          </w:tcPr>
          <w:p>
            <w:r/>
            <w:r>
              <w:rPr>
                <w:rFonts w:ascii="Arial" w:hAnsi="Arial"/>
                <w:b w:val="0"/>
                <w:color w:val="2F343C"/>
                <w:sz w:val="16"/>
              </w:rPr>
              <w:t>Enthält keine internen CodeX-/Repository-Anweisungen</w:t>
            </w:r>
          </w:p>
        </w:tc>
      </w:tr>
      <w:tr>
        <w:tc>
          <w:tcPr>
            <w:tcW w:type="dxa" w:w="2381"/>
            <w:vAlign w:val="top"/>
          </w:tcPr>
          <w:p>
            <w:r/>
            <w:r>
              <w:rPr>
                <w:rFonts w:ascii="Arial" w:hAnsi="Arial"/>
                <w:b w:val="0"/>
                <w:color w:val="2F343C"/>
                <w:sz w:val="16"/>
              </w:rPr>
              <w:t>Hinweis</w:t>
            </w:r>
          </w:p>
        </w:tc>
        <w:tc>
          <w:tcPr>
            <w:tcW w:type="dxa" w:w="6123"/>
            <w:vAlign w:val="top"/>
          </w:tcPr>
          <w:p>
            <w:r/>
            <w:r>
              <w:rPr>
                <w:rFonts w:ascii="Arial" w:hAnsi="Arial"/>
                <w:b w:val="0"/>
                <w:color w:val="2F343C"/>
                <w:sz w:val="16"/>
              </w:rPr>
              <w:t>Konzeptionelle Arbeitsfassung; keine Rechts-, Steuer-, Anlage-, Prüfungs- oder Finanzierungsberatung</w:t>
            </w:r>
          </w:p>
        </w:tc>
      </w:tr>
    </w:tbl>
    <w:p/>
    <w:p>
      <w:pPr>
        <w:pStyle w:val="Heading1"/>
      </w:pPr>
      <w:r>
        <w:t>Inhaltsübersicht</w:t>
      </w:r>
    </w:p>
    <w:p>
      <w:pPr/>
      <w:r>
        <w:rPr>
          <w:rFonts w:ascii="Arial" w:hAnsi="Arial"/>
          <w:color w:val="2F343C"/>
          <w:sz w:val="21"/>
        </w:rPr>
        <w:t>1. Executive Summary</w:t>
      </w:r>
    </w:p>
    <w:p>
      <w:pPr/>
      <w:r>
        <w:rPr>
          <w:rFonts w:ascii="Arial" w:hAnsi="Arial"/>
          <w:color w:val="2F343C"/>
          <w:sz w:val="21"/>
        </w:rPr>
        <w:t>2. Ausgangsdiagnose</w:t>
      </w:r>
    </w:p>
    <w:p>
      <w:pPr/>
      <w:r>
        <w:rPr>
          <w:rFonts w:ascii="Arial" w:hAnsi="Arial"/>
          <w:color w:val="2F343C"/>
          <w:sz w:val="21"/>
        </w:rPr>
        <w:t>3. Scorecards als Bewertungsoberfläche</w:t>
      </w:r>
    </w:p>
    <w:p>
      <w:pPr/>
      <w:r>
        <w:rPr>
          <w:rFonts w:ascii="Arial" w:hAnsi="Arial"/>
          <w:color w:val="2F343C"/>
          <w:sz w:val="21"/>
        </w:rPr>
        <w:t>4. Die Wirkungsskala von -3 bis +3</w:t>
      </w:r>
    </w:p>
    <w:p>
      <w:pPr/>
      <w:r>
        <w:rPr>
          <w:rFonts w:ascii="Arial" w:hAnsi="Arial"/>
          <w:color w:val="2F343C"/>
          <w:sz w:val="21"/>
        </w:rPr>
        <w:t>5. Benchmarks nach Branche, Kontext und Grenze</w:t>
      </w:r>
    </w:p>
    <w:p>
      <w:pPr/>
      <w:r>
        <w:rPr>
          <w:rFonts w:ascii="Arial" w:hAnsi="Arial"/>
          <w:color w:val="2F343C"/>
          <w:sz w:val="21"/>
        </w:rPr>
        <w:t>6. Reverse Merit Order und Nichtkompensation</w:t>
      </w:r>
    </w:p>
    <w:p>
      <w:pPr/>
      <w:r>
        <w:rPr>
          <w:rFonts w:ascii="Arial" w:hAnsi="Arial"/>
          <w:color w:val="2F343C"/>
          <w:sz w:val="21"/>
        </w:rPr>
        <w:t>7. Netto-Wirkungs-Index (NWI)</w:t>
      </w:r>
    </w:p>
    <w:p>
      <w:pPr/>
      <w:r>
        <w:rPr>
          <w:rFonts w:ascii="Arial" w:hAnsi="Arial"/>
          <w:color w:val="2F343C"/>
          <w:sz w:val="21"/>
        </w:rPr>
        <w:t>8. Datenqualität, Unsicherheit und Schätzung</w:t>
      </w:r>
    </w:p>
    <w:p>
      <w:pPr/>
      <w:r>
        <w:rPr>
          <w:rFonts w:ascii="Arial" w:hAnsi="Arial"/>
          <w:color w:val="2F343C"/>
          <w:sz w:val="21"/>
        </w:rPr>
        <w:t>9. Scorecard-Typen</w:t>
      </w:r>
    </w:p>
    <w:p>
      <w:pPr/>
      <w:r>
        <w:rPr>
          <w:rFonts w:ascii="Arial" w:hAnsi="Arial"/>
          <w:color w:val="2F343C"/>
          <w:sz w:val="21"/>
        </w:rPr>
        <w:t>10. Beispiele</w:t>
      </w:r>
    </w:p>
    <w:p>
      <w:pPr/>
      <w:r>
        <w:rPr>
          <w:rFonts w:ascii="Arial" w:hAnsi="Arial"/>
          <w:color w:val="2F343C"/>
          <w:sz w:val="21"/>
        </w:rPr>
        <w:t>11. Assurance, Audit und Governance</w:t>
      </w:r>
    </w:p>
    <w:p>
      <w:pPr/>
      <w:r>
        <w:rPr>
          <w:rFonts w:ascii="Arial" w:hAnsi="Arial"/>
          <w:color w:val="2F343C"/>
          <w:sz w:val="21"/>
        </w:rPr>
        <w:t>12. Grenzen und Schutzmechanismen</w:t>
      </w:r>
    </w:p>
    <w:p>
      <w:pPr/>
      <w:r>
        <w:rPr>
          <w:rFonts w:ascii="Arial" w:hAnsi="Arial"/>
          <w:color w:val="2F343C"/>
          <w:sz w:val="21"/>
        </w:rPr>
        <w:t>13. Politische Anschlussfähigkeit</w:t>
      </w:r>
    </w:p>
    <w:p>
      <w:pPr/>
      <w:r>
        <w:rPr>
          <w:rFonts w:ascii="Arial" w:hAnsi="Arial"/>
          <w:color w:val="2F343C"/>
          <w:sz w:val="21"/>
        </w:rPr>
        <w:t>14. SDG-/SDG+-Bezug</w:t>
      </w:r>
    </w:p>
    <w:p>
      <w:pPr/>
      <w:r>
        <w:rPr>
          <w:rFonts w:ascii="Arial" w:hAnsi="Arial"/>
          <w:color w:val="2F343C"/>
          <w:sz w:val="21"/>
        </w:rPr>
        <w:t>15. Website- und Portalintegration</w:t>
      </w:r>
    </w:p>
    <w:p>
      <w:pPr/>
      <w:r>
        <w:rPr>
          <w:rFonts w:ascii="Arial" w:hAnsi="Arial"/>
          <w:color w:val="2F343C"/>
          <w:sz w:val="21"/>
        </w:rPr>
        <w:t>16. Quellen und Anschlussstellen</w:t>
      </w:r>
    </w:p>
    <w:p>
      <w:pPr/>
      <w:r>
        <w:rPr>
          <w:rFonts w:ascii="Arial" w:hAnsi="Arial"/>
          <w:color w:val="2F343C"/>
          <w:sz w:val="21"/>
        </w:rPr>
        <w:t>17. Fazit</w:t>
      </w:r>
    </w:p>
    <w:p>
      <w:r>
        <w:br w:type="page"/>
      </w:r>
    </w:p>
    <w:p>
      <w:pPr>
        <w:pStyle w:val="Heading1"/>
      </w:pPr>
      <w:r>
        <w:t>Executive Summary</w:t>
      </w:r>
    </w:p>
    <w:p>
      <w:pPr>
        <w:jc w:val="left"/>
      </w:pPr>
      <w:r>
        <w:rPr>
          <w:rFonts w:ascii="Arial" w:hAnsi="Arial"/>
          <w:color w:val="2F343C"/>
          <w:sz w:val="21"/>
        </w:rPr>
        <w:t>Scorecards sind die operative Oberfläche der Wirkungsökonomie. Sie übersetzen WÖk-IDs, Datenquellen, Benchmarks und Bewertungslogiken in nachvollziehbare Entscheidungsinformation. Sie zeigen nicht nur, ob ein Produkt, eine Tätigkeit oder ein Projekt wirkt, sondern wo die Engpässe, roten Linien, Datenlücken und Verbesserungspfade liegen.</w:t>
      </w:r>
    </w:p>
    <w:p>
      <w:pPr>
        <w:jc w:val="left"/>
      </w:pPr>
      <w:r>
        <w:rPr>
          <w:rFonts w:ascii="Arial" w:hAnsi="Arial"/>
          <w:color w:val="2F343C"/>
          <w:sz w:val="21"/>
        </w:rPr>
        <w:t>Der Netto-Wirkungs-Index (NWI) ist die zusammenfassende operative Kennzahl, die positive und negative Wirkungen, Datenqualität, Zeitwirkung, rote Linien und Nichtkompensation zusammenführt. Er ist keine simple Addition. Er darf schwere negative Wirkungen nicht durch positive Effekte schönrechnen. Er muss Engpässe sichtbar machen und zugleich genug Differenzierung bieten, damit Verbesserung möglich bleibt.</w:t>
      </w:r>
    </w:p>
    <w:p>
      <w:pPr>
        <w:jc w:val="left"/>
      </w:pPr>
      <w:r>
        <w:rPr>
          <w:rFonts w:ascii="Arial" w:hAnsi="Arial"/>
          <w:color w:val="2F343C"/>
          <w:sz w:val="21"/>
        </w:rPr>
        <w:t>Dieses Methodenpapier beschreibt Aufbau, Skalen, Benchmarks, Scorecard-Typen, NWI-Logik, Reverse Merit Order, Datenqualität, Assurance und politische Umsetzungsoptionen. Es grenzt Scorecards klar von Personenbewertung ab und macht deutlich: Wirkungsökonomie ist keine Social-Credit-Architektur. Bewertet werden Produkte, Organisationen, Maßnahmen, Kapitalflüsse, Portfolios, Programme und Wirkungsräume - nicht die Würde oder der Wert einzelner Menschen.</w:t>
      </w:r>
    </w:p>
    <w:p>
      <w:pPr>
        <w:pStyle w:val="Heading1"/>
      </w:pPr>
      <w:r>
        <w:t>Ausgangsdiagnose: Warum Daten ohne Scorecard nicht steuern</w:t>
      </w:r>
    </w:p>
    <w:p>
      <w:pPr>
        <w:jc w:val="left"/>
      </w:pPr>
      <w:r>
        <w:rPr>
          <w:rFonts w:ascii="Arial" w:hAnsi="Arial"/>
          <w:color w:val="2F343C"/>
          <w:sz w:val="21"/>
        </w:rPr>
        <w:t>Nachhaltigkeitsdaten sind oft umfangreich, aber entscheidungsschwach. Sie stehen in Tabellen, Berichten, Dashboards, Ratings und Prüfvermerken, ohne dass klar wird, welche Konsequenz daraus folgt. Unternehmen fragen: Was heißt das für Einkauf, Produktentwicklung, Risiko oder Kapitalzugang? Politik fragt: Was heißt das für Förderung, Steuer und Haushalt? Bürger:innen fragen: Was heißt das für den Preis und die Kaufentscheidung?</w:t>
      </w:r>
    </w:p>
    <w:p>
      <w:pPr>
        <w:jc w:val="left"/>
      </w:pPr>
      <w:r>
        <w:rPr>
          <w:rFonts w:ascii="Arial" w:hAnsi="Arial"/>
          <w:color w:val="2F343C"/>
          <w:sz w:val="21"/>
        </w:rPr>
        <w:t>Scorecards beantworten diese Übersetzungsfrage. Sie ordnen Daten in Felder, Schwellen, Kontexte und Ergebnislogiken. Sie machen sichtbar, ob eine Kennzahl gut, neutral, problematisch oder kritisch ist. Sie ersetzen nicht politische Entscheidung, aber sie bereiten sie besser vor. Sie ersetzen nicht Managementverantwortung, aber sie machen Rückkopplung möglich.</w:t>
      </w:r>
    </w:p>
    <w:p>
      <w:pPr>
        <w:pStyle w:val="Heading1"/>
      </w:pPr>
      <w:r>
        <w:t>Scorecards als Bewertungsoberfläche</w:t>
      </w:r>
    </w:p>
    <w:p>
      <w:pPr>
        <w:jc w:val="left"/>
      </w:pPr>
      <w:r>
        <w:rPr>
          <w:rFonts w:ascii="Arial" w:hAnsi="Arial"/>
          <w:color w:val="2F343C"/>
          <w:sz w:val="21"/>
        </w:rPr>
        <w:t>Eine Wirkungs-Scorecard besteht aus mehreren Ebenen. Die erste Ebene sind die WÖk-IDs. Die zweite Ebene sind Messwerte. Die dritte Ebene sind Benchmarks oder Bewertungsfunktionen. Die vierte Ebene sind Scores. Die fünfte Ebene ist eine zusammenführende Logik, zum Beispiel FinalScore, NWI oder T-SROI-Vorbereitung.</w:t>
      </w:r>
    </w:p>
    <w:p>
      <w:pPr>
        <w:jc w:val="left"/>
      </w:pPr>
      <w:r>
        <w:rPr>
          <w:rFonts w:ascii="Arial" w:hAnsi="Arial"/>
          <w:color w:val="2F343C"/>
          <w:sz w:val="21"/>
        </w:rPr>
        <w:t>Eine gute Scorecard zeigt nicht nur Ergebniswerte. Sie zeigt auch Datenherkunft, Unsicherheit, Prüfstatus, rote Linien, Verbesserungshebel und den Grund, warum ein Score so zustande kommt. Eine Scorecard, die nur eine Ampel zeigt, ist kommunikativ nützlich, aber methodisch unzureichend. Die Ampel muss anklickbar, erklärbar und revisionsfähig sein.</w:t>
      </w:r>
    </w:p>
    <w:tbl>
      <w:tblPr>
        <w:tblStyle w:val="TableGrid"/>
        <w:tblW w:type="auto" w:w="0"/>
        <w:jc w:val="center"/>
        <w:tblLook w:firstColumn="1" w:firstRow="1" w:lastColumn="0" w:lastRow="0" w:noHBand="0" w:noVBand="1" w:val="04A0"/>
      </w:tblPr>
      <w:tblGrid>
        <w:gridCol w:w="3286"/>
        <w:gridCol w:w="3286"/>
        <w:gridCol w:w="3286"/>
      </w:tblGrid>
      <w:tr>
        <w:tc>
          <w:tcPr>
            <w:tcW w:type="dxa" w:w="1984"/>
            <w:shd w:fill="0B1020"/>
          </w:tcPr>
          <w:p>
            <w:r/>
            <w:r>
              <w:rPr>
                <w:rFonts w:ascii="Arial" w:hAnsi="Arial"/>
                <w:b/>
                <w:color w:val="FFFFFF"/>
                <w:sz w:val="16"/>
              </w:rPr>
              <w:t>Scorecard-Ebene</w:t>
            </w:r>
          </w:p>
        </w:tc>
        <w:tc>
          <w:tcPr>
            <w:tcW w:type="dxa" w:w="2835"/>
            <w:shd w:fill="0B1020"/>
          </w:tcPr>
          <w:p>
            <w:r/>
            <w:r>
              <w:rPr>
                <w:rFonts w:ascii="Arial" w:hAnsi="Arial"/>
                <w:b/>
                <w:color w:val="FFFFFF"/>
                <w:sz w:val="16"/>
              </w:rPr>
              <w:t>Funktion</w:t>
            </w:r>
          </w:p>
        </w:tc>
        <w:tc>
          <w:tcPr>
            <w:tcW w:type="dxa" w:w="3685"/>
            <w:shd w:fill="0B1020"/>
          </w:tcPr>
          <w:p>
            <w:r/>
            <w:r>
              <w:rPr>
                <w:rFonts w:ascii="Arial" w:hAnsi="Arial"/>
                <w:b/>
                <w:color w:val="FFFFFF"/>
                <w:sz w:val="16"/>
              </w:rPr>
              <w:t>Beispiel</w:t>
            </w:r>
          </w:p>
        </w:tc>
      </w:tr>
      <w:tr>
        <w:tc>
          <w:tcPr>
            <w:tcW w:type="dxa" w:w="1984"/>
            <w:vAlign w:val="top"/>
          </w:tcPr>
          <w:p>
            <w:r/>
            <w:r>
              <w:rPr>
                <w:rFonts w:ascii="Arial" w:hAnsi="Arial"/>
                <w:b w:val="0"/>
                <w:color w:val="2F343C"/>
                <w:sz w:val="16"/>
              </w:rPr>
              <w:t>WÖk-ID</w:t>
            </w:r>
          </w:p>
        </w:tc>
        <w:tc>
          <w:tcPr>
            <w:tcW w:type="dxa" w:w="2835"/>
            <w:vAlign w:val="top"/>
          </w:tcPr>
          <w:p>
            <w:r/>
            <w:r>
              <w:rPr>
                <w:rFonts w:ascii="Arial" w:hAnsi="Arial"/>
                <w:b w:val="0"/>
                <w:color w:val="2F343C"/>
                <w:sz w:val="16"/>
              </w:rPr>
              <w:t>eindeutiger Indikatoranker</w:t>
            </w:r>
          </w:p>
        </w:tc>
        <w:tc>
          <w:tcPr>
            <w:tcW w:type="dxa" w:w="3685"/>
            <w:vAlign w:val="top"/>
          </w:tcPr>
          <w:p>
            <w:r/>
            <w:r>
              <w:rPr>
                <w:rFonts w:ascii="Arial" w:hAnsi="Arial"/>
                <w:b w:val="0"/>
                <w:color w:val="2F343C"/>
                <w:sz w:val="16"/>
              </w:rPr>
              <w:t>WOK-E-179 THG-Emissionen Scope 1/2</w:t>
            </w:r>
          </w:p>
        </w:tc>
      </w:tr>
      <w:tr>
        <w:tc>
          <w:tcPr>
            <w:tcW w:type="dxa" w:w="1984"/>
            <w:vAlign w:val="top"/>
          </w:tcPr>
          <w:p>
            <w:r/>
            <w:r>
              <w:rPr>
                <w:rFonts w:ascii="Arial" w:hAnsi="Arial"/>
                <w:b w:val="0"/>
                <w:color w:val="2F343C"/>
                <w:sz w:val="16"/>
              </w:rPr>
              <w:t>Messwert</w:t>
            </w:r>
          </w:p>
        </w:tc>
        <w:tc>
          <w:tcPr>
            <w:tcW w:type="dxa" w:w="2835"/>
            <w:vAlign w:val="top"/>
          </w:tcPr>
          <w:p>
            <w:r/>
            <w:r>
              <w:rPr>
                <w:rFonts w:ascii="Arial" w:hAnsi="Arial"/>
                <w:b w:val="0"/>
                <w:color w:val="2F343C"/>
                <w:sz w:val="16"/>
              </w:rPr>
              <w:t>konkreter Datenpunkt</w:t>
            </w:r>
          </w:p>
        </w:tc>
        <w:tc>
          <w:tcPr>
            <w:tcW w:type="dxa" w:w="3685"/>
            <w:vAlign w:val="top"/>
          </w:tcPr>
          <w:p>
            <w:r/>
            <w:r>
              <w:rPr>
                <w:rFonts w:ascii="Arial" w:hAnsi="Arial"/>
                <w:b w:val="0"/>
                <w:color w:val="2F343C"/>
                <w:sz w:val="16"/>
              </w:rPr>
              <w:t>450 g CO2/kWh</w:t>
            </w:r>
          </w:p>
        </w:tc>
      </w:tr>
      <w:tr>
        <w:tc>
          <w:tcPr>
            <w:tcW w:type="dxa" w:w="1984"/>
            <w:vAlign w:val="top"/>
          </w:tcPr>
          <w:p>
            <w:r/>
            <w:r>
              <w:rPr>
                <w:rFonts w:ascii="Arial" w:hAnsi="Arial"/>
                <w:b w:val="0"/>
                <w:color w:val="2F343C"/>
                <w:sz w:val="16"/>
              </w:rPr>
              <w:t>Benchmark</w:t>
            </w:r>
          </w:p>
        </w:tc>
        <w:tc>
          <w:tcPr>
            <w:tcW w:type="dxa" w:w="2835"/>
            <w:vAlign w:val="top"/>
          </w:tcPr>
          <w:p>
            <w:r/>
            <w:r>
              <w:rPr>
                <w:rFonts w:ascii="Arial" w:hAnsi="Arial"/>
                <w:b w:val="0"/>
                <w:color w:val="2F343C"/>
                <w:sz w:val="16"/>
              </w:rPr>
              <w:t>Referenz oder Zielwert</w:t>
            </w:r>
          </w:p>
        </w:tc>
        <w:tc>
          <w:tcPr>
            <w:tcW w:type="dxa" w:w="3685"/>
            <w:vAlign w:val="top"/>
          </w:tcPr>
          <w:p>
            <w:r/>
            <w:r>
              <w:rPr>
                <w:rFonts w:ascii="Arial" w:hAnsi="Arial"/>
                <w:b w:val="0"/>
                <w:color w:val="2F343C"/>
                <w:sz w:val="16"/>
              </w:rPr>
              <w:t>Sektorpfad, EU-Taxonomie, nationaler Grenzwert</w:t>
            </w:r>
          </w:p>
        </w:tc>
      </w:tr>
      <w:tr>
        <w:tc>
          <w:tcPr>
            <w:tcW w:type="dxa" w:w="1984"/>
            <w:vAlign w:val="top"/>
          </w:tcPr>
          <w:p>
            <w:r/>
            <w:r>
              <w:rPr>
                <w:rFonts w:ascii="Arial" w:hAnsi="Arial"/>
                <w:b w:val="0"/>
                <w:color w:val="2F343C"/>
                <w:sz w:val="16"/>
              </w:rPr>
              <w:t>Score</w:t>
            </w:r>
          </w:p>
        </w:tc>
        <w:tc>
          <w:tcPr>
            <w:tcW w:type="dxa" w:w="2835"/>
            <w:vAlign w:val="top"/>
          </w:tcPr>
          <w:p>
            <w:r/>
            <w:r>
              <w:rPr>
                <w:rFonts w:ascii="Arial" w:hAnsi="Arial"/>
                <w:b w:val="0"/>
                <w:color w:val="2F343C"/>
                <w:sz w:val="16"/>
              </w:rPr>
              <w:t>Bewertung -3 bis +3</w:t>
            </w:r>
          </w:p>
        </w:tc>
        <w:tc>
          <w:tcPr>
            <w:tcW w:type="dxa" w:w="3685"/>
            <w:vAlign w:val="top"/>
          </w:tcPr>
          <w:p>
            <w:r/>
            <w:r>
              <w:rPr>
                <w:rFonts w:ascii="Arial" w:hAnsi="Arial"/>
                <w:b w:val="0"/>
                <w:color w:val="2F343C"/>
                <w:sz w:val="16"/>
              </w:rPr>
              <w:t>-2 bei deutlicher Überschreitung</w:t>
            </w:r>
          </w:p>
        </w:tc>
      </w:tr>
      <w:tr>
        <w:tc>
          <w:tcPr>
            <w:tcW w:type="dxa" w:w="1984"/>
            <w:vAlign w:val="top"/>
          </w:tcPr>
          <w:p>
            <w:r/>
            <w:r>
              <w:rPr>
                <w:rFonts w:ascii="Arial" w:hAnsi="Arial"/>
                <w:b w:val="0"/>
                <w:color w:val="2F343C"/>
                <w:sz w:val="16"/>
              </w:rPr>
              <w:t>Datenqualität</w:t>
            </w:r>
          </w:p>
        </w:tc>
        <w:tc>
          <w:tcPr>
            <w:tcW w:type="dxa" w:w="2835"/>
            <w:vAlign w:val="top"/>
          </w:tcPr>
          <w:p>
            <w:r/>
            <w:r>
              <w:rPr>
                <w:rFonts w:ascii="Arial" w:hAnsi="Arial"/>
                <w:b w:val="0"/>
                <w:color w:val="2F343C"/>
                <w:sz w:val="16"/>
              </w:rPr>
              <w:t>Belastbarkeit</w:t>
            </w:r>
          </w:p>
        </w:tc>
        <w:tc>
          <w:tcPr>
            <w:tcW w:type="dxa" w:w="3685"/>
            <w:vAlign w:val="top"/>
          </w:tcPr>
          <w:p>
            <w:r/>
            <w:r>
              <w:rPr>
                <w:rFonts w:ascii="Arial" w:hAnsi="Arial"/>
                <w:b w:val="0"/>
                <w:color w:val="2F343C"/>
                <w:sz w:val="16"/>
              </w:rPr>
              <w:t>Q1 auditierte Primärdaten, Q3 EPD/Benchmark</w:t>
            </w:r>
          </w:p>
        </w:tc>
      </w:tr>
      <w:tr>
        <w:tc>
          <w:tcPr>
            <w:tcW w:type="dxa" w:w="1984"/>
            <w:vAlign w:val="top"/>
          </w:tcPr>
          <w:p>
            <w:r/>
            <w:r>
              <w:rPr>
                <w:rFonts w:ascii="Arial" w:hAnsi="Arial"/>
                <w:b w:val="0"/>
                <w:color w:val="2F343C"/>
                <w:sz w:val="16"/>
              </w:rPr>
              <w:t>FinalScore/NWI</w:t>
            </w:r>
          </w:p>
        </w:tc>
        <w:tc>
          <w:tcPr>
            <w:tcW w:type="dxa" w:w="2835"/>
            <w:vAlign w:val="top"/>
          </w:tcPr>
          <w:p>
            <w:r/>
            <w:r>
              <w:rPr>
                <w:rFonts w:ascii="Arial" w:hAnsi="Arial"/>
                <w:b w:val="0"/>
                <w:color w:val="2F343C"/>
                <w:sz w:val="16"/>
              </w:rPr>
              <w:t>Zusammenführung</w:t>
            </w:r>
          </w:p>
        </w:tc>
        <w:tc>
          <w:tcPr>
            <w:tcW w:type="dxa" w:w="3685"/>
            <w:vAlign w:val="top"/>
          </w:tcPr>
          <w:p>
            <w:r/>
            <w:r>
              <w:rPr>
                <w:rFonts w:ascii="Arial" w:hAnsi="Arial"/>
                <w:b w:val="0"/>
                <w:color w:val="2F343C"/>
                <w:sz w:val="16"/>
              </w:rPr>
              <w:t>Minimum-Logik plus Netto-Wirkungs-Betrachtung</w:t>
            </w:r>
          </w:p>
        </w:tc>
      </w:tr>
    </w:tbl>
    <w:p/>
    <w:p>
      <w:pPr>
        <w:pStyle w:val="Heading1"/>
      </w:pPr>
      <w:r>
        <w:t>Die Wirkungsskala von -3 bis +3</w:t>
      </w:r>
    </w:p>
    <w:p>
      <w:pPr>
        <w:jc w:val="left"/>
      </w:pPr>
      <w:r>
        <w:rPr>
          <w:rFonts w:ascii="Arial" w:hAnsi="Arial"/>
          <w:color w:val="2F343C"/>
          <w:sz w:val="21"/>
        </w:rPr>
        <w:t>Die Skala von -3 bis +3 schafft eine gemeinsame Sprache. Sie ist bewusst grob genug, um nicht Scheingenauigkeit zu erzeugen, und fein genug, um Verbesserung zu zeigen. Sie erlaubt, dass negative, neutrale und positive Wirkungen sichtbar werden.</w:t>
      </w:r>
    </w:p>
    <w:p>
      <w:pPr>
        <w:jc w:val="left"/>
      </w:pPr>
      <w:r>
        <w:rPr>
          <w:rFonts w:ascii="Arial" w:hAnsi="Arial"/>
          <w:color w:val="2F343C"/>
          <w:sz w:val="21"/>
        </w:rPr>
        <w:t>Die Skala darf nicht als Schulnote verstanden werden. Sie beschreibt den Zustand einer Wirkungsdimension im Verhältnis zu Referenzrahmen und Benchmark. Ein Score -3 bedeutet nicht, dass ein Unternehmen als Ganzes schlecht ist. Er bedeutet, dass ein konkretes Wirkungsfeld kritisch schädlich ist und nicht durch gute Werte an anderer Stelle neutralisiert werden darf.</w:t>
      </w:r>
    </w:p>
    <w:tbl>
      <w:tblPr>
        <w:tblStyle w:val="TableGrid"/>
        <w:tblW w:type="auto" w:w="0"/>
        <w:jc w:val="center"/>
        <w:tblLook w:firstColumn="1" w:firstRow="1" w:lastColumn="0" w:lastRow="0" w:noHBand="0" w:noVBand="1" w:val="04A0"/>
      </w:tblPr>
      <w:tblGrid>
        <w:gridCol w:w="3286"/>
        <w:gridCol w:w="3286"/>
        <w:gridCol w:w="3286"/>
      </w:tblGrid>
      <w:tr>
        <w:tc>
          <w:tcPr>
            <w:tcW w:type="dxa" w:w="1247"/>
            <w:shd w:fill="0B1020"/>
          </w:tcPr>
          <w:p>
            <w:r/>
            <w:r>
              <w:rPr>
                <w:rFonts w:ascii="Arial" w:hAnsi="Arial"/>
                <w:b/>
                <w:color w:val="FFFFFF"/>
                <w:sz w:val="16"/>
              </w:rPr>
              <w:t>Score</w:t>
            </w:r>
          </w:p>
        </w:tc>
        <w:tc>
          <w:tcPr>
            <w:tcW w:type="dxa" w:w="3685"/>
            <w:shd w:fill="0B1020"/>
          </w:tcPr>
          <w:p>
            <w:r/>
            <w:r>
              <w:rPr>
                <w:rFonts w:ascii="Arial" w:hAnsi="Arial"/>
                <w:b/>
                <w:color w:val="FFFFFF"/>
                <w:sz w:val="16"/>
              </w:rPr>
              <w:t>Bedeutung</w:t>
            </w:r>
          </w:p>
        </w:tc>
        <w:tc>
          <w:tcPr>
            <w:tcW w:type="dxa" w:w="3969"/>
            <w:shd w:fill="0B1020"/>
          </w:tcPr>
          <w:p>
            <w:r/>
            <w:r>
              <w:rPr>
                <w:rFonts w:ascii="Arial" w:hAnsi="Arial"/>
                <w:b/>
                <w:color w:val="FFFFFF"/>
                <w:sz w:val="16"/>
              </w:rPr>
              <w:t>Steuerungsfolge</w:t>
            </w:r>
          </w:p>
        </w:tc>
      </w:tr>
      <w:tr>
        <w:tc>
          <w:tcPr>
            <w:tcW w:type="dxa" w:w="1247"/>
            <w:vAlign w:val="top"/>
          </w:tcPr>
          <w:p>
            <w:r/>
            <w:r>
              <w:rPr>
                <w:rFonts w:ascii="Arial" w:hAnsi="Arial"/>
                <w:b w:val="0"/>
                <w:color w:val="2F343C"/>
                <w:sz w:val="16"/>
              </w:rPr>
              <w:t>+3</w:t>
            </w:r>
          </w:p>
        </w:tc>
        <w:tc>
          <w:tcPr>
            <w:tcW w:type="dxa" w:w="3685"/>
            <w:vAlign w:val="top"/>
          </w:tcPr>
          <w:p>
            <w:r/>
            <w:r>
              <w:rPr>
                <w:rFonts w:ascii="Arial" w:hAnsi="Arial"/>
                <w:b w:val="0"/>
                <w:color w:val="2F343C"/>
                <w:sz w:val="16"/>
              </w:rPr>
              <w:t>transformativ / deutlich oberhalb Zukunftspfad</w:t>
            </w:r>
          </w:p>
        </w:tc>
        <w:tc>
          <w:tcPr>
            <w:tcW w:type="dxa" w:w="3969"/>
            <w:vAlign w:val="top"/>
          </w:tcPr>
          <w:p>
            <w:r/>
            <w:r>
              <w:rPr>
                <w:rFonts w:ascii="Arial" w:hAnsi="Arial"/>
                <w:b w:val="0"/>
                <w:color w:val="2F343C"/>
                <w:sz w:val="16"/>
              </w:rPr>
              <w:t>starker Bonus, Vorbild, Skalierung prüfen</w:t>
            </w:r>
          </w:p>
        </w:tc>
      </w:tr>
      <w:tr>
        <w:tc>
          <w:tcPr>
            <w:tcW w:type="dxa" w:w="1247"/>
            <w:vAlign w:val="top"/>
          </w:tcPr>
          <w:p>
            <w:r/>
            <w:r>
              <w:rPr>
                <w:rFonts w:ascii="Arial" w:hAnsi="Arial"/>
                <w:b w:val="0"/>
                <w:color w:val="2F343C"/>
                <w:sz w:val="16"/>
              </w:rPr>
              <w:t>+2</w:t>
            </w:r>
          </w:p>
        </w:tc>
        <w:tc>
          <w:tcPr>
            <w:tcW w:type="dxa" w:w="3685"/>
            <w:vAlign w:val="top"/>
          </w:tcPr>
          <w:p>
            <w:r/>
            <w:r>
              <w:rPr>
                <w:rFonts w:ascii="Arial" w:hAnsi="Arial"/>
                <w:b w:val="0"/>
                <w:color w:val="2F343C"/>
                <w:sz w:val="16"/>
              </w:rPr>
              <w:t>sehr positive Wirkung</w:t>
            </w:r>
          </w:p>
        </w:tc>
        <w:tc>
          <w:tcPr>
            <w:tcW w:type="dxa" w:w="3969"/>
            <w:vAlign w:val="top"/>
          </w:tcPr>
          <w:p>
            <w:r/>
            <w:r>
              <w:rPr>
                <w:rFonts w:ascii="Arial" w:hAnsi="Arial"/>
                <w:b w:val="0"/>
                <w:color w:val="2F343C"/>
                <w:sz w:val="16"/>
              </w:rPr>
              <w:t>Bonus, niedrige Wirkungslast, Kapitalvorteil</w:t>
            </w:r>
          </w:p>
        </w:tc>
      </w:tr>
      <w:tr>
        <w:tc>
          <w:tcPr>
            <w:tcW w:type="dxa" w:w="1247"/>
            <w:vAlign w:val="top"/>
          </w:tcPr>
          <w:p>
            <w:r/>
            <w:r>
              <w:rPr>
                <w:rFonts w:ascii="Arial" w:hAnsi="Arial"/>
                <w:b w:val="0"/>
                <w:color w:val="2F343C"/>
                <w:sz w:val="16"/>
              </w:rPr>
              <w:t>+1</w:t>
            </w:r>
          </w:p>
        </w:tc>
        <w:tc>
          <w:tcPr>
            <w:tcW w:type="dxa" w:w="3685"/>
            <w:vAlign w:val="top"/>
          </w:tcPr>
          <w:p>
            <w:r/>
            <w:r>
              <w:rPr>
                <w:rFonts w:ascii="Arial" w:hAnsi="Arial"/>
                <w:b w:val="0"/>
                <w:color w:val="2F343C"/>
                <w:sz w:val="16"/>
              </w:rPr>
              <w:t>positive Wirkung</w:t>
            </w:r>
          </w:p>
        </w:tc>
        <w:tc>
          <w:tcPr>
            <w:tcW w:type="dxa" w:w="3969"/>
            <w:vAlign w:val="top"/>
          </w:tcPr>
          <w:p>
            <w:r/>
            <w:r>
              <w:rPr>
                <w:rFonts w:ascii="Arial" w:hAnsi="Arial"/>
                <w:b w:val="0"/>
                <w:color w:val="2F343C"/>
                <w:sz w:val="16"/>
              </w:rPr>
              <w:t>Entlastung, Beschaffungsvorteil, vorsteuerfähig</w:t>
            </w:r>
          </w:p>
        </w:tc>
      </w:tr>
      <w:tr>
        <w:tc>
          <w:tcPr>
            <w:tcW w:type="dxa" w:w="1247"/>
            <w:vAlign w:val="top"/>
          </w:tcPr>
          <w:p>
            <w:r/>
            <w:r>
              <w:rPr>
                <w:rFonts w:ascii="Arial" w:hAnsi="Arial"/>
                <w:b w:val="0"/>
                <w:color w:val="2F343C"/>
                <w:sz w:val="16"/>
              </w:rPr>
              <w:t>0</w:t>
            </w:r>
          </w:p>
        </w:tc>
        <w:tc>
          <w:tcPr>
            <w:tcW w:type="dxa" w:w="3685"/>
            <w:vAlign w:val="top"/>
          </w:tcPr>
          <w:p>
            <w:r/>
            <w:r>
              <w:rPr>
                <w:rFonts w:ascii="Arial" w:hAnsi="Arial"/>
                <w:b w:val="0"/>
                <w:color w:val="2F343C"/>
                <w:sz w:val="16"/>
              </w:rPr>
              <w:t>neutral / Mindeststandard</w:t>
            </w:r>
          </w:p>
        </w:tc>
        <w:tc>
          <w:tcPr>
            <w:tcW w:type="dxa" w:w="3969"/>
            <w:vAlign w:val="top"/>
          </w:tcPr>
          <w:p>
            <w:r/>
            <w:r>
              <w:rPr>
                <w:rFonts w:ascii="Arial" w:hAnsi="Arial"/>
                <w:b w:val="0"/>
                <w:color w:val="2F343C"/>
                <w:sz w:val="16"/>
              </w:rPr>
              <w:t>keine besondere Entlastung, Beobachtung</w:t>
            </w:r>
          </w:p>
        </w:tc>
      </w:tr>
      <w:tr>
        <w:tc>
          <w:tcPr>
            <w:tcW w:type="dxa" w:w="1247"/>
            <w:vAlign w:val="top"/>
          </w:tcPr>
          <w:p>
            <w:r/>
            <w:r>
              <w:rPr>
                <w:rFonts w:ascii="Arial" w:hAnsi="Arial"/>
                <w:b w:val="0"/>
                <w:color w:val="2F343C"/>
                <w:sz w:val="16"/>
              </w:rPr>
              <w:t>-1</w:t>
            </w:r>
          </w:p>
        </w:tc>
        <w:tc>
          <w:tcPr>
            <w:tcW w:type="dxa" w:w="3685"/>
            <w:vAlign w:val="top"/>
          </w:tcPr>
          <w:p>
            <w:r/>
            <w:r>
              <w:rPr>
                <w:rFonts w:ascii="Arial" w:hAnsi="Arial"/>
                <w:b w:val="0"/>
                <w:color w:val="2F343C"/>
                <w:sz w:val="16"/>
              </w:rPr>
              <w:t>schwache negative Wirkung</w:t>
            </w:r>
          </w:p>
        </w:tc>
        <w:tc>
          <w:tcPr>
            <w:tcW w:type="dxa" w:w="3969"/>
            <w:vAlign w:val="top"/>
          </w:tcPr>
          <w:p>
            <w:r/>
            <w:r>
              <w:rPr>
                <w:rFonts w:ascii="Arial" w:hAnsi="Arial"/>
                <w:b w:val="0"/>
                <w:color w:val="2F343C"/>
                <w:sz w:val="16"/>
              </w:rPr>
              <w:t>Verbesserungspfad, mögliche Belastung</w:t>
            </w:r>
          </w:p>
        </w:tc>
      </w:tr>
      <w:tr>
        <w:tc>
          <w:tcPr>
            <w:tcW w:type="dxa" w:w="1247"/>
            <w:vAlign w:val="top"/>
          </w:tcPr>
          <w:p>
            <w:r/>
            <w:r>
              <w:rPr>
                <w:rFonts w:ascii="Arial" w:hAnsi="Arial"/>
                <w:b w:val="0"/>
                <w:color w:val="2F343C"/>
                <w:sz w:val="16"/>
              </w:rPr>
              <w:t>-2</w:t>
            </w:r>
          </w:p>
        </w:tc>
        <w:tc>
          <w:tcPr>
            <w:tcW w:type="dxa" w:w="3685"/>
            <w:vAlign w:val="top"/>
          </w:tcPr>
          <w:p>
            <w:r/>
            <w:r>
              <w:rPr>
                <w:rFonts w:ascii="Arial" w:hAnsi="Arial"/>
                <w:b w:val="0"/>
                <w:color w:val="2F343C"/>
                <w:sz w:val="16"/>
              </w:rPr>
              <w:t>schädliche Wirkung</w:t>
            </w:r>
          </w:p>
        </w:tc>
        <w:tc>
          <w:tcPr>
            <w:tcW w:type="dxa" w:w="3969"/>
            <w:vAlign w:val="top"/>
          </w:tcPr>
          <w:p>
            <w:r/>
            <w:r>
              <w:rPr>
                <w:rFonts w:ascii="Arial" w:hAnsi="Arial"/>
                <w:b w:val="0"/>
                <w:color w:val="2F343C"/>
                <w:sz w:val="16"/>
              </w:rPr>
              <w:t>Malus, Transformationspflicht, Prüfung</w:t>
            </w:r>
          </w:p>
        </w:tc>
      </w:tr>
      <w:tr>
        <w:tc>
          <w:tcPr>
            <w:tcW w:type="dxa" w:w="1247"/>
            <w:vAlign w:val="top"/>
          </w:tcPr>
          <w:p>
            <w:r/>
            <w:r>
              <w:rPr>
                <w:rFonts w:ascii="Arial" w:hAnsi="Arial"/>
                <w:b w:val="0"/>
                <w:color w:val="2F343C"/>
                <w:sz w:val="16"/>
              </w:rPr>
              <w:t>-3</w:t>
            </w:r>
          </w:p>
        </w:tc>
        <w:tc>
          <w:tcPr>
            <w:tcW w:type="dxa" w:w="3685"/>
            <w:vAlign w:val="top"/>
          </w:tcPr>
          <w:p>
            <w:r/>
            <w:r>
              <w:rPr>
                <w:rFonts w:ascii="Arial" w:hAnsi="Arial"/>
                <w:b w:val="0"/>
                <w:color w:val="2F343C"/>
                <w:sz w:val="16"/>
              </w:rPr>
              <w:t>kritisch schädlich / rote Linie</w:t>
            </w:r>
          </w:p>
        </w:tc>
        <w:tc>
          <w:tcPr>
            <w:tcW w:type="dxa" w:w="3969"/>
            <w:vAlign w:val="top"/>
          </w:tcPr>
          <w:p>
            <w:r/>
            <w:r>
              <w:rPr>
                <w:rFonts w:ascii="Arial" w:hAnsi="Arial"/>
                <w:b w:val="0"/>
                <w:color w:val="2F343C"/>
                <w:sz w:val="16"/>
              </w:rPr>
              <w:t>Nichtkompensation, Ausschluss, Sanierung oder Verbot prüfen</w:t>
            </w:r>
          </w:p>
        </w:tc>
      </w:tr>
    </w:tbl>
    <w:p/>
    <w:p>
      <w:pPr>
        <w:pStyle w:val="Heading1"/>
      </w:pPr>
      <w:r>
        <w:t>Benchmarks nach Branche, Kontext und Grenze</w:t>
      </w:r>
    </w:p>
    <w:p>
      <w:pPr>
        <w:jc w:val="left"/>
      </w:pPr>
      <w:r>
        <w:rPr>
          <w:rFonts w:ascii="Arial" w:hAnsi="Arial"/>
          <w:color w:val="2F343C"/>
          <w:sz w:val="21"/>
        </w:rPr>
        <w:t>Benchmarks sind die Referenzpunkte der Bewertung. Ohne Benchmarks bleibt eine Zahl bedeutungslos. Ein Wert kann gut, schlecht oder irrelevant sein, je nachdem, welche Branche, Region, Technologie, Zielpfad und Wirkungsempfänger betroffen sind.</w:t>
      </w:r>
    </w:p>
    <w:p>
      <w:pPr>
        <w:jc w:val="left"/>
      </w:pPr>
      <w:r>
        <w:rPr>
          <w:rFonts w:ascii="Arial" w:hAnsi="Arial"/>
          <w:color w:val="2F343C"/>
          <w:sz w:val="21"/>
        </w:rPr>
        <w:t>Die Wirkungsökonomie unterscheidet mehrere Benchmarktypen: gesetzliche Grenzwerte, wissenschaftliche Grenzen, Sektorpfade, bestverfügbare Technologie, Transformationspfade, Sozialstandards, globale Mindestnormen und demokratische Stabilitätskriterien. Manche Benchmarks sind skalierend, andere sind harte Grenzen. Harte Grenzen dürfen nicht über Durchschnittswerte weichgezeichnet werden.</w:t>
      </w:r>
    </w:p>
    <w:tbl>
      <w:tblPr>
        <w:tblStyle w:val="TableGrid"/>
        <w:tblW w:type="auto" w:w="0"/>
        <w:jc w:val="center"/>
        <w:tblLook w:firstColumn="1" w:firstRow="1" w:lastColumn="0" w:lastRow="0" w:noHBand="0" w:noVBand="1" w:val="04A0"/>
      </w:tblPr>
      <w:tblGrid>
        <w:gridCol w:w="3286"/>
        <w:gridCol w:w="3286"/>
        <w:gridCol w:w="3286"/>
      </w:tblGrid>
      <w:tr>
        <w:tc>
          <w:tcPr>
            <w:tcW w:type="dxa" w:w="2268"/>
            <w:shd w:fill="0B1020"/>
          </w:tcPr>
          <w:p>
            <w:r/>
            <w:r>
              <w:rPr>
                <w:rFonts w:ascii="Arial" w:hAnsi="Arial"/>
                <w:b/>
                <w:color w:val="FFFFFF"/>
                <w:sz w:val="16"/>
              </w:rPr>
              <w:t>Benchmarktyp</w:t>
            </w:r>
          </w:p>
        </w:tc>
        <w:tc>
          <w:tcPr>
            <w:tcW w:type="dxa" w:w="2948"/>
            <w:shd w:fill="0B1020"/>
          </w:tcPr>
          <w:p>
            <w:r/>
            <w:r>
              <w:rPr>
                <w:rFonts w:ascii="Arial" w:hAnsi="Arial"/>
                <w:b/>
                <w:color w:val="FFFFFF"/>
                <w:sz w:val="16"/>
              </w:rPr>
              <w:t>Beispiel</w:t>
            </w:r>
          </w:p>
        </w:tc>
        <w:tc>
          <w:tcPr>
            <w:tcW w:type="dxa" w:w="3288"/>
            <w:shd w:fill="0B1020"/>
          </w:tcPr>
          <w:p>
            <w:r/>
            <w:r>
              <w:rPr>
                <w:rFonts w:ascii="Arial" w:hAnsi="Arial"/>
                <w:b/>
                <w:color w:val="FFFFFF"/>
                <w:sz w:val="16"/>
              </w:rPr>
              <w:t>Besonderheit</w:t>
            </w:r>
          </w:p>
        </w:tc>
      </w:tr>
      <w:tr>
        <w:tc>
          <w:tcPr>
            <w:tcW w:type="dxa" w:w="2268"/>
            <w:vAlign w:val="top"/>
          </w:tcPr>
          <w:p>
            <w:r/>
            <w:r>
              <w:rPr>
                <w:rFonts w:ascii="Arial" w:hAnsi="Arial"/>
                <w:b w:val="0"/>
                <w:color w:val="2F343C"/>
                <w:sz w:val="16"/>
              </w:rPr>
              <w:t>gesetzlicher Grenzwert</w:t>
            </w:r>
          </w:p>
        </w:tc>
        <w:tc>
          <w:tcPr>
            <w:tcW w:type="dxa" w:w="2948"/>
            <w:vAlign w:val="top"/>
          </w:tcPr>
          <w:p>
            <w:r/>
            <w:r>
              <w:rPr>
                <w:rFonts w:ascii="Arial" w:hAnsi="Arial"/>
                <w:b w:val="0"/>
                <w:color w:val="2F343C"/>
                <w:sz w:val="16"/>
              </w:rPr>
              <w:t>REACH, Arbeitsschutz, Abwassergrenze</w:t>
            </w:r>
          </w:p>
        </w:tc>
        <w:tc>
          <w:tcPr>
            <w:tcW w:type="dxa" w:w="3288"/>
            <w:vAlign w:val="top"/>
          </w:tcPr>
          <w:p>
            <w:r/>
            <w:r>
              <w:rPr>
                <w:rFonts w:ascii="Arial" w:hAnsi="Arial"/>
                <w:b w:val="0"/>
                <w:color w:val="2F343C"/>
                <w:sz w:val="16"/>
              </w:rPr>
              <w:t>Mindestcompliance, meist nur 0 statt +3</w:t>
            </w:r>
          </w:p>
        </w:tc>
      </w:tr>
      <w:tr>
        <w:tc>
          <w:tcPr>
            <w:tcW w:type="dxa" w:w="2268"/>
            <w:vAlign w:val="top"/>
          </w:tcPr>
          <w:p>
            <w:r/>
            <w:r>
              <w:rPr>
                <w:rFonts w:ascii="Arial" w:hAnsi="Arial"/>
                <w:b w:val="0"/>
                <w:color w:val="2F343C"/>
                <w:sz w:val="16"/>
              </w:rPr>
              <w:t>wissenschaftliche Grenze</w:t>
            </w:r>
          </w:p>
        </w:tc>
        <w:tc>
          <w:tcPr>
            <w:tcW w:type="dxa" w:w="2948"/>
            <w:vAlign w:val="top"/>
          </w:tcPr>
          <w:p>
            <w:r/>
            <w:r>
              <w:rPr>
                <w:rFonts w:ascii="Arial" w:hAnsi="Arial"/>
                <w:b w:val="0"/>
                <w:color w:val="2F343C"/>
                <w:sz w:val="16"/>
              </w:rPr>
              <w:t>CO2-Budget, Wasserstress, Biodiversität</w:t>
            </w:r>
          </w:p>
        </w:tc>
        <w:tc>
          <w:tcPr>
            <w:tcW w:type="dxa" w:w="3288"/>
            <w:vAlign w:val="top"/>
          </w:tcPr>
          <w:p>
            <w:r/>
            <w:r>
              <w:rPr>
                <w:rFonts w:ascii="Arial" w:hAnsi="Arial"/>
                <w:b w:val="0"/>
                <w:color w:val="2F343C"/>
                <w:sz w:val="16"/>
              </w:rPr>
              <w:t>rote Linie möglich</w:t>
            </w:r>
          </w:p>
        </w:tc>
      </w:tr>
      <w:tr>
        <w:tc>
          <w:tcPr>
            <w:tcW w:type="dxa" w:w="2268"/>
            <w:vAlign w:val="top"/>
          </w:tcPr>
          <w:p>
            <w:r/>
            <w:r>
              <w:rPr>
                <w:rFonts w:ascii="Arial" w:hAnsi="Arial"/>
                <w:b w:val="0"/>
                <w:color w:val="2F343C"/>
                <w:sz w:val="16"/>
              </w:rPr>
              <w:t>Sektorpfad</w:t>
            </w:r>
          </w:p>
        </w:tc>
        <w:tc>
          <w:tcPr>
            <w:tcW w:type="dxa" w:w="2948"/>
            <w:vAlign w:val="top"/>
          </w:tcPr>
          <w:p>
            <w:r/>
            <w:r>
              <w:rPr>
                <w:rFonts w:ascii="Arial" w:hAnsi="Arial"/>
                <w:b w:val="0"/>
                <w:color w:val="2F343C"/>
                <w:sz w:val="16"/>
              </w:rPr>
              <w:t>Paris-kompatibler Transformationspfad je Branche</w:t>
            </w:r>
          </w:p>
        </w:tc>
        <w:tc>
          <w:tcPr>
            <w:tcW w:type="dxa" w:w="3288"/>
            <w:vAlign w:val="top"/>
          </w:tcPr>
          <w:p>
            <w:r/>
            <w:r>
              <w:rPr>
                <w:rFonts w:ascii="Arial" w:hAnsi="Arial"/>
                <w:b w:val="0"/>
                <w:color w:val="2F343C"/>
                <w:sz w:val="16"/>
              </w:rPr>
              <w:t>Zeit- und Kontextbezug</w:t>
            </w:r>
          </w:p>
        </w:tc>
      </w:tr>
      <w:tr>
        <w:tc>
          <w:tcPr>
            <w:tcW w:type="dxa" w:w="2268"/>
            <w:vAlign w:val="top"/>
          </w:tcPr>
          <w:p>
            <w:r/>
            <w:r>
              <w:rPr>
                <w:rFonts w:ascii="Arial" w:hAnsi="Arial"/>
                <w:b w:val="0"/>
                <w:color w:val="2F343C"/>
                <w:sz w:val="16"/>
              </w:rPr>
              <w:t>Best Available Technique</w:t>
            </w:r>
          </w:p>
        </w:tc>
        <w:tc>
          <w:tcPr>
            <w:tcW w:type="dxa" w:w="2948"/>
            <w:vAlign w:val="top"/>
          </w:tcPr>
          <w:p>
            <w:r/>
            <w:r>
              <w:rPr>
                <w:rFonts w:ascii="Arial" w:hAnsi="Arial"/>
                <w:b w:val="0"/>
                <w:color w:val="2F343C"/>
                <w:sz w:val="16"/>
              </w:rPr>
              <w:t>beste verfügbare Technik</w:t>
            </w:r>
          </w:p>
        </w:tc>
        <w:tc>
          <w:tcPr>
            <w:tcW w:type="dxa" w:w="3288"/>
            <w:vAlign w:val="top"/>
          </w:tcPr>
          <w:p>
            <w:r/>
            <w:r>
              <w:rPr>
                <w:rFonts w:ascii="Arial" w:hAnsi="Arial"/>
                <w:b w:val="0"/>
                <w:color w:val="2F343C"/>
                <w:sz w:val="16"/>
              </w:rPr>
              <w:t>zeigt technologische Verbesserungschance</w:t>
            </w:r>
          </w:p>
        </w:tc>
      </w:tr>
      <w:tr>
        <w:tc>
          <w:tcPr>
            <w:tcW w:type="dxa" w:w="2268"/>
            <w:vAlign w:val="top"/>
          </w:tcPr>
          <w:p>
            <w:r/>
            <w:r>
              <w:rPr>
                <w:rFonts w:ascii="Arial" w:hAnsi="Arial"/>
                <w:b w:val="0"/>
                <w:color w:val="2F343C"/>
                <w:sz w:val="16"/>
              </w:rPr>
              <w:t>Sozialstandard</w:t>
            </w:r>
          </w:p>
        </w:tc>
        <w:tc>
          <w:tcPr>
            <w:tcW w:type="dxa" w:w="2948"/>
            <w:vAlign w:val="top"/>
          </w:tcPr>
          <w:p>
            <w:r/>
            <w:r>
              <w:rPr>
                <w:rFonts w:ascii="Arial" w:hAnsi="Arial"/>
                <w:b w:val="0"/>
                <w:color w:val="2F343C"/>
                <w:sz w:val="16"/>
              </w:rPr>
              <w:t>Living Wage, ILO-Kernnormen, Sicherheit</w:t>
            </w:r>
          </w:p>
        </w:tc>
        <w:tc>
          <w:tcPr>
            <w:tcW w:type="dxa" w:w="3288"/>
            <w:vAlign w:val="top"/>
          </w:tcPr>
          <w:p>
            <w:r/>
            <w:r>
              <w:rPr>
                <w:rFonts w:ascii="Arial" w:hAnsi="Arial"/>
                <w:b w:val="0"/>
                <w:color w:val="2F343C"/>
                <w:sz w:val="16"/>
              </w:rPr>
              <w:t>nicht beliebig kompensierbar</w:t>
            </w:r>
          </w:p>
        </w:tc>
      </w:tr>
      <w:tr>
        <w:tc>
          <w:tcPr>
            <w:tcW w:type="dxa" w:w="2268"/>
            <w:vAlign w:val="top"/>
          </w:tcPr>
          <w:p>
            <w:r/>
            <w:r>
              <w:rPr>
                <w:rFonts w:ascii="Arial" w:hAnsi="Arial"/>
                <w:b w:val="0"/>
                <w:color w:val="2F343C"/>
                <w:sz w:val="16"/>
              </w:rPr>
              <w:t>Demokratie-/SDG+-Standard</w:t>
            </w:r>
          </w:p>
        </w:tc>
        <w:tc>
          <w:tcPr>
            <w:tcW w:type="dxa" w:w="2948"/>
            <w:vAlign w:val="top"/>
          </w:tcPr>
          <w:p>
            <w:r/>
            <w:r>
              <w:rPr>
                <w:rFonts w:ascii="Arial" w:hAnsi="Arial"/>
                <w:b w:val="0"/>
                <w:color w:val="2F343C"/>
                <w:sz w:val="16"/>
              </w:rPr>
              <w:t>Quellenklarheit, Korrekturfähigkeit, Rechtsstaatlichkeit</w:t>
            </w:r>
          </w:p>
        </w:tc>
        <w:tc>
          <w:tcPr>
            <w:tcW w:type="dxa" w:w="3288"/>
            <w:vAlign w:val="top"/>
          </w:tcPr>
          <w:p>
            <w:r/>
            <w:r>
              <w:rPr>
                <w:rFonts w:ascii="Arial" w:hAnsi="Arial"/>
                <w:b w:val="0"/>
                <w:color w:val="2F343C"/>
                <w:sz w:val="16"/>
              </w:rPr>
              <w:t>qualitative und quantitative Mischlogik</w:t>
            </w:r>
          </w:p>
        </w:tc>
      </w:tr>
    </w:tbl>
    <w:p/>
    <w:p>
      <w:pPr>
        <w:pStyle w:val="Heading1"/>
      </w:pPr>
      <w:r>
        <w:t>Reverse Merit Order und Nichtkompensation</w:t>
      </w:r>
    </w:p>
    <w:p>
      <w:pPr>
        <w:jc w:val="left"/>
      </w:pPr>
      <w:r>
        <w:rPr>
          <w:rFonts w:ascii="Arial" w:hAnsi="Arial"/>
          <w:color w:val="2F343C"/>
          <w:sz w:val="21"/>
        </w:rPr>
        <w:t>Die Reverse Merit Order ist die Engpasslogik der Wirkungsökonomie. Sie verhindert, dass schlechte Wirkungen durch gute Werte an anderer Stelle überdeckt werden. Ein Produkt mit Kinderarbeit bleibt kritisch, auch wenn es klimafreundlich produziert wird. Eine Investition in eine emissionsarme Infrastruktur bleibt problematisch, wenn sie Rechtsstaatlichkeit zerstört oder Menschen verdrängt.</w:t>
      </w:r>
    </w:p>
    <w:p>
      <w:pPr>
        <w:jc w:val="left"/>
      </w:pPr>
      <w:r>
        <w:rPr>
          <w:rFonts w:ascii="Arial" w:hAnsi="Arial"/>
          <w:color w:val="2F343C"/>
          <w:sz w:val="21"/>
        </w:rPr>
        <w:t>Nichtkompensation bedeutet nicht, dass positive Wirkungen unwichtig sind. Sie bedeutet, dass bestimmte negative Wirkungen zuerst gelöst werden müssen, bevor positive Wirkungen voll zählen können. Der niedrigste zentrale Score begrenzt deshalb die Gesamtwirkung. Ergänzende Positivwerte können Verbesserungspfade, Bonuspunkte oder Kontextinformationen liefern, aber keine roten Linien neutralisieren.</w:t>
      </w:r>
    </w:p>
    <w:p>
      <w:pPr>
        <w:pStyle w:val="Heading1"/>
      </w:pPr>
      <w:r>
        <w:t>Netto-Wirkungs-Index (NWI)</w:t>
      </w:r>
    </w:p>
    <w:p>
      <w:pPr>
        <w:jc w:val="left"/>
      </w:pPr>
      <w:r>
        <w:rPr>
          <w:rFonts w:ascii="Arial" w:hAnsi="Arial"/>
          <w:color w:val="2F343C"/>
          <w:sz w:val="21"/>
        </w:rPr>
        <w:t>Der NWI ist die operative Zusammenfassung einer Scorecard. Er integriert mehrere Wirkungsfelder, beachtet aber rote Linien und Datenqualität. Der NWI soll Entscheidungen ermöglichen, ohne die Komplexität zu verstecken.</w:t>
      </w:r>
    </w:p>
    <w:p>
      <w:pPr>
        <w:jc w:val="left"/>
      </w:pPr>
      <w:r>
        <w:rPr>
          <w:rFonts w:ascii="Arial" w:hAnsi="Arial"/>
          <w:color w:val="2F343C"/>
          <w:sz w:val="21"/>
        </w:rPr>
        <w:t>Eine robuste NWI-Logik besteht aus fünf Elementen: erstens gewichtete Feldscores, zweitens Engpassbegrenzung durch Reverse Merit Order, drittens rote Linien, viertens Datenqualitätsabschlag und fünftens Zeit- und Resilienzfaktor. Der NWI ist damit kein arithmetischer Durchschnitt, sondern ein begrenzter, erklärbarer Netto-Wirkungswert.</w:t>
      </w:r>
    </w:p>
    <w:tbl>
      <w:tblPr>
        <w:tblStyle w:val="TableGrid"/>
        <w:tblW w:type="auto" w:w="0"/>
        <w:jc w:val="center"/>
        <w:tblLook w:firstColumn="1" w:firstRow="1" w:lastColumn="0" w:lastRow="0" w:noHBand="0" w:noVBand="1" w:val="04A0"/>
      </w:tblPr>
      <w:tblGrid>
        <w:gridCol w:w="3286"/>
        <w:gridCol w:w="3286"/>
        <w:gridCol w:w="3286"/>
      </w:tblGrid>
      <w:tr>
        <w:tc>
          <w:tcPr>
            <w:tcW w:type="dxa" w:w="1984"/>
            <w:shd w:fill="0B1020"/>
          </w:tcPr>
          <w:p>
            <w:r/>
            <w:r>
              <w:rPr>
                <w:rFonts w:ascii="Arial" w:hAnsi="Arial"/>
                <w:b/>
                <w:color w:val="FFFFFF"/>
                <w:sz w:val="16"/>
              </w:rPr>
              <w:t>NWI-Komponente</w:t>
            </w:r>
          </w:p>
        </w:tc>
        <w:tc>
          <w:tcPr>
            <w:tcW w:type="dxa" w:w="3061"/>
            <w:shd w:fill="0B1020"/>
          </w:tcPr>
          <w:p>
            <w:r/>
            <w:r>
              <w:rPr>
                <w:rFonts w:ascii="Arial" w:hAnsi="Arial"/>
                <w:b/>
                <w:color w:val="FFFFFF"/>
                <w:sz w:val="16"/>
              </w:rPr>
              <w:t>Funktion</w:t>
            </w:r>
          </w:p>
        </w:tc>
        <w:tc>
          <w:tcPr>
            <w:tcW w:type="dxa" w:w="3458"/>
            <w:shd w:fill="0B1020"/>
          </w:tcPr>
          <w:p>
            <w:r/>
            <w:r>
              <w:rPr>
                <w:rFonts w:ascii="Arial" w:hAnsi="Arial"/>
                <w:b/>
                <w:color w:val="FFFFFF"/>
                <w:sz w:val="16"/>
              </w:rPr>
              <w:t>Beispiel</w:t>
            </w:r>
          </w:p>
        </w:tc>
      </w:tr>
      <w:tr>
        <w:tc>
          <w:tcPr>
            <w:tcW w:type="dxa" w:w="1984"/>
            <w:vAlign w:val="top"/>
          </w:tcPr>
          <w:p>
            <w:r/>
            <w:r>
              <w:rPr>
                <w:rFonts w:ascii="Arial" w:hAnsi="Arial"/>
                <w:b w:val="0"/>
                <w:color w:val="2F343C"/>
                <w:sz w:val="16"/>
              </w:rPr>
              <w:t>Feldscore</w:t>
            </w:r>
          </w:p>
        </w:tc>
        <w:tc>
          <w:tcPr>
            <w:tcW w:type="dxa" w:w="3061"/>
            <w:vAlign w:val="top"/>
          </w:tcPr>
          <w:p>
            <w:r/>
            <w:r>
              <w:rPr>
                <w:rFonts w:ascii="Arial" w:hAnsi="Arial"/>
                <w:b w:val="0"/>
                <w:color w:val="2F343C"/>
                <w:sz w:val="16"/>
              </w:rPr>
              <w:t>Score je Wirkungskategorie</w:t>
            </w:r>
          </w:p>
        </w:tc>
        <w:tc>
          <w:tcPr>
            <w:tcW w:type="dxa" w:w="3458"/>
            <w:vAlign w:val="top"/>
          </w:tcPr>
          <w:p>
            <w:r/>
            <w:r>
              <w:rPr>
                <w:rFonts w:ascii="Arial" w:hAnsi="Arial"/>
                <w:b w:val="0"/>
                <w:color w:val="2F343C"/>
                <w:sz w:val="16"/>
              </w:rPr>
              <w:t>Klima +2, Arbeit 0, Wasser -1</w:t>
            </w:r>
          </w:p>
        </w:tc>
      </w:tr>
      <w:tr>
        <w:tc>
          <w:tcPr>
            <w:tcW w:type="dxa" w:w="1984"/>
            <w:vAlign w:val="top"/>
          </w:tcPr>
          <w:p>
            <w:r/>
            <w:r>
              <w:rPr>
                <w:rFonts w:ascii="Arial" w:hAnsi="Arial"/>
                <w:b w:val="0"/>
                <w:color w:val="2F343C"/>
                <w:sz w:val="16"/>
              </w:rPr>
              <w:t>Engpass</w:t>
            </w:r>
          </w:p>
        </w:tc>
        <w:tc>
          <w:tcPr>
            <w:tcW w:type="dxa" w:w="3061"/>
            <w:vAlign w:val="top"/>
          </w:tcPr>
          <w:p>
            <w:r/>
            <w:r>
              <w:rPr>
                <w:rFonts w:ascii="Arial" w:hAnsi="Arial"/>
                <w:b w:val="0"/>
                <w:color w:val="2F343C"/>
                <w:sz w:val="16"/>
              </w:rPr>
              <w:t>Minimum der kritischen Kernfelder</w:t>
            </w:r>
          </w:p>
        </w:tc>
        <w:tc>
          <w:tcPr>
            <w:tcW w:type="dxa" w:w="3458"/>
            <w:vAlign w:val="top"/>
          </w:tcPr>
          <w:p>
            <w:r/>
            <w:r>
              <w:rPr>
                <w:rFonts w:ascii="Arial" w:hAnsi="Arial"/>
                <w:b w:val="0"/>
                <w:color w:val="2F343C"/>
                <w:sz w:val="16"/>
              </w:rPr>
              <w:t>Wasser -1 begrenzt Ergebnis</w:t>
            </w:r>
          </w:p>
        </w:tc>
      </w:tr>
      <w:tr>
        <w:tc>
          <w:tcPr>
            <w:tcW w:type="dxa" w:w="1984"/>
            <w:vAlign w:val="top"/>
          </w:tcPr>
          <w:p>
            <w:r/>
            <w:r>
              <w:rPr>
                <w:rFonts w:ascii="Arial" w:hAnsi="Arial"/>
                <w:b w:val="0"/>
                <w:color w:val="2F343C"/>
                <w:sz w:val="16"/>
              </w:rPr>
              <w:t>rote Linie</w:t>
            </w:r>
          </w:p>
        </w:tc>
        <w:tc>
          <w:tcPr>
            <w:tcW w:type="dxa" w:w="3061"/>
            <w:vAlign w:val="top"/>
          </w:tcPr>
          <w:p>
            <w:r/>
            <w:r>
              <w:rPr>
                <w:rFonts w:ascii="Arial" w:hAnsi="Arial"/>
                <w:b w:val="0"/>
                <w:color w:val="2F343C"/>
                <w:sz w:val="16"/>
              </w:rPr>
              <w:t>nicht kompensierbare Schädigung</w:t>
            </w:r>
          </w:p>
        </w:tc>
        <w:tc>
          <w:tcPr>
            <w:tcW w:type="dxa" w:w="3458"/>
            <w:vAlign w:val="top"/>
          </w:tcPr>
          <w:p>
            <w:r/>
            <w:r>
              <w:rPr>
                <w:rFonts w:ascii="Arial" w:hAnsi="Arial"/>
                <w:b w:val="0"/>
                <w:color w:val="2F343C"/>
                <w:sz w:val="16"/>
              </w:rPr>
              <w:t>Kinderarbeit, schwere Gesundheitsgefahr</w:t>
            </w:r>
          </w:p>
        </w:tc>
      </w:tr>
      <w:tr>
        <w:tc>
          <w:tcPr>
            <w:tcW w:type="dxa" w:w="1984"/>
            <w:vAlign w:val="top"/>
          </w:tcPr>
          <w:p>
            <w:r/>
            <w:r>
              <w:rPr>
                <w:rFonts w:ascii="Arial" w:hAnsi="Arial"/>
                <w:b w:val="0"/>
                <w:color w:val="2F343C"/>
                <w:sz w:val="16"/>
              </w:rPr>
              <w:t>Datenqualität</w:t>
            </w:r>
          </w:p>
        </w:tc>
        <w:tc>
          <w:tcPr>
            <w:tcW w:type="dxa" w:w="3061"/>
            <w:vAlign w:val="top"/>
          </w:tcPr>
          <w:p>
            <w:r/>
            <w:r>
              <w:rPr>
                <w:rFonts w:ascii="Arial" w:hAnsi="Arial"/>
                <w:b w:val="0"/>
                <w:color w:val="2F343C"/>
                <w:sz w:val="16"/>
              </w:rPr>
              <w:t>Abschlag oder Statushinweis</w:t>
            </w:r>
          </w:p>
        </w:tc>
        <w:tc>
          <w:tcPr>
            <w:tcW w:type="dxa" w:w="3458"/>
            <w:vAlign w:val="top"/>
          </w:tcPr>
          <w:p>
            <w:r/>
            <w:r>
              <w:rPr>
                <w:rFonts w:ascii="Arial" w:hAnsi="Arial"/>
                <w:b w:val="0"/>
                <w:color w:val="2F343C"/>
                <w:sz w:val="16"/>
              </w:rPr>
              <w:t>Q4 Proxywert begrenzt Sicherheit</w:t>
            </w:r>
          </w:p>
        </w:tc>
      </w:tr>
      <w:tr>
        <w:tc>
          <w:tcPr>
            <w:tcW w:type="dxa" w:w="1984"/>
            <w:vAlign w:val="top"/>
          </w:tcPr>
          <w:p>
            <w:r/>
            <w:r>
              <w:rPr>
                <w:rFonts w:ascii="Arial" w:hAnsi="Arial"/>
                <w:b w:val="0"/>
                <w:color w:val="2F343C"/>
                <w:sz w:val="16"/>
              </w:rPr>
              <w:t>Zeitfaktor</w:t>
            </w:r>
          </w:p>
        </w:tc>
        <w:tc>
          <w:tcPr>
            <w:tcW w:type="dxa" w:w="3061"/>
            <w:vAlign w:val="top"/>
          </w:tcPr>
          <w:p>
            <w:r/>
            <w:r>
              <w:rPr>
                <w:rFonts w:ascii="Arial" w:hAnsi="Arial"/>
                <w:b w:val="0"/>
                <w:color w:val="2F343C"/>
                <w:sz w:val="16"/>
              </w:rPr>
              <w:t>kurzfristige und langfristige Wirkung</w:t>
            </w:r>
          </w:p>
        </w:tc>
        <w:tc>
          <w:tcPr>
            <w:tcW w:type="dxa" w:w="3458"/>
            <w:vAlign w:val="top"/>
          </w:tcPr>
          <w:p>
            <w:r/>
            <w:r>
              <w:rPr>
                <w:rFonts w:ascii="Arial" w:hAnsi="Arial"/>
                <w:b w:val="0"/>
                <w:color w:val="2F343C"/>
                <w:sz w:val="16"/>
              </w:rPr>
              <w:t>positive Wirkung erst nach Übergangsphase</w:t>
            </w:r>
          </w:p>
        </w:tc>
      </w:tr>
      <w:tr>
        <w:tc>
          <w:tcPr>
            <w:tcW w:type="dxa" w:w="1984"/>
            <w:vAlign w:val="top"/>
          </w:tcPr>
          <w:p>
            <w:r/>
            <w:r>
              <w:rPr>
                <w:rFonts w:ascii="Arial" w:hAnsi="Arial"/>
                <w:b w:val="0"/>
                <w:color w:val="2F343C"/>
                <w:sz w:val="16"/>
              </w:rPr>
              <w:t>Resilienzfaktor</w:t>
            </w:r>
          </w:p>
        </w:tc>
        <w:tc>
          <w:tcPr>
            <w:tcW w:type="dxa" w:w="3061"/>
            <w:vAlign w:val="top"/>
          </w:tcPr>
          <w:p>
            <w:r/>
            <w:r>
              <w:rPr>
                <w:rFonts w:ascii="Arial" w:hAnsi="Arial"/>
                <w:b w:val="0"/>
                <w:color w:val="2F343C"/>
                <w:sz w:val="16"/>
              </w:rPr>
              <w:t>Stabilität unter Stress</w:t>
            </w:r>
          </w:p>
        </w:tc>
        <w:tc>
          <w:tcPr>
            <w:tcW w:type="dxa" w:w="3458"/>
            <w:vAlign w:val="top"/>
          </w:tcPr>
          <w:p>
            <w:r/>
            <w:r>
              <w:rPr>
                <w:rFonts w:ascii="Arial" w:hAnsi="Arial"/>
                <w:b w:val="0"/>
                <w:color w:val="2F343C"/>
                <w:sz w:val="16"/>
              </w:rPr>
              <w:t>Lieferkette, Klima, Versorgung, Demokratie</w:t>
            </w:r>
          </w:p>
        </w:tc>
      </w:tr>
    </w:tbl>
    <w:p/>
    <w:p>
      <w:pPr>
        <w:pStyle w:val="Heading2"/>
      </w:pPr>
      <w:r>
        <w:t>Arbeitsformel des NWI</w:t>
      </w:r>
    </w:p>
    <w:p>
      <w:pPr>
        <w:jc w:val="left"/>
      </w:pPr>
      <w:r>
        <w:rPr>
          <w:rFonts w:ascii="Arial" w:hAnsi="Arial"/>
          <w:color w:val="2F343C"/>
          <w:sz w:val="21"/>
        </w:rPr>
        <w:t>Als Arbeitslogik kann der NWI folgendermaßen gelesen werden:</w:t>
      </w:r>
    </w:p>
    <w:p>
      <w:pPr>
        <w:jc w:val="left"/>
      </w:pPr>
      <w:r>
        <w:rPr>
          <w:rFonts w:ascii="Arial" w:hAnsi="Arial"/>
          <w:color w:val="2F343C"/>
          <w:sz w:val="21"/>
        </w:rPr>
        <w:t>NWI = begrenzte Summe der gewichteten Positiv- und Negativwirkungen, korrigiert um Datenqualität, Zeitwirkung und Resilienz, gedeckelt durch rote Linien und den schlechtesten kritischen Feldscore.</w:t>
      </w:r>
    </w:p>
    <w:p>
      <w:pPr>
        <w:jc w:val="left"/>
      </w:pPr>
      <w:r>
        <w:rPr>
          <w:rFonts w:ascii="Arial" w:hAnsi="Arial"/>
          <w:color w:val="2F343C"/>
          <w:sz w:val="21"/>
        </w:rPr>
        <w:t>Diese Formel ist bewusst sprachlich formuliert. Die mathematische Konkretisierung kann je Anwendungsfeld variieren. Entscheidend ist der Grundsatz: Netto-Wirkung ist keine freie Verrechnung. Sie ist eine strukturierte Zusammenschau unter Mindestbedingungen.</w:t>
      </w:r>
    </w:p>
    <w:p>
      <w:pPr>
        <w:pStyle w:val="Heading1"/>
      </w:pPr>
      <w:r>
        <w:t>Datenqualität, Unsicherheit und Schätzung</w:t>
      </w:r>
    </w:p>
    <w:p>
      <w:pPr>
        <w:jc w:val="left"/>
      </w:pPr>
      <w:r>
        <w:rPr>
          <w:rFonts w:ascii="Arial" w:hAnsi="Arial"/>
          <w:color w:val="2F343C"/>
          <w:sz w:val="21"/>
        </w:rPr>
        <w:t>Scorecards müssen Unsicherheit sichtbar machen. Eine Zahl mit hoher Unsicherheit darf nicht gleich behandelt werden wie geprüfte Primärdaten. Zugleich darf fehlende Datenlage nicht automatisch zu Ausschluss führen, sonst würden kleine Akteure überfordert und neue Bürokratie erzeugt.</w:t>
      </w:r>
    </w:p>
    <w:p>
      <w:pPr>
        <w:jc w:val="left"/>
      </w:pPr>
      <w:r>
        <w:rPr>
          <w:rFonts w:ascii="Arial" w:hAnsi="Arial"/>
          <w:color w:val="2F343C"/>
          <w:sz w:val="21"/>
        </w:rPr>
        <w:t>Die Lösung ist eine transparente Datenqualitätslogik: Primärdaten, geprüfte Daten, plausible Schätzungen, Branchenbenchmarks und konservative Defaults werden getrennt markiert. Jede Scorecard muss zeigen, welche Werte belastbar sind und wo Revisionsbedarf besteht.</w:t>
      </w:r>
    </w:p>
    <w:p>
      <w:pPr>
        <w:pStyle w:val="Heading1"/>
      </w:pPr>
      <w:r>
        <w:t>Scorecard-Typen</w:t>
      </w:r>
    </w:p>
    <w:tbl>
      <w:tblPr>
        <w:tblStyle w:val="TableGrid"/>
        <w:tblW w:type="auto" w:w="0"/>
        <w:jc w:val="center"/>
        <w:tblLook w:firstColumn="1" w:firstRow="1" w:lastColumn="0" w:lastRow="0" w:noHBand="0" w:noVBand="1" w:val="04A0"/>
      </w:tblPr>
      <w:tblGrid>
        <w:gridCol w:w="3286"/>
        <w:gridCol w:w="3286"/>
        <w:gridCol w:w="3286"/>
      </w:tblGrid>
      <w:tr>
        <w:tc>
          <w:tcPr>
            <w:tcW w:type="dxa" w:w="2268"/>
            <w:shd w:fill="0B1020"/>
          </w:tcPr>
          <w:p>
            <w:r/>
            <w:r>
              <w:rPr>
                <w:rFonts w:ascii="Arial" w:hAnsi="Arial"/>
                <w:b/>
                <w:color w:val="FFFFFF"/>
                <w:sz w:val="16"/>
              </w:rPr>
              <w:t>Typ</w:t>
            </w:r>
          </w:p>
        </w:tc>
        <w:tc>
          <w:tcPr>
            <w:tcW w:type="dxa" w:w="2835"/>
            <w:shd w:fill="0B1020"/>
          </w:tcPr>
          <w:p>
            <w:r/>
            <w:r>
              <w:rPr>
                <w:rFonts w:ascii="Arial" w:hAnsi="Arial"/>
                <w:b/>
                <w:color w:val="FFFFFF"/>
                <w:sz w:val="16"/>
              </w:rPr>
              <w:t>Anwendung</w:t>
            </w:r>
          </w:p>
        </w:tc>
        <w:tc>
          <w:tcPr>
            <w:tcW w:type="dxa" w:w="3402"/>
            <w:shd w:fill="0B1020"/>
          </w:tcPr>
          <w:p>
            <w:r/>
            <w:r>
              <w:rPr>
                <w:rFonts w:ascii="Arial" w:hAnsi="Arial"/>
                <w:b/>
                <w:color w:val="FFFFFF"/>
                <w:sz w:val="16"/>
              </w:rPr>
              <w:t>Besonderheit</w:t>
            </w:r>
          </w:p>
        </w:tc>
      </w:tr>
      <w:tr>
        <w:tc>
          <w:tcPr>
            <w:tcW w:type="dxa" w:w="2268"/>
            <w:vAlign w:val="top"/>
          </w:tcPr>
          <w:p>
            <w:r/>
            <w:r>
              <w:rPr>
                <w:rFonts w:ascii="Arial" w:hAnsi="Arial"/>
                <w:b w:val="0"/>
                <w:color w:val="2F343C"/>
                <w:sz w:val="16"/>
              </w:rPr>
              <w:t>Produktscorecard</w:t>
            </w:r>
          </w:p>
        </w:tc>
        <w:tc>
          <w:tcPr>
            <w:tcW w:type="dxa" w:w="2835"/>
            <w:vAlign w:val="top"/>
          </w:tcPr>
          <w:p>
            <w:r/>
            <w:r>
              <w:rPr>
                <w:rFonts w:ascii="Arial" w:hAnsi="Arial"/>
                <w:b w:val="0"/>
                <w:color w:val="2F343C"/>
                <w:sz w:val="16"/>
              </w:rPr>
              <w:t>Produkt, Dienstleistung, Lebenszyklus</w:t>
            </w:r>
          </w:p>
        </w:tc>
        <w:tc>
          <w:tcPr>
            <w:tcW w:type="dxa" w:w="3402"/>
            <w:vAlign w:val="top"/>
          </w:tcPr>
          <w:p>
            <w:r/>
            <w:r>
              <w:rPr>
                <w:rFonts w:ascii="Arial" w:hAnsi="Arial"/>
                <w:b w:val="0"/>
                <w:color w:val="2F343C"/>
                <w:sz w:val="16"/>
              </w:rPr>
              <w:t>DPP, WUStG, Konsuminformation</w:t>
            </w:r>
          </w:p>
        </w:tc>
      </w:tr>
      <w:tr>
        <w:tc>
          <w:tcPr>
            <w:tcW w:type="dxa" w:w="2268"/>
            <w:vAlign w:val="top"/>
          </w:tcPr>
          <w:p>
            <w:r/>
            <w:r>
              <w:rPr>
                <w:rFonts w:ascii="Arial" w:hAnsi="Arial"/>
                <w:b w:val="0"/>
                <w:color w:val="2F343C"/>
                <w:sz w:val="16"/>
              </w:rPr>
              <w:t>Unternehmensscorecard</w:t>
            </w:r>
          </w:p>
        </w:tc>
        <w:tc>
          <w:tcPr>
            <w:tcW w:type="dxa" w:w="2835"/>
            <w:vAlign w:val="top"/>
          </w:tcPr>
          <w:p>
            <w:r/>
            <w:r>
              <w:rPr>
                <w:rFonts w:ascii="Arial" w:hAnsi="Arial"/>
                <w:b w:val="0"/>
                <w:color w:val="2F343C"/>
                <w:sz w:val="16"/>
              </w:rPr>
              <w:t>Strategie, Management, Reporting</w:t>
            </w:r>
          </w:p>
        </w:tc>
        <w:tc>
          <w:tcPr>
            <w:tcW w:type="dxa" w:w="3402"/>
            <w:vAlign w:val="top"/>
          </w:tcPr>
          <w:p>
            <w:r/>
            <w:r>
              <w:rPr>
                <w:rFonts w:ascii="Arial" w:hAnsi="Arial"/>
                <w:b w:val="0"/>
                <w:color w:val="2F343C"/>
                <w:sz w:val="16"/>
              </w:rPr>
              <w:t>Wirkungscontrolling, Kapitalzugang, Beschaffung</w:t>
            </w:r>
          </w:p>
        </w:tc>
      </w:tr>
      <w:tr>
        <w:tc>
          <w:tcPr>
            <w:tcW w:type="dxa" w:w="2268"/>
            <w:vAlign w:val="top"/>
          </w:tcPr>
          <w:p>
            <w:r/>
            <w:r>
              <w:rPr>
                <w:rFonts w:ascii="Arial" w:hAnsi="Arial"/>
                <w:b w:val="0"/>
                <w:color w:val="2F343C"/>
                <w:sz w:val="16"/>
              </w:rPr>
              <w:t>Lieferketten-Scorecard</w:t>
            </w:r>
          </w:p>
        </w:tc>
        <w:tc>
          <w:tcPr>
            <w:tcW w:type="dxa" w:w="2835"/>
            <w:vAlign w:val="top"/>
          </w:tcPr>
          <w:p>
            <w:r/>
            <w:r>
              <w:rPr>
                <w:rFonts w:ascii="Arial" w:hAnsi="Arial"/>
                <w:b w:val="0"/>
                <w:color w:val="2F343C"/>
                <w:sz w:val="16"/>
              </w:rPr>
              <w:t>Vorprodukte, Lieferanten, Importlogik</w:t>
            </w:r>
          </w:p>
        </w:tc>
        <w:tc>
          <w:tcPr>
            <w:tcW w:type="dxa" w:w="3402"/>
            <w:vAlign w:val="top"/>
          </w:tcPr>
          <w:p>
            <w:r/>
            <w:r>
              <w:rPr>
                <w:rFonts w:ascii="Arial" w:hAnsi="Arial"/>
                <w:b w:val="0"/>
                <w:color w:val="2F343C"/>
                <w:sz w:val="16"/>
              </w:rPr>
              <w:t>Wirkungsvorsteuer, CSDDD-Anschluss</w:t>
            </w:r>
          </w:p>
        </w:tc>
      </w:tr>
      <w:tr>
        <w:tc>
          <w:tcPr>
            <w:tcW w:type="dxa" w:w="2268"/>
            <w:vAlign w:val="top"/>
          </w:tcPr>
          <w:p>
            <w:r/>
            <w:r>
              <w:rPr>
                <w:rFonts w:ascii="Arial" w:hAnsi="Arial"/>
                <w:b w:val="0"/>
                <w:color w:val="2F343C"/>
                <w:sz w:val="16"/>
              </w:rPr>
              <w:t>Projekt-Scorecard</w:t>
            </w:r>
          </w:p>
        </w:tc>
        <w:tc>
          <w:tcPr>
            <w:tcW w:type="dxa" w:w="2835"/>
            <w:vAlign w:val="top"/>
          </w:tcPr>
          <w:p>
            <w:r/>
            <w:r>
              <w:rPr>
                <w:rFonts w:ascii="Arial" w:hAnsi="Arial"/>
                <w:b w:val="0"/>
                <w:color w:val="2F343C"/>
                <w:sz w:val="16"/>
              </w:rPr>
              <w:t>Investition, Förderung, T-SROI</w:t>
            </w:r>
          </w:p>
        </w:tc>
        <w:tc>
          <w:tcPr>
            <w:tcW w:type="dxa" w:w="3402"/>
            <w:vAlign w:val="top"/>
          </w:tcPr>
          <w:p>
            <w:r/>
            <w:r>
              <w:rPr>
                <w:rFonts w:ascii="Arial" w:hAnsi="Arial"/>
                <w:b w:val="0"/>
                <w:color w:val="2F343C"/>
                <w:sz w:val="16"/>
              </w:rPr>
              <w:t>Wirkungsfonds und öffentliche Mittel</w:t>
            </w:r>
          </w:p>
        </w:tc>
      </w:tr>
      <w:tr>
        <w:tc>
          <w:tcPr>
            <w:tcW w:type="dxa" w:w="2268"/>
            <w:vAlign w:val="top"/>
          </w:tcPr>
          <w:p>
            <w:r/>
            <w:r>
              <w:rPr>
                <w:rFonts w:ascii="Arial" w:hAnsi="Arial"/>
                <w:b w:val="0"/>
                <w:color w:val="2F343C"/>
                <w:sz w:val="16"/>
              </w:rPr>
              <w:t>Portfolio-Scorecard</w:t>
            </w:r>
          </w:p>
        </w:tc>
        <w:tc>
          <w:tcPr>
            <w:tcW w:type="dxa" w:w="2835"/>
            <w:vAlign w:val="top"/>
          </w:tcPr>
          <w:p>
            <w:r/>
            <w:r>
              <w:rPr>
                <w:rFonts w:ascii="Arial" w:hAnsi="Arial"/>
                <w:b w:val="0"/>
                <w:color w:val="2F343C"/>
                <w:sz w:val="16"/>
              </w:rPr>
              <w:t>Kapitalanlagen, Versicherungen, Banken</w:t>
            </w:r>
          </w:p>
        </w:tc>
        <w:tc>
          <w:tcPr>
            <w:tcW w:type="dxa" w:w="3402"/>
            <w:vAlign w:val="top"/>
          </w:tcPr>
          <w:p>
            <w:r/>
            <w:r>
              <w:rPr>
                <w:rFonts w:ascii="Arial" w:hAnsi="Arial"/>
                <w:b w:val="0"/>
                <w:color w:val="2F343C"/>
                <w:sz w:val="16"/>
              </w:rPr>
              <w:t>Portfolio-Wirkungsrating und Stranded Assets</w:t>
            </w:r>
          </w:p>
        </w:tc>
      </w:tr>
      <w:tr>
        <w:tc>
          <w:tcPr>
            <w:tcW w:type="dxa" w:w="2268"/>
            <w:vAlign w:val="top"/>
          </w:tcPr>
          <w:p>
            <w:r/>
            <w:r>
              <w:rPr>
                <w:rFonts w:ascii="Arial" w:hAnsi="Arial"/>
                <w:b w:val="0"/>
                <w:color w:val="2F343C"/>
                <w:sz w:val="16"/>
              </w:rPr>
              <w:t>Politik-Scorecard</w:t>
            </w:r>
          </w:p>
        </w:tc>
        <w:tc>
          <w:tcPr>
            <w:tcW w:type="dxa" w:w="2835"/>
            <w:vAlign w:val="top"/>
          </w:tcPr>
          <w:p>
            <w:r/>
            <w:r>
              <w:rPr>
                <w:rFonts w:ascii="Arial" w:hAnsi="Arial"/>
                <w:b w:val="0"/>
                <w:color w:val="2F343C"/>
                <w:sz w:val="16"/>
              </w:rPr>
              <w:t>Gesetze, Programme, Haushalte</w:t>
            </w:r>
          </w:p>
        </w:tc>
        <w:tc>
          <w:tcPr>
            <w:tcW w:type="dxa" w:w="3402"/>
            <w:vAlign w:val="top"/>
          </w:tcPr>
          <w:p>
            <w:r/>
            <w:r>
              <w:rPr>
                <w:rFonts w:ascii="Arial" w:hAnsi="Arial"/>
                <w:b w:val="0"/>
                <w:color w:val="2F343C"/>
                <w:sz w:val="16"/>
              </w:rPr>
              <w:t>Wirkungsfolgenabschätzung und Wirkungshaushalt</w:t>
            </w:r>
          </w:p>
        </w:tc>
      </w:tr>
      <w:tr>
        <w:tc>
          <w:tcPr>
            <w:tcW w:type="dxa" w:w="2268"/>
            <w:vAlign w:val="top"/>
          </w:tcPr>
          <w:p>
            <w:r/>
            <w:r>
              <w:rPr>
                <w:rFonts w:ascii="Arial" w:hAnsi="Arial"/>
                <w:b w:val="0"/>
                <w:color w:val="2F343C"/>
                <w:sz w:val="16"/>
              </w:rPr>
              <w:t>Medien-/Diskurs-Scorecard</w:t>
            </w:r>
          </w:p>
        </w:tc>
        <w:tc>
          <w:tcPr>
            <w:tcW w:type="dxa" w:w="2835"/>
            <w:vAlign w:val="top"/>
          </w:tcPr>
          <w:p>
            <w:r/>
            <w:r>
              <w:rPr>
                <w:rFonts w:ascii="Arial" w:hAnsi="Arial"/>
                <w:b w:val="0"/>
                <w:color w:val="2F343C"/>
                <w:sz w:val="16"/>
              </w:rPr>
              <w:t>Öffentlichkeit, Plattformen, Quellen</w:t>
            </w:r>
          </w:p>
        </w:tc>
        <w:tc>
          <w:tcPr>
            <w:tcW w:type="dxa" w:w="3402"/>
            <w:vAlign w:val="top"/>
          </w:tcPr>
          <w:p>
            <w:r/>
            <w:r>
              <w:rPr>
                <w:rFonts w:ascii="Arial" w:hAnsi="Arial"/>
                <w:b w:val="0"/>
                <w:color w:val="2F343C"/>
                <w:sz w:val="16"/>
              </w:rPr>
              <w:t>keine Meinungsbewertung, sondern Rückkopplungsqualität</w:t>
            </w:r>
          </w:p>
        </w:tc>
      </w:tr>
    </w:tbl>
    <w:p/>
    <w:p>
      <w:pPr>
        <w:pStyle w:val="Heading1"/>
      </w:pPr>
      <w:r>
        <w:t>Beispiele</w:t>
      </w:r>
    </w:p>
    <w:p>
      <w:pPr>
        <w:jc w:val="left"/>
      </w:pPr>
      <w:r>
        <w:rPr>
          <w:rFonts w:ascii="Arial" w:hAnsi="Arial"/>
          <w:color w:val="2F343C"/>
          <w:sz w:val="21"/>
        </w:rPr>
        <w:t>Ein regionaler Apfel, ein T-Shirt, ein Polyamid-Granulat, ein Sanierungsprojekt, ein Medienformat und ein Pflegeprogramm können alle Scorecards haben. Der Unterschied liegt nicht in der Grundlogik, sondern im Kontext. Die Apfel-Scorecard braucht Wasser, Transport, Pestizide, Biodiversität und Arbeit. Die Polyamid-Scorecard braucht Prozessenergie, Chemie, Wasserstress, Recycling und Produktgesundheit. Die Pflege-Scorecard braucht Personalbelastung, Würde, Prävention, Gesundheit und Teilhabe.</w:t>
      </w:r>
    </w:p>
    <w:p>
      <w:pPr>
        <w:jc w:val="left"/>
      </w:pPr>
      <w:r>
        <w:rPr>
          <w:rFonts w:ascii="Arial" w:hAnsi="Arial"/>
          <w:color w:val="2F343C"/>
          <w:sz w:val="21"/>
        </w:rPr>
        <w:t>Das zeigt: Scorecards sind kein starres Formular. Sie sind ein methodischer Rahmen, der je Wirkungsraum angepasst wird.</w:t>
      </w:r>
    </w:p>
    <w:p>
      <w:pPr>
        <w:pStyle w:val="Heading1"/>
      </w:pPr>
      <w:r>
        <w:t>Assurance, Audit und Governance</w:t>
      </w:r>
    </w:p>
    <w:p>
      <w:pPr>
        <w:jc w:val="left"/>
      </w:pPr>
      <w:r>
        <w:rPr>
          <w:rFonts w:ascii="Arial" w:hAnsi="Arial"/>
          <w:color w:val="2F343C"/>
          <w:sz w:val="21"/>
        </w:rPr>
        <w:t>Scorecards müssen prüfbar sein. Je stärker sie in Steuern, Kapitalzugang oder öffentliche Mittel eingreifen, desto höher muss die Assurance sein. Für interne Lernzwecke kann eine Scorecard mit Schätzungen arbeiten. Für Steuerentscheidungen braucht sie geprüfte Daten, klare Verantwortlichkeiten, Einspruchswege und Revisionszyklen.</w:t>
      </w:r>
    </w:p>
    <w:p>
      <w:pPr>
        <w:jc w:val="left"/>
      </w:pPr>
      <w:r>
        <w:rPr>
          <w:rFonts w:ascii="Arial" w:hAnsi="Arial"/>
          <w:color w:val="2F343C"/>
          <w:sz w:val="21"/>
        </w:rPr>
        <w:t>Der Wirkungsrat sichert die methodische Fortschreibung. Prüfer:innen sichern Daten und Anwendung. Politik sichert demokratische Legitimation. Unternehmen und öffentliche Stellen sichern praktische Umsetzung. Zivilgesellschaft und Wissenschaft sichern Kritik und Korrektur.</w:t>
      </w:r>
    </w:p>
    <w:p>
      <w:pPr>
        <w:pStyle w:val="Heading1"/>
      </w:pPr>
      <w:r>
        <w:t>Grenzen und Schutzmechanismen</w:t>
      </w:r>
    </w:p>
    <w:p>
      <w:pPr>
        <w:jc w:val="left"/>
      </w:pPr>
      <w:r>
        <w:rPr>
          <w:rFonts w:ascii="Arial" w:hAnsi="Arial"/>
          <w:color w:val="2F343C"/>
          <w:sz w:val="21"/>
        </w:rPr>
        <w:t>Scorecards können komplexe Wirklichkeit nicht vollständig abbilden. Sie sind Werkzeuge, keine Wahrheit selbst. Deshalb müssen sie Grenzen benennen: Datenlücken, Schätzungen, Rebound-Effekte, indirekte Wirkung, kulturelle Kontexte und politische Zielkonflikte.</w:t>
      </w:r>
    </w:p>
    <w:p>
      <w:pPr>
        <w:jc w:val="left"/>
      </w:pPr>
      <w:r>
        <w:rPr>
          <w:rFonts w:ascii="Arial" w:hAnsi="Arial"/>
          <w:color w:val="2F343C"/>
          <w:sz w:val="21"/>
        </w:rPr>
        <w:t>Der wichtigste Schutzmechanismus ist die Offenlegung dieser Grenzen. Eine Scorecard, die ihre Unsicherheit nicht zeigt, erzeugt Scheingenauigkeit. Eine Wirkungsökonomie, die Scheingenauigkeit erzeugt, verliert Vertrauen. Deshalb gilt: lieber geprüfte, transparente Näherung als scheinbar perfekte Zahl.</w:t>
      </w:r>
    </w:p>
    <w:p>
      <w:pPr>
        <w:pStyle w:val="Heading1"/>
      </w:pPr>
      <w:r>
        <w:t>Politische Anschlussfähigkeit und Umsetzungsoptionen</w:t>
      </w:r>
    </w:p>
    <w:p>
      <w:pPr>
        <w:jc w:val="left"/>
      </w:pPr>
      <w:r>
        <w:rPr>
          <w:rFonts w:ascii="Arial" w:hAnsi="Arial"/>
          <w:color w:val="2F343C"/>
          <w:sz w:val="21"/>
        </w:rPr>
        <w:t>Die folgenden Anforderungen beschreiben keinen fertigen Parteibeschluss. Sie markieren den notwendigen Rahmen, damit Scorecards, Benchmarks und Netto-Wirkungs-Index demokratisch, rechtsstaatlich und praktisch umgesetzt werden kann. Unterschiedliche Parteien können innerhalb dieses Rahmens verschiedene Wege wählen. Entscheidend ist, dass Wirkung sichtbar, überprüfbar, korrigierbar und grundrechtskonform bleibt.</w:t>
      </w:r>
    </w:p>
    <w:tbl>
      <w:tblPr>
        <w:tblStyle w:val="TableGrid"/>
        <w:tblW w:type="auto" w:w="0"/>
        <w:jc w:val="center"/>
        <w:tblLook w:firstColumn="1" w:firstRow="1" w:lastColumn="0" w:lastRow="0" w:noHBand="0" w:noVBand="1" w:val="04A0"/>
      </w:tblPr>
      <w:tblGrid>
        <w:gridCol w:w="4929"/>
        <w:gridCol w:w="4929"/>
      </w:tblGrid>
      <w:tr>
        <w:tc>
          <w:tcPr>
            <w:tcW w:type="dxa" w:w="2381"/>
            <w:shd w:fill="0B1020"/>
          </w:tcPr>
          <w:p>
            <w:r/>
            <w:r>
              <w:rPr>
                <w:rFonts w:ascii="Arial" w:hAnsi="Arial"/>
                <w:b/>
                <w:color w:val="FFFFFF"/>
                <w:sz w:val="16"/>
              </w:rPr>
              <w:t>Ebene</w:t>
            </w:r>
          </w:p>
        </w:tc>
        <w:tc>
          <w:tcPr>
            <w:tcW w:type="dxa" w:w="6123"/>
            <w:shd w:fill="0B1020"/>
          </w:tcPr>
          <w:p>
            <w:r/>
            <w:r>
              <w:rPr>
                <w:rFonts w:ascii="Arial" w:hAnsi="Arial"/>
                <w:b/>
                <w:color w:val="FFFFFF"/>
                <w:sz w:val="16"/>
              </w:rPr>
              <w:t>Aufgabe für Politik und Umsetzung</w:t>
            </w:r>
          </w:p>
        </w:tc>
      </w:tr>
      <w:tr>
        <w:tc>
          <w:tcPr>
            <w:tcW w:type="dxa" w:w="2381"/>
            <w:vAlign w:val="top"/>
          </w:tcPr>
          <w:p>
            <w:r/>
            <w:r>
              <w:rPr>
                <w:rFonts w:ascii="Arial" w:hAnsi="Arial"/>
                <w:b w:val="0"/>
                <w:color w:val="2F343C"/>
                <w:sz w:val="16"/>
              </w:rPr>
              <w:t>Aufgabe der Politik</w:t>
            </w:r>
          </w:p>
        </w:tc>
        <w:tc>
          <w:tcPr>
            <w:tcW w:type="dxa" w:w="6123"/>
            <w:vAlign w:val="top"/>
          </w:tcPr>
          <w:p>
            <w:r/>
            <w:r>
              <w:rPr>
                <w:rFonts w:ascii="Arial" w:hAnsi="Arial"/>
                <w:b w:val="0"/>
                <w:color w:val="2F343C"/>
                <w:sz w:val="16"/>
              </w:rPr>
              <w:t>Mandat, Zuständigkeiten, Datenzugang, Prüflogik und demokratische Korrekturverfahren klären.</w:t>
            </w:r>
          </w:p>
        </w:tc>
      </w:tr>
      <w:tr>
        <w:tc>
          <w:tcPr>
            <w:tcW w:type="dxa" w:w="2381"/>
            <w:vAlign w:val="top"/>
          </w:tcPr>
          <w:p>
            <w:r/>
            <w:r>
              <w:rPr>
                <w:rFonts w:ascii="Arial" w:hAnsi="Arial"/>
                <w:b w:val="0"/>
                <w:color w:val="2F343C"/>
                <w:sz w:val="16"/>
              </w:rPr>
              <w:t>Politische Rahmenbedingungen</w:t>
            </w:r>
          </w:p>
        </w:tc>
        <w:tc>
          <w:tcPr>
            <w:tcW w:type="dxa" w:w="6123"/>
            <w:vAlign w:val="top"/>
          </w:tcPr>
          <w:p>
            <w:r/>
            <w:r>
              <w:rPr>
                <w:rFonts w:ascii="Arial" w:hAnsi="Arial"/>
                <w:b w:val="0"/>
                <w:color w:val="2F343C"/>
                <w:sz w:val="16"/>
              </w:rPr>
              <w:t>WÖk-IDs, Scorecards, NWI, T-SROI, Wirkungsrat, Datenschutz, Assurance und Beschwerdewege in bestehende Rechts- und Verwaltungslogiken übersetzen.</w:t>
            </w:r>
          </w:p>
        </w:tc>
      </w:tr>
      <w:tr>
        <w:tc>
          <w:tcPr>
            <w:tcW w:type="dxa" w:w="2381"/>
            <w:vAlign w:val="top"/>
          </w:tcPr>
          <w:p>
            <w:r/>
            <w:r>
              <w:rPr>
                <w:rFonts w:ascii="Arial" w:hAnsi="Arial"/>
                <w:b w:val="0"/>
                <w:color w:val="2F343C"/>
                <w:sz w:val="16"/>
              </w:rPr>
              <w:t>Ausgestaltungsspielraum</w:t>
            </w:r>
          </w:p>
        </w:tc>
        <w:tc>
          <w:tcPr>
            <w:tcW w:type="dxa" w:w="6123"/>
            <w:vAlign w:val="top"/>
          </w:tcPr>
          <w:p>
            <w:r/>
            <w:r>
              <w:rPr>
                <w:rFonts w:ascii="Arial" w:hAnsi="Arial"/>
                <w:b w:val="0"/>
                <w:color w:val="2F343C"/>
                <w:sz w:val="16"/>
              </w:rPr>
              <w:t>Parteien können Tempo, Verbindlichkeit, Pilotierung, Sanktionslogik, Förderlogik und Entlastungsmechanismen unterschiedlich gewichten.</w:t>
            </w:r>
          </w:p>
        </w:tc>
      </w:tr>
      <w:tr>
        <w:tc>
          <w:tcPr>
            <w:tcW w:type="dxa" w:w="2381"/>
            <w:vAlign w:val="top"/>
          </w:tcPr>
          <w:p>
            <w:r/>
            <w:r>
              <w:rPr>
                <w:rFonts w:ascii="Arial" w:hAnsi="Arial"/>
                <w:b w:val="0"/>
                <w:color w:val="2F343C"/>
                <w:sz w:val="16"/>
              </w:rPr>
              <w:t>Zielkonflikte</w:t>
            </w:r>
          </w:p>
        </w:tc>
        <w:tc>
          <w:tcPr>
            <w:tcW w:type="dxa" w:w="6123"/>
            <w:vAlign w:val="top"/>
          </w:tcPr>
          <w:p>
            <w:r/>
            <w:r>
              <w:rPr>
                <w:rFonts w:ascii="Arial" w:hAnsi="Arial"/>
                <w:b w:val="0"/>
                <w:color w:val="2F343C"/>
                <w:sz w:val="16"/>
              </w:rPr>
              <w:t>Präzision, Bürokratiearmut, Datenschutz, KMU-Tauglichkeit, Innovationsschutz und öffentliche Kontrolle müssen austariert werden.</w:t>
            </w:r>
          </w:p>
        </w:tc>
      </w:tr>
      <w:tr>
        <w:tc>
          <w:tcPr>
            <w:tcW w:type="dxa" w:w="2381"/>
            <w:vAlign w:val="top"/>
          </w:tcPr>
          <w:p>
            <w:r/>
            <w:r>
              <w:rPr>
                <w:rFonts w:ascii="Arial" w:hAnsi="Arial"/>
                <w:b w:val="0"/>
                <w:color w:val="2F343C"/>
                <w:sz w:val="16"/>
              </w:rPr>
              <w:t>Rollenverteilung</w:t>
            </w:r>
          </w:p>
        </w:tc>
        <w:tc>
          <w:tcPr>
            <w:tcW w:type="dxa" w:w="6123"/>
            <w:vAlign w:val="top"/>
          </w:tcPr>
          <w:p>
            <w:r/>
            <w:r>
              <w:rPr>
                <w:rFonts w:ascii="Arial" w:hAnsi="Arial"/>
                <w:b w:val="0"/>
                <w:color w:val="2F343C"/>
                <w:sz w:val="16"/>
              </w:rPr>
              <w:t>EU, Bund, Länder, Kommunen, Verwaltung, Wirtschaft, Wissenschaft, Prüfinstitutionen und Zivilgesellschaft tragen unterschiedliche Teile der Umsetzung.</w:t>
            </w:r>
          </w:p>
        </w:tc>
      </w:tr>
      <w:tr>
        <w:tc>
          <w:tcPr>
            <w:tcW w:type="dxa" w:w="2381"/>
            <w:vAlign w:val="top"/>
          </w:tcPr>
          <w:p>
            <w:r/>
            <w:r>
              <w:rPr>
                <w:rFonts w:ascii="Arial" w:hAnsi="Arial"/>
                <w:b w:val="0"/>
                <w:color w:val="2F343C"/>
                <w:sz w:val="16"/>
              </w:rPr>
              <w:t>Übergang und Schutz</w:t>
            </w:r>
          </w:p>
        </w:tc>
        <w:tc>
          <w:tcPr>
            <w:tcW w:type="dxa" w:w="6123"/>
            <w:vAlign w:val="top"/>
          </w:tcPr>
          <w:p>
            <w:r/>
            <w:r>
              <w:rPr>
                <w:rFonts w:ascii="Arial" w:hAnsi="Arial"/>
                <w:b w:val="0"/>
                <w:color w:val="2F343C"/>
                <w:sz w:val="16"/>
              </w:rPr>
              <w:t>Pilotphasen, Schwellenwerte, KMU-Schutz, Safe-Harbour-Regeln und Rechtsschutz verhindern Überforderung und technokratische Verengung.</w:t>
            </w:r>
          </w:p>
        </w:tc>
      </w:tr>
      <w:tr>
        <w:tc>
          <w:tcPr>
            <w:tcW w:type="dxa" w:w="2381"/>
            <w:vAlign w:val="top"/>
          </w:tcPr>
          <w:p>
            <w:r/>
            <w:r>
              <w:rPr>
                <w:rFonts w:ascii="Arial" w:hAnsi="Arial"/>
                <w:b w:val="0"/>
                <w:color w:val="2F343C"/>
                <w:sz w:val="16"/>
              </w:rPr>
              <w:t>Evaluation und Korrektur</w:t>
            </w:r>
          </w:p>
        </w:tc>
        <w:tc>
          <w:tcPr>
            <w:tcW w:type="dxa" w:w="6123"/>
            <w:vAlign w:val="top"/>
          </w:tcPr>
          <w:p>
            <w:r/>
            <w:r>
              <w:rPr>
                <w:rFonts w:ascii="Arial" w:hAnsi="Arial"/>
                <w:b w:val="0"/>
                <w:color w:val="2F343C"/>
                <w:sz w:val="16"/>
              </w:rPr>
              <w:t>Revisionszyklen, Wirkungsberichte, öffentliche Konsultation und unabhängige Assurance halten die Methodik lernfähig.</w:t>
            </w:r>
          </w:p>
        </w:tc>
      </w:tr>
      <w:tr>
        <w:tc>
          <w:tcPr>
            <w:tcW w:type="dxa" w:w="2381"/>
            <w:vAlign w:val="top"/>
          </w:tcPr>
          <w:p>
            <w:r/>
            <w:r>
              <w:rPr>
                <w:rFonts w:ascii="Arial" w:hAnsi="Arial"/>
                <w:b w:val="0"/>
                <w:color w:val="2F343C"/>
                <w:sz w:val="16"/>
              </w:rPr>
              <w:t>Parteipolitische Anschlussfähigkeit</w:t>
            </w:r>
          </w:p>
        </w:tc>
        <w:tc>
          <w:tcPr>
            <w:tcW w:type="dxa" w:w="6123"/>
            <w:vAlign w:val="top"/>
          </w:tcPr>
          <w:p>
            <w:r/>
            <w:r>
              <w:rPr>
                <w:rFonts w:ascii="Arial" w:hAnsi="Arial"/>
                <w:b w:val="0"/>
                <w:color w:val="2F343C"/>
                <w:sz w:val="16"/>
              </w:rPr>
              <w:t>Konservative, liberale, sozialdemokratische, grüne, linke, kommunale und wirtschaftsnahe Perspektiven können unterschiedliche Umsetzungsoptionen wählen.</w:t>
            </w:r>
          </w:p>
        </w:tc>
      </w:tr>
      <w:tr>
        <w:tc>
          <w:tcPr>
            <w:tcW w:type="dxa" w:w="2381"/>
            <w:vAlign w:val="top"/>
          </w:tcPr>
          <w:p>
            <w:r/>
            <w:r>
              <w:rPr>
                <w:rFonts w:ascii="Arial" w:hAnsi="Arial"/>
                <w:b w:val="0"/>
                <w:color w:val="2F343C"/>
                <w:sz w:val="16"/>
              </w:rPr>
              <w:t>Schutz vor Technokratie</w:t>
            </w:r>
          </w:p>
        </w:tc>
        <w:tc>
          <w:tcPr>
            <w:tcW w:type="dxa" w:w="6123"/>
            <w:vAlign w:val="top"/>
          </w:tcPr>
          <w:p>
            <w:r/>
            <w:r>
              <w:rPr>
                <w:rFonts w:ascii="Arial" w:hAnsi="Arial"/>
                <w:b w:val="0"/>
                <w:color w:val="2F343C"/>
                <w:sz w:val="16"/>
              </w:rPr>
              <w:t>Wirkungsdaten bereiten Entscheidungen vor, ersetzen sie aber nicht. Normative Entscheidungen bleiben demokratisch legitimiert.</w:t>
            </w:r>
          </w:p>
        </w:tc>
      </w:tr>
    </w:tbl>
    <w:p/>
    <w:p>
      <w:pPr>
        <w:pStyle w:val="Heading1"/>
      </w:pPr>
      <w:r>
        <w:t>SDG-/SDG+-Bezug</w:t>
      </w:r>
    </w:p>
    <w:p>
      <w:pPr>
        <w:jc w:val="left"/>
      </w:pPr>
      <w:r>
        <w:rPr>
          <w:rFonts w:ascii="Arial" w:hAnsi="Arial"/>
          <w:color w:val="2F343C"/>
          <w:sz w:val="21"/>
        </w:rPr>
        <w:t>Der Methodenbereich ist kein eigenes Nachhaltigkeitsziel, sondern eine Rückkopplungsinfrastruktur. Er übersetzt Zielrahmen, Daten, Benchmarks und Governance in steuerbare Entscheidungslogiken. Die relevanten SDGs und SDG+-Dimensionen werden nicht dekorativ genannt, sondern als Bewertungs- und Prüfraster verwendet.</w:t>
      </w:r>
    </w:p>
    <w:tbl>
      <w:tblPr>
        <w:tblStyle w:val="TableGrid"/>
        <w:tblW w:type="auto" w:w="0"/>
        <w:jc w:val="center"/>
        <w:tblLook w:firstColumn="1" w:firstRow="1" w:lastColumn="0" w:lastRow="0" w:noHBand="0" w:noVBand="1" w:val="04A0"/>
      </w:tblPr>
      <w:tblGrid>
        <w:gridCol w:w="4929"/>
        <w:gridCol w:w="4929"/>
      </w:tblGrid>
      <w:tr>
        <w:tc>
          <w:tcPr>
            <w:tcW w:type="dxa" w:w="2835"/>
            <w:shd w:fill="0B1020"/>
          </w:tcPr>
          <w:p>
            <w:r/>
            <w:r>
              <w:rPr>
                <w:rFonts w:ascii="Arial" w:hAnsi="Arial"/>
                <w:b/>
                <w:color w:val="FFFFFF"/>
                <w:sz w:val="16"/>
              </w:rPr>
              <w:t>Referenz</w:t>
            </w:r>
          </w:p>
        </w:tc>
        <w:tc>
          <w:tcPr>
            <w:tcW w:type="dxa" w:w="5669"/>
            <w:shd w:fill="0B1020"/>
          </w:tcPr>
          <w:p>
            <w:r/>
            <w:r>
              <w:rPr>
                <w:rFonts w:ascii="Arial" w:hAnsi="Arial"/>
                <w:b/>
                <w:color w:val="FFFFFF"/>
                <w:sz w:val="16"/>
              </w:rPr>
              <w:t>Bedeutung für dieses Methodenpapier</w:t>
            </w:r>
          </w:p>
        </w:tc>
      </w:tr>
      <w:tr>
        <w:tc>
          <w:tcPr>
            <w:tcW w:type="dxa" w:w="2835"/>
            <w:vAlign w:val="top"/>
          </w:tcPr>
          <w:p>
            <w:r/>
            <w:r>
              <w:rPr>
                <w:rFonts w:ascii="Arial" w:hAnsi="Arial"/>
                <w:b w:val="0"/>
                <w:color w:val="2F343C"/>
                <w:sz w:val="16"/>
              </w:rPr>
              <w:t>SDG 3 Gesundheit</w:t>
            </w:r>
          </w:p>
        </w:tc>
        <w:tc>
          <w:tcPr>
            <w:tcW w:type="dxa" w:w="5669"/>
            <w:vAlign w:val="top"/>
          </w:tcPr>
          <w:p>
            <w:r/>
            <w:r>
              <w:rPr>
                <w:rFonts w:ascii="Arial" w:hAnsi="Arial"/>
                <w:b w:val="0"/>
                <w:color w:val="2F343C"/>
                <w:sz w:val="16"/>
              </w:rPr>
              <w:t>relevanter Ziel- und Indikatorbezug</w:t>
            </w:r>
          </w:p>
        </w:tc>
      </w:tr>
      <w:tr>
        <w:tc>
          <w:tcPr>
            <w:tcW w:type="dxa" w:w="2835"/>
            <w:vAlign w:val="top"/>
          </w:tcPr>
          <w:p>
            <w:r/>
            <w:r>
              <w:rPr>
                <w:rFonts w:ascii="Arial" w:hAnsi="Arial"/>
                <w:b w:val="0"/>
                <w:color w:val="2F343C"/>
                <w:sz w:val="16"/>
              </w:rPr>
              <w:t>SDG 6 Wasser</w:t>
            </w:r>
          </w:p>
        </w:tc>
        <w:tc>
          <w:tcPr>
            <w:tcW w:type="dxa" w:w="5669"/>
            <w:vAlign w:val="top"/>
          </w:tcPr>
          <w:p>
            <w:r/>
            <w:r>
              <w:rPr>
                <w:rFonts w:ascii="Arial" w:hAnsi="Arial"/>
                <w:b w:val="0"/>
                <w:color w:val="2F343C"/>
                <w:sz w:val="16"/>
              </w:rPr>
              <w:t>relevanter Ziel- und Indikatorbezug</w:t>
            </w:r>
          </w:p>
        </w:tc>
      </w:tr>
      <w:tr>
        <w:tc>
          <w:tcPr>
            <w:tcW w:type="dxa" w:w="2835"/>
            <w:vAlign w:val="top"/>
          </w:tcPr>
          <w:p>
            <w:r/>
            <w:r>
              <w:rPr>
                <w:rFonts w:ascii="Arial" w:hAnsi="Arial"/>
                <w:b w:val="0"/>
                <w:color w:val="2F343C"/>
                <w:sz w:val="16"/>
              </w:rPr>
              <w:t>SDG 7 Energie</w:t>
            </w:r>
          </w:p>
        </w:tc>
        <w:tc>
          <w:tcPr>
            <w:tcW w:type="dxa" w:w="5669"/>
            <w:vAlign w:val="top"/>
          </w:tcPr>
          <w:p>
            <w:r/>
            <w:r>
              <w:rPr>
                <w:rFonts w:ascii="Arial" w:hAnsi="Arial"/>
                <w:b w:val="0"/>
                <w:color w:val="2F343C"/>
                <w:sz w:val="16"/>
              </w:rPr>
              <w:t>relevanter Ziel- und Indikatorbezug</w:t>
            </w:r>
          </w:p>
        </w:tc>
      </w:tr>
      <w:tr>
        <w:tc>
          <w:tcPr>
            <w:tcW w:type="dxa" w:w="2835"/>
            <w:vAlign w:val="top"/>
          </w:tcPr>
          <w:p>
            <w:r/>
            <w:r>
              <w:rPr>
                <w:rFonts w:ascii="Arial" w:hAnsi="Arial"/>
                <w:b w:val="0"/>
                <w:color w:val="2F343C"/>
                <w:sz w:val="16"/>
              </w:rPr>
              <w:t>SDG 8 Arbeit</w:t>
            </w:r>
          </w:p>
        </w:tc>
        <w:tc>
          <w:tcPr>
            <w:tcW w:type="dxa" w:w="5669"/>
            <w:vAlign w:val="top"/>
          </w:tcPr>
          <w:p>
            <w:r/>
            <w:r>
              <w:rPr>
                <w:rFonts w:ascii="Arial" w:hAnsi="Arial"/>
                <w:b w:val="0"/>
                <w:color w:val="2F343C"/>
                <w:sz w:val="16"/>
              </w:rPr>
              <w:t>relevanter Ziel- und Indikatorbezug</w:t>
            </w:r>
          </w:p>
        </w:tc>
      </w:tr>
      <w:tr>
        <w:tc>
          <w:tcPr>
            <w:tcW w:type="dxa" w:w="2835"/>
            <w:vAlign w:val="top"/>
          </w:tcPr>
          <w:p>
            <w:r/>
            <w:r>
              <w:rPr>
                <w:rFonts w:ascii="Arial" w:hAnsi="Arial"/>
                <w:b w:val="0"/>
                <w:color w:val="2F343C"/>
                <w:sz w:val="16"/>
              </w:rPr>
              <w:t>SDG 9 Innovation</w:t>
            </w:r>
          </w:p>
        </w:tc>
        <w:tc>
          <w:tcPr>
            <w:tcW w:type="dxa" w:w="5669"/>
            <w:vAlign w:val="top"/>
          </w:tcPr>
          <w:p>
            <w:r/>
            <w:r>
              <w:rPr>
                <w:rFonts w:ascii="Arial" w:hAnsi="Arial"/>
                <w:b w:val="0"/>
                <w:color w:val="2F343C"/>
                <w:sz w:val="16"/>
              </w:rPr>
              <w:t>relevanter Ziel- und Indikatorbezug</w:t>
            </w:r>
          </w:p>
        </w:tc>
      </w:tr>
      <w:tr>
        <w:tc>
          <w:tcPr>
            <w:tcW w:type="dxa" w:w="2835"/>
            <w:vAlign w:val="top"/>
          </w:tcPr>
          <w:p>
            <w:r/>
            <w:r>
              <w:rPr>
                <w:rFonts w:ascii="Arial" w:hAnsi="Arial"/>
                <w:b w:val="0"/>
                <w:color w:val="2F343C"/>
                <w:sz w:val="16"/>
              </w:rPr>
              <w:t>SDG 11 Städte</w:t>
            </w:r>
          </w:p>
        </w:tc>
        <w:tc>
          <w:tcPr>
            <w:tcW w:type="dxa" w:w="5669"/>
            <w:vAlign w:val="top"/>
          </w:tcPr>
          <w:p>
            <w:r/>
            <w:r>
              <w:rPr>
                <w:rFonts w:ascii="Arial" w:hAnsi="Arial"/>
                <w:b w:val="0"/>
                <w:color w:val="2F343C"/>
                <w:sz w:val="16"/>
              </w:rPr>
              <w:t>relevanter Ziel- und Indikatorbezug</w:t>
            </w:r>
          </w:p>
        </w:tc>
      </w:tr>
      <w:tr>
        <w:tc>
          <w:tcPr>
            <w:tcW w:type="dxa" w:w="2835"/>
            <w:vAlign w:val="top"/>
          </w:tcPr>
          <w:p>
            <w:r/>
            <w:r>
              <w:rPr>
                <w:rFonts w:ascii="Arial" w:hAnsi="Arial"/>
                <w:b w:val="0"/>
                <w:color w:val="2F343C"/>
                <w:sz w:val="16"/>
              </w:rPr>
              <w:t>SDG 12 Konsum/Produktion</w:t>
            </w:r>
          </w:p>
        </w:tc>
        <w:tc>
          <w:tcPr>
            <w:tcW w:type="dxa" w:w="5669"/>
            <w:vAlign w:val="top"/>
          </w:tcPr>
          <w:p>
            <w:r/>
            <w:r>
              <w:rPr>
                <w:rFonts w:ascii="Arial" w:hAnsi="Arial"/>
                <w:b w:val="0"/>
                <w:color w:val="2F343C"/>
                <w:sz w:val="16"/>
              </w:rPr>
              <w:t>relevanter Ziel- und Indikatorbezug</w:t>
            </w:r>
          </w:p>
        </w:tc>
      </w:tr>
      <w:tr>
        <w:tc>
          <w:tcPr>
            <w:tcW w:type="dxa" w:w="2835"/>
            <w:vAlign w:val="top"/>
          </w:tcPr>
          <w:p>
            <w:r/>
            <w:r>
              <w:rPr>
                <w:rFonts w:ascii="Arial" w:hAnsi="Arial"/>
                <w:b w:val="0"/>
                <w:color w:val="2F343C"/>
                <w:sz w:val="16"/>
              </w:rPr>
              <w:t>SDG 13 Klima</w:t>
            </w:r>
          </w:p>
        </w:tc>
        <w:tc>
          <w:tcPr>
            <w:tcW w:type="dxa" w:w="5669"/>
            <w:vAlign w:val="top"/>
          </w:tcPr>
          <w:p>
            <w:r/>
            <w:r>
              <w:rPr>
                <w:rFonts w:ascii="Arial" w:hAnsi="Arial"/>
                <w:b w:val="0"/>
                <w:color w:val="2F343C"/>
                <w:sz w:val="16"/>
              </w:rPr>
              <w:t>relevanter Ziel- und Indikatorbezug</w:t>
            </w:r>
          </w:p>
        </w:tc>
      </w:tr>
      <w:tr>
        <w:tc>
          <w:tcPr>
            <w:tcW w:type="dxa" w:w="2835"/>
            <w:vAlign w:val="top"/>
          </w:tcPr>
          <w:p>
            <w:r/>
            <w:r>
              <w:rPr>
                <w:rFonts w:ascii="Arial" w:hAnsi="Arial"/>
                <w:b w:val="0"/>
                <w:color w:val="2F343C"/>
                <w:sz w:val="16"/>
              </w:rPr>
              <w:t>SDG 15 Biodiversität</w:t>
            </w:r>
          </w:p>
        </w:tc>
        <w:tc>
          <w:tcPr>
            <w:tcW w:type="dxa" w:w="5669"/>
            <w:vAlign w:val="top"/>
          </w:tcPr>
          <w:p>
            <w:r/>
            <w:r>
              <w:rPr>
                <w:rFonts w:ascii="Arial" w:hAnsi="Arial"/>
                <w:b w:val="0"/>
                <w:color w:val="2F343C"/>
                <w:sz w:val="16"/>
              </w:rPr>
              <w:t>relevanter Ziel- und Indikatorbezug</w:t>
            </w:r>
          </w:p>
        </w:tc>
      </w:tr>
      <w:tr>
        <w:tc>
          <w:tcPr>
            <w:tcW w:type="dxa" w:w="2835"/>
            <w:vAlign w:val="top"/>
          </w:tcPr>
          <w:p>
            <w:r/>
            <w:r>
              <w:rPr>
                <w:rFonts w:ascii="Arial" w:hAnsi="Arial"/>
                <w:b w:val="0"/>
                <w:color w:val="2F343C"/>
                <w:sz w:val="16"/>
              </w:rPr>
              <w:t>SDG 16 Institutionen</w:t>
            </w:r>
          </w:p>
        </w:tc>
        <w:tc>
          <w:tcPr>
            <w:tcW w:type="dxa" w:w="5669"/>
            <w:vAlign w:val="top"/>
          </w:tcPr>
          <w:p>
            <w:r/>
            <w:r>
              <w:rPr>
                <w:rFonts w:ascii="Arial" w:hAnsi="Arial"/>
                <w:b w:val="0"/>
                <w:color w:val="2F343C"/>
                <w:sz w:val="16"/>
              </w:rPr>
              <w:t>relevanter Ziel- und Indikatorbezug</w:t>
            </w:r>
          </w:p>
        </w:tc>
      </w:tr>
      <w:tr>
        <w:tc>
          <w:tcPr>
            <w:tcW w:type="dxa" w:w="2835"/>
            <w:vAlign w:val="top"/>
          </w:tcPr>
          <w:p>
            <w:r/>
            <w:r>
              <w:rPr>
                <w:rFonts w:ascii="Arial" w:hAnsi="Arial"/>
                <w:b w:val="0"/>
                <w:color w:val="2F343C"/>
                <w:sz w:val="16"/>
              </w:rPr>
              <w:t>SDG 17 Partnerschaften</w:t>
            </w:r>
          </w:p>
        </w:tc>
        <w:tc>
          <w:tcPr>
            <w:tcW w:type="dxa" w:w="5669"/>
            <w:vAlign w:val="top"/>
          </w:tcPr>
          <w:p>
            <w:r/>
            <w:r>
              <w:rPr>
                <w:rFonts w:ascii="Arial" w:hAnsi="Arial"/>
                <w:b w:val="0"/>
                <w:color w:val="2F343C"/>
                <w:sz w:val="16"/>
              </w:rPr>
              <w:t>relevanter Ziel- und Indikatorbezug</w:t>
            </w:r>
          </w:p>
        </w:tc>
      </w:tr>
      <w:tr>
        <w:tc>
          <w:tcPr>
            <w:tcW w:type="dxa" w:w="2835"/>
            <w:vAlign w:val="top"/>
          </w:tcPr>
          <w:p>
            <w:r/>
            <w:r>
              <w:rPr>
                <w:rFonts w:ascii="Arial" w:hAnsi="Arial"/>
                <w:b w:val="0"/>
                <w:color w:val="2F343C"/>
                <w:sz w:val="16"/>
              </w:rPr>
              <w:t>Demokratie</w:t>
            </w:r>
          </w:p>
        </w:tc>
        <w:tc>
          <w:tcPr>
            <w:tcW w:type="dxa" w:w="5669"/>
            <w:vAlign w:val="top"/>
          </w:tcPr>
          <w:p>
            <w:r/>
            <w:r>
              <w:rPr>
                <w:rFonts w:ascii="Arial" w:hAnsi="Arial"/>
                <w:b w:val="0"/>
                <w:color w:val="2F343C"/>
                <w:sz w:val="16"/>
              </w:rPr>
              <w:t>SDG+-Erweiterung der Wirkungsökonomie</w:t>
            </w:r>
          </w:p>
        </w:tc>
      </w:tr>
      <w:tr>
        <w:tc>
          <w:tcPr>
            <w:tcW w:type="dxa" w:w="2835"/>
            <w:vAlign w:val="top"/>
          </w:tcPr>
          <w:p>
            <w:r/>
            <w:r>
              <w:rPr>
                <w:rFonts w:ascii="Arial" w:hAnsi="Arial"/>
                <w:b w:val="0"/>
                <w:color w:val="2F343C"/>
                <w:sz w:val="16"/>
              </w:rPr>
              <w:t>Medienqualität</w:t>
            </w:r>
          </w:p>
        </w:tc>
        <w:tc>
          <w:tcPr>
            <w:tcW w:type="dxa" w:w="5669"/>
            <w:vAlign w:val="top"/>
          </w:tcPr>
          <w:p>
            <w:r/>
            <w:r>
              <w:rPr>
                <w:rFonts w:ascii="Arial" w:hAnsi="Arial"/>
                <w:b w:val="0"/>
                <w:color w:val="2F343C"/>
                <w:sz w:val="16"/>
              </w:rPr>
              <w:t>SDG+-Erweiterung der Wirkungsökonomie</w:t>
            </w:r>
          </w:p>
        </w:tc>
      </w:tr>
      <w:tr>
        <w:tc>
          <w:tcPr>
            <w:tcW w:type="dxa" w:w="2835"/>
            <w:vAlign w:val="top"/>
          </w:tcPr>
          <w:p>
            <w:r/>
            <w:r>
              <w:rPr>
                <w:rFonts w:ascii="Arial" w:hAnsi="Arial"/>
                <w:b w:val="0"/>
                <w:color w:val="2F343C"/>
                <w:sz w:val="16"/>
              </w:rPr>
              <w:t>Rechtsstaatlichkeit</w:t>
            </w:r>
          </w:p>
        </w:tc>
        <w:tc>
          <w:tcPr>
            <w:tcW w:type="dxa" w:w="5669"/>
            <w:vAlign w:val="top"/>
          </w:tcPr>
          <w:p>
            <w:r/>
            <w:r>
              <w:rPr>
                <w:rFonts w:ascii="Arial" w:hAnsi="Arial"/>
                <w:b w:val="0"/>
                <w:color w:val="2F343C"/>
                <w:sz w:val="16"/>
              </w:rPr>
              <w:t>SDG+-Erweiterung der Wirkungsökonomie</w:t>
            </w:r>
          </w:p>
        </w:tc>
      </w:tr>
      <w:tr>
        <w:tc>
          <w:tcPr>
            <w:tcW w:type="dxa" w:w="2835"/>
            <w:vAlign w:val="top"/>
          </w:tcPr>
          <w:p>
            <w:r/>
            <w:r>
              <w:rPr>
                <w:rFonts w:ascii="Arial" w:hAnsi="Arial"/>
                <w:b w:val="0"/>
                <w:color w:val="2F343C"/>
                <w:sz w:val="16"/>
              </w:rPr>
              <w:t>institutionelles Vertrauen</w:t>
            </w:r>
          </w:p>
        </w:tc>
        <w:tc>
          <w:tcPr>
            <w:tcW w:type="dxa" w:w="5669"/>
            <w:vAlign w:val="top"/>
          </w:tcPr>
          <w:p>
            <w:r/>
            <w:r>
              <w:rPr>
                <w:rFonts w:ascii="Arial" w:hAnsi="Arial"/>
                <w:b w:val="0"/>
                <w:color w:val="2F343C"/>
                <w:sz w:val="16"/>
              </w:rPr>
              <w:t>SDG+-Erweiterung der Wirkungsökonomie</w:t>
            </w:r>
          </w:p>
        </w:tc>
      </w:tr>
      <w:tr>
        <w:tc>
          <w:tcPr>
            <w:tcW w:type="dxa" w:w="2835"/>
            <w:vAlign w:val="top"/>
          </w:tcPr>
          <w:p>
            <w:r/>
            <w:r>
              <w:rPr>
                <w:rFonts w:ascii="Arial" w:hAnsi="Arial"/>
                <w:b w:val="0"/>
                <w:color w:val="2F343C"/>
                <w:sz w:val="16"/>
              </w:rPr>
              <w:t>gesellschaftlicher Zusammenhalt</w:t>
            </w:r>
          </w:p>
        </w:tc>
        <w:tc>
          <w:tcPr>
            <w:tcW w:type="dxa" w:w="5669"/>
            <w:vAlign w:val="top"/>
          </w:tcPr>
          <w:p>
            <w:r/>
            <w:r>
              <w:rPr>
                <w:rFonts w:ascii="Arial" w:hAnsi="Arial"/>
                <w:b w:val="0"/>
                <w:color w:val="2F343C"/>
                <w:sz w:val="16"/>
              </w:rPr>
              <w:t>SDG+-Erweiterung der Wirkungsökonomie</w:t>
            </w:r>
          </w:p>
        </w:tc>
      </w:tr>
      <w:tr>
        <w:tc>
          <w:tcPr>
            <w:tcW w:type="dxa" w:w="2835"/>
            <w:vAlign w:val="top"/>
          </w:tcPr>
          <w:p>
            <w:r/>
            <w:r>
              <w:rPr>
                <w:rFonts w:ascii="Arial" w:hAnsi="Arial"/>
                <w:b w:val="0"/>
                <w:color w:val="2F343C"/>
                <w:sz w:val="16"/>
              </w:rPr>
              <w:t>digitale Selbstbestimmung</w:t>
            </w:r>
          </w:p>
        </w:tc>
        <w:tc>
          <w:tcPr>
            <w:tcW w:type="dxa" w:w="5669"/>
            <w:vAlign w:val="top"/>
          </w:tcPr>
          <w:p>
            <w:r/>
            <w:r>
              <w:rPr>
                <w:rFonts w:ascii="Arial" w:hAnsi="Arial"/>
                <w:b w:val="0"/>
                <w:color w:val="2F343C"/>
                <w:sz w:val="16"/>
              </w:rPr>
              <w:t>SDG+-Erweiterung der Wirkungsökonomie</w:t>
            </w:r>
          </w:p>
        </w:tc>
      </w:tr>
    </w:tbl>
    <w:p/>
    <w:p>
      <w:pPr>
        <w:pStyle w:val="Heading1"/>
      </w:pPr>
      <w:r>
        <w:t>Website- und Portalintegration</w:t>
      </w:r>
    </w:p>
    <w:p>
      <w:pPr>
        <w:jc w:val="left"/>
      </w:pPr>
      <w:r>
        <w:rPr>
          <w:rFonts w:ascii="Arial" w:hAnsi="Arial"/>
          <w:color w:val="2F343C"/>
          <w:sz w:val="21"/>
        </w:rPr>
        <w:t>Die Website sollte Scorecards nicht nur beschreiben, sondern als interaktive Karten und Beispieltabellen erklären. Jede Scorecard-Seite braucht: Kurzdefinition, Anwendungsfälle, Beispiel, Formel-/Logikblock, rote Linien, Datenqualität, Toolstatus, Downloads und Querverlinkung.</w:t>
      </w:r>
    </w:p>
    <w:p>
      <w:pPr>
        <w:jc w:val="left"/>
      </w:pPr>
      <w:r>
        <w:rPr>
          <w:rFonts w:ascii="Arial" w:hAnsi="Arial"/>
          <w:color w:val="2F343C"/>
          <w:sz w:val="21"/>
        </w:rPr>
        <w:t>Empfohlene URLs: /werkzeuge/scorecards/, /werkzeuge/netto-wirkungs-index/, /werkzeuge/reverse-merit-order/. Die alten Kurztexte können als Einstieg bleiben, dürfen aber nicht als vollständiges Methodenpapier erscheinen.</w:t>
      </w:r>
    </w:p>
    <w:p>
      <w:pPr>
        <w:pStyle w:val="Heading1"/>
      </w:pPr>
      <w:r>
        <w:t>Quellen und Anschlussstellen</w:t>
      </w:r>
    </w:p>
    <w:p>
      <w:r>
        <w:rPr>
          <w:rFonts w:ascii="Arial" w:hAnsi="Arial"/>
          <w:b/>
          <w:color w:val="0B1020"/>
          <w:sz w:val="20"/>
        </w:rPr>
        <w:t xml:space="preserve">Die neue Ordnung des Wohlstands: </w:t>
      </w:r>
      <w:r>
        <w:rPr>
          <w:rFonts w:ascii="Arial" w:hAnsi="Arial"/>
          <w:color w:val="2F343C"/>
          <w:sz w:val="19"/>
        </w:rPr>
        <w:t>Buchanker: Kapitel zu WÖk-IDs, Scorecards, Reverse Merit Order, T-SROI, DPP, WStG, WUStG, Unternehmen, Produkte, Kapital und Wirkungsmessung. /werkstatt/online-buch/</w:t>
      </w:r>
    </w:p>
    <w:p>
      <w:r>
        <w:rPr>
          <w:rFonts w:ascii="Arial" w:hAnsi="Arial"/>
          <w:b/>
          <w:color w:val="0B1020"/>
          <w:sz w:val="20"/>
        </w:rPr>
        <w:t xml:space="preserve">Führender Begriffsleitfaden der Wirkungsökonomie: </w:t>
      </w:r>
      <w:r>
        <w:rPr>
          <w:rFonts w:ascii="Arial" w:hAnsi="Arial"/>
          <w:color w:val="2F343C"/>
          <w:sz w:val="19"/>
        </w:rPr>
        <w:t>Verbindliche Begrifflichkeit für Wirkung, Wirkungspotenzial, Netto-Wirkung, Transformationswirkung, Wirkungslenkung und Wirkungsarchitektur. WOeK_Begriffsleitfaden_fuehrend_v1.0.md</w:t>
      </w:r>
    </w:p>
    <w:p>
      <w:r>
        <w:rPr>
          <w:rFonts w:ascii="Arial" w:hAnsi="Arial"/>
          <w:b/>
          <w:color w:val="0B1020"/>
          <w:sz w:val="20"/>
        </w:rPr>
        <w:t xml:space="preserve">Technische Leitlinien WUStG: </w:t>
      </w:r>
      <w:r>
        <w:rPr>
          <w:rFonts w:ascii="Arial" w:hAnsi="Arial"/>
          <w:color w:val="2F343C"/>
          <w:sz w:val="19"/>
        </w:rPr>
        <w:t>Methodische Grundlage für WÖk-IDs, Archetypen, Benchmarks, Scorecards, Datenquellen und Assurance. Technische_Leitlinien_WUStG_Vollversion_Extended_v2.pdf</w:t>
      </w:r>
    </w:p>
    <w:p>
      <w:r>
        <w:rPr>
          <w:rFonts w:ascii="Arial" w:hAnsi="Arial"/>
          <w:b/>
          <w:color w:val="0B1020"/>
          <w:sz w:val="20"/>
        </w:rPr>
        <w:t xml:space="preserve">Whitepaper T-SROI: </w:t>
      </w:r>
      <w:r>
        <w:rPr>
          <w:rFonts w:ascii="Arial" w:hAnsi="Arial"/>
          <w:color w:val="2F343C"/>
          <w:sz w:val="19"/>
        </w:rPr>
        <w:t>Grundlage für Transformational Social Return on Investment und Impact Controlling. Whitepaper-T-SROI.pdf</w:t>
      </w:r>
    </w:p>
    <w:p>
      <w:r>
        <w:rPr>
          <w:rFonts w:ascii="Arial" w:hAnsi="Arial"/>
          <w:b/>
          <w:color w:val="0B1020"/>
          <w:sz w:val="20"/>
        </w:rPr>
        <w:t xml:space="preserve">Europäische Kommission - CSRD: </w:t>
      </w:r>
      <w:r>
        <w:rPr>
          <w:rFonts w:ascii="Arial" w:hAnsi="Arial"/>
          <w:color w:val="2F343C"/>
          <w:sz w:val="19"/>
        </w:rPr>
        <w:t>Nachhaltigkeitsberichterstattung und ESRS-Anschluss. https://finance.ec.europa.eu/financial-markets/company-reporting-and-auditing/company-reporting/corporate-sustainability-reporting_en</w:t>
      </w:r>
    </w:p>
    <w:p>
      <w:r>
        <w:rPr>
          <w:rFonts w:ascii="Arial" w:hAnsi="Arial"/>
          <w:b/>
          <w:color w:val="0B1020"/>
          <w:sz w:val="20"/>
        </w:rPr>
        <w:t xml:space="preserve">Europäische Kommission - EU Taxonomy: </w:t>
      </w:r>
      <w:r>
        <w:rPr>
          <w:rFonts w:ascii="Arial" w:hAnsi="Arial"/>
          <w:color w:val="2F343C"/>
          <w:sz w:val="19"/>
        </w:rPr>
        <w:t>Klassifikationssystem und Markttransparenz für nachhaltige wirtschaftliche Aktivitäten. https://finance.ec.europa.eu/sustainable-finance/tools-and-standards/eu-taxonomy-sustainable-activities_en</w:t>
      </w:r>
    </w:p>
    <w:p>
      <w:r>
        <w:rPr>
          <w:rFonts w:ascii="Arial" w:hAnsi="Arial"/>
          <w:b/>
          <w:color w:val="0B1020"/>
          <w:sz w:val="20"/>
        </w:rPr>
        <w:t xml:space="preserve">EFRAG - ESRS: </w:t>
      </w:r>
      <w:r>
        <w:rPr>
          <w:rFonts w:ascii="Arial" w:hAnsi="Arial"/>
          <w:color w:val="2F343C"/>
          <w:sz w:val="19"/>
        </w:rPr>
        <w:t>Technischer Berater der Europäischen Kommission für ESRS und digitale Berichterstattung. https://www.efrag.org/en/sustainability-reporting/esrs-workstreams</w:t>
      </w:r>
    </w:p>
    <w:p>
      <w:r>
        <w:rPr>
          <w:rFonts w:ascii="Arial" w:hAnsi="Arial"/>
          <w:b/>
          <w:color w:val="0B1020"/>
          <w:sz w:val="20"/>
        </w:rPr>
        <w:t xml:space="preserve">GRI Standards: </w:t>
      </w:r>
      <w:r>
        <w:rPr>
          <w:rFonts w:ascii="Arial" w:hAnsi="Arial"/>
          <w:color w:val="2F343C"/>
          <w:sz w:val="19"/>
        </w:rPr>
        <w:t>Globale Standards für Impact Reporting über Wirtschaft, Umwelt und Menschen. https://www.globalreporting.org/standards/</w:t>
      </w:r>
    </w:p>
    <w:p>
      <w:pPr>
        <w:pStyle w:val="Heading1"/>
      </w:pPr>
      <w:r>
        <w:t>Fazit</w:t>
      </w:r>
    </w:p>
    <w:p>
      <w:pPr>
        <w:jc w:val="left"/>
      </w:pPr>
      <w:r>
        <w:rPr>
          <w:rFonts w:ascii="Arial" w:hAnsi="Arial"/>
          <w:color w:val="2F343C"/>
          <w:sz w:val="21"/>
        </w:rPr>
        <w:t>Scorecards machen Wirkung entscheidbar. Sie lösen nicht alle politischen Konflikte, aber sie machen sichtbar, worüber gestritten wird. Sie schaffen bessere Rückkopplung für Unternehmen, Staat, Kapital, Konsum und öffentliche Räume. Ihr Wert liegt nicht in einem finalen Urteil, sondern in Transparenz, Vergleichbarkeit, Lernfähigkeit und Korrektur.</w:t>
      </w:r>
    </w:p>
    <w:p>
      <w:pPr>
        <w:jc w:val="left"/>
      </w:pPr>
      <w:r>
        <w:rPr>
          <w:rFonts w:ascii="Arial" w:hAnsi="Arial"/>
          <w:color w:val="2F343C"/>
          <w:sz w:val="21"/>
        </w:rPr>
        <w:t>Der NWI ist dabei die operative Verdichtung. Er darf nie zur simplen Durchschnittszahl verflachen. Er muss zeigen, wo Wirkung gut ist, wo sie kritisch ist, wo Daten unsicher sind und welche roten Linien nicht überschritten werden dürfen.</w:t>
      </w:r>
    </w:p>
    <w:sectPr w:rsidR="00FC693F" w:rsidRPr="0006063C" w:rsidSect="00034616">
      <w:footerReference w:type="default" r:id="rId9"/>
      <w:pgSz w:w="12240" w:h="15840"/>
      <w:pgMar w:top="1247"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6B6B"/>
        <w:sz w:val="16"/>
      </w:rPr>
      <w:t>Wirkungsökonomie · Natalie Weber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F34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B102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0B102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