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1832"/>
          <w:sz w:val="50"/>
        </w:rPr>
        <w:t>WIRKUNGSÖKONOMIE</w:t>
      </w:r>
    </w:p>
    <w:p>
      <w:pPr>
        <w:jc w:val="center"/>
      </w:pPr>
      <w:r>
        <w:rPr>
          <w:rFonts w:ascii="Arial" w:hAnsi="Arial"/>
          <w:b/>
          <w:color w:val="287D5C"/>
          <w:sz w:val="18"/>
        </w:rPr>
        <w:t>DETAILKONZEPT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4128" cy="73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brand_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73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001832"/>
          <w:sz w:val="46"/>
        </w:rPr>
        <w:t>Boden, Leerstand und Spekulation</w:t>
      </w:r>
    </w:p>
    <w:p>
      <w:pPr>
        <w:jc w:val="center"/>
      </w:pPr>
      <w:r>
        <w:rPr>
          <w:rFonts w:ascii="Arial" w:hAnsi="Arial"/>
          <w:color w:val="252D3C"/>
          <w:sz w:val="23"/>
        </w:rPr>
        <w:t>Bodenwert, Leerstand und spekulative Preisbildung wirkungsökonomisch ordnen.</w:t>
      </w:r>
    </w:p>
    <w:p>
      <w:pPr>
        <w:jc w:val="center"/>
      </w:pPr>
      <w:r>
        <w:rPr>
          <w:rFonts w:ascii="Arial" w:hAnsi="Arial"/>
          <w:color w:val="252D3C"/>
          <w:sz w:val="19"/>
        </w:rPr>
        <w:t>Autorin: Natalie Weber · Referenz: Wirkungsökonomie</w:t>
      </w:r>
    </w:p>
    <w:p>
      <w:pPr>
        <w:jc w:val="center"/>
      </w:pPr>
      <w:r>
        <w:rPr>
          <w:rFonts w:ascii="Arial" w:hAnsi="Arial"/>
          <w:color w:val="6F6F6F"/>
          <w:sz w:val="17"/>
        </w:rPr>
        <w:t>Version v0.1 · Stand: 24. Mai 2026 · Status: Arbeitsfassung / Diskussionsfassung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Wirkung statt Kapital</w:t>
              <w:br/>
            </w:r>
            <w:r>
              <w:rPr>
                <w:rFonts w:ascii="Arial" w:hAnsi="Arial"/>
                <w:color w:val="6F6F6F"/>
                <w:sz w:val="15"/>
              </w:rPr>
              <w:t>Wohnen als Lebens- und Vertrauensraum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Mensch · Planet · Demokratie</w:t>
              <w:br/>
            </w:r>
            <w:r>
              <w:rPr>
                <w:rFonts w:ascii="Arial" w:hAnsi="Arial"/>
                <w:color w:val="6F6F6F"/>
                <w:sz w:val="15"/>
              </w:rPr>
              <w:t>Bezahlbarkeit, Gesundheit, Klima, Teilhabe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Politische Anschlussfähigkeit</w:t>
              <w:br/>
            </w:r>
            <w:r>
              <w:rPr>
                <w:rFonts w:ascii="Arial" w:hAnsi="Arial"/>
                <w:color w:val="6F6F6F"/>
                <w:sz w:val="15"/>
              </w:rPr>
              <w:t>Rahmen setzen, Ausgestaltung ermöglichen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Dokumenttyp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Detailkonzept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Themenbereich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Wohnen &amp; Stadt · Boden, Leerstand und Spekulation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Autorin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Natalie Weber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Referenz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Wirkungsökonomie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Version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v0.1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Stand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24. Mai 2026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Status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/ Diskussionsfassung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Hinweis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für Konzept-, Website- und Dossierarchitektur; keine Rechts-, Steuer- oder Förderberatung.</w:t>
            </w:r>
          </w:p>
        </w:tc>
      </w:tr>
    </w:tbl>
    <w:p/>
    <w:p>
      <w:pPr>
        <w:pStyle w:val="Heading1"/>
      </w:pPr>
      <w:r>
        <w:t>Kernthese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Boden, Leerstand und Spekulation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space="0" w:color="287D5C"/>
              <w:left w:val="single" w:sz="12" w:space="0" w:color="287D5C"/>
              <w:bottom w:val="single" w:sz="12" w:space="0" w:color="287D5C"/>
              <w:right w:val="single" w:sz="12" w:space="0" w:color="287D5C"/>
            </w:tcBorders>
            <w:shd w:fill="F6F1E8"/>
          </w:tcPr>
          <w:p>
            <w:r>
              <w:rPr>
                <w:rFonts w:ascii="Arial" w:hAnsi="Arial"/>
                <w:b/>
                <w:color w:val="287D5C"/>
                <w:sz w:val="18"/>
              </w:rPr>
              <w:t>Wirkungslogik</w:t>
              <w:br/>
            </w:r>
            <w:r>
              <w:rPr>
                <w:rFonts w:ascii="Arial" w:hAnsi="Arial"/>
                <w:color w:val="252D3C"/>
                <w:sz w:val="18"/>
              </w:rPr>
              <w:t>Bodenwert, Leerstand und spekulative Preisbildung wirkungsökonomisch ordnen.</w:t>
            </w:r>
          </w:p>
        </w:tc>
      </w:tr>
    </w:tbl>
    <w:p/>
    <w:p>
      <w:pPr>
        <w:pStyle w:val="Heading1"/>
      </w:pPr>
      <w:r>
        <w:t>1. Alte Logik und Wirkungsdefizit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Heading1"/>
      </w:pPr>
      <w:r>
        <w:t>2. Wirkungsökonomischer Perspektivwechsel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Wirkung wird als Zustandsveränderung verstanden, nicht als Absicht oder Image.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Bewertet wird am Referenzrahmen SDGs, Agenda 2030 und SDG+ sowie an Mensch, Planet und Demokratie.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Kapital bleibt Werkzeug, wird aber an Wohnwirkung rückgekoppelt.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Negative Wirkungen dürfen nicht durch positive Einzelwerte beliebig kompensiert werden.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Das Konzept dient nicht der Bewertung von Menschen, sondern der Bewertung von Strukturen, Gebäuden, Finanzierungslogiken, Regeln und Angeboten.</w:t>
      </w:r>
    </w:p>
    <w:p>
      <w:pPr>
        <w:pStyle w:val="Heading1"/>
      </w:pPr>
      <w:r>
        <w:t>3. Systemelemente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Funktion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Beispiel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Indikatoren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Zustände sichtbar machen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Mietbelastung, Endenergie, Schimmel, Barrierefreiheit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Scorecards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Indikatoren vergleichbar machen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Skala –3 bis +3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WIX-Wohn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Teilwirkungen bündeln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Klima/Energie, Miete, Sozialraum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Politische Schwellen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Ausgestaltung ermöglichen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Härtefallgrenzen, Förderhöhen, Übergänge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Dossier &amp; Tool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Anwendbarkeit sichern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Rechner, Beispiele, Datenquellen</w:t>
            </w:r>
          </w:p>
        </w:tc>
      </w:tr>
    </w:tbl>
    <w:p/>
    <w:p>
      <w:pPr>
        <w:pStyle w:val="Heading2"/>
      </w:pPr>
      <w:r>
        <w:t>Politische Anschlussfähigkeit und Ausgestaltungsspielraum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space="0" w:color="C89B3C"/>
              <w:left w:val="single" w:sz="12" w:space="0" w:color="C89B3C"/>
              <w:bottom w:val="single" w:sz="12" w:space="0" w:color="C89B3C"/>
              <w:right w:val="single" w:sz="12" w:space="0" w:color="C89B3C"/>
            </w:tcBorders>
            <w:shd w:fill="F6F1E8"/>
          </w:tcPr>
          <w:p>
            <w:r>
              <w:rPr>
                <w:rFonts w:ascii="Arial" w:hAnsi="Arial"/>
                <w:b/>
                <w:color w:val="C89B3C"/>
                <w:sz w:val="18"/>
              </w:rPr>
              <w:t>Kernprinzip</w:t>
              <w:br/>
            </w:r>
            <w:r>
              <w:rPr>
                <w:rFonts w:ascii="Arial" w:hAnsi="Arial"/>
                <w:color w:val="252D3C"/>
                <w:sz w:val="18"/>
              </w:rPr>
              <w:t>Die Wirkungsökonomie ersetzt politischen Diskurs nicht. Sie macht Wirkungen, Zielkonflikte, Verteilungsfragen und Risiken sichtbar, damit demokratische Parteien unterschiedliche Ausgestaltungen begründen und vergleichen können.</w:t>
            </w:r>
          </w:p>
        </w:tc>
      </w:tr>
    </w:tbl>
    <w:p/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Aufgabe der Politik ist die Festlegung von Zielkorridoren, Schutzgrenzen, Übergangsfristen, sozialer Abfederung, Zuständigkeiten und Prüfverfahren.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Parteien können unterschiedliche Schwerpunkte setzen: mehr Marktanreize, stärkere öffentliche Förderung, kommunale Wohnungswirtschaft, Eigentumsförderung, Mieterschutz, Neubau, Bestandssanierung oder Bodenpolitik.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Der verbindende Rahmen ist nicht ein einziges „wahres“ Modell, sondern Transparenz über Wirkungen auf Bezahlbarkeit, Gesundheit, Klima, Teilhabe, Eigentumsfreiheit, Investitionsfähigkeit und demokratisches Vertrauen.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Politische Umsetzung braucht Piloträume, Evaluation, Rechts- und Datenschutzprüfung, Beteiligung von Mieter:innen, Eigentümer:innen, Kommunen, Bauwirtschaft und Zivilgesellschaft.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Jede Seite im Portal muss deshalb nicht nur ein Konzept erklären, sondern auch politische Aufgaben, Entscheidungsoptionen, Zielkonflikte und demokratische Gestaltungsspielräume sichtbar machen.</w:t>
      </w:r>
    </w:p>
    <w:p>
      <w:pPr>
        <w:pStyle w:val="Heading1"/>
      </w:pPr>
      <w:r>
        <w:t>4. Online-Umsetzung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Detailseite: /wirkungsfelder/wohnen-stadt/detailkonzepte/boden_leerstand_spekulation/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Dossierseite: /wirkungsfelder/wohnen-stadt/dossiers/boden_leerstand_spekulation/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Kontext-Werkzeuge: Wohnwirkungsrechner, WIX-Wohn, Sozialraumprofil, SDGRef, ToolRef, Dossier-Export.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Download: Word/PDF ergänzend; Online-Volltext bleibt Hauptzugang.</w:t>
      </w:r>
    </w:p>
    <w:p>
      <w:pPr>
        <w:pStyle w:val="Heading2"/>
      </w:pPr>
      <w:r>
        <w:t>Quellen- und Datenbasis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r>
        <w:rPr>
          <w:rFonts w:ascii="Arial" w:hAnsi="Arial"/>
          <w:color w:val="252D3C"/>
          <w:sz w:val="17"/>
        </w:rPr>
        <w:t xml:space="preserve">• Destatis: Wohnen in Deutschland: </w:t>
      </w:r>
      <w:hyperlink r:id="rId12">
        <w:r>
          <w:rPr>
            <w:color w:val="287D5C"/>
            <w:u w:val="single"/>
          </w:rPr>
          <w:t>https://www.destatis.de/DE/Themen/Gesellschaft-Umwelt/Wohnen/_inhalt.html</w:t>
        </w:r>
      </w:hyperlink>
    </w:p>
    <w:p>
      <w:r>
        <w:rPr>
          <w:rFonts w:ascii="Arial" w:hAnsi="Arial"/>
          <w:color w:val="252D3C"/>
          <w:sz w:val="17"/>
        </w:rPr>
        <w:t xml:space="preserve">• Destatis/Eurostat: Wohnkostenüberbelastung 2025: </w:t>
      </w:r>
      <w:hyperlink r:id="rId13">
        <w:r>
          <w:rPr>
            <w:color w:val="287D5C"/>
            <w:u w:val="single"/>
          </w:rPr>
          <w:t>https://www.destatis.de/Europa/DE/Thema/Bevoelkerung-Arbeit-Soziales/Soziales-Lebensbedingungen/Wohnkosten.html</w:t>
        </w:r>
      </w:hyperlink>
    </w:p>
    <w:p>
      <w:r>
        <w:rPr>
          <w:rFonts w:ascii="Arial" w:hAnsi="Arial"/>
          <w:color w:val="252D3C"/>
          <w:sz w:val="17"/>
        </w:rPr>
        <w:t xml:space="preserve">• BBSR: Wohnungsbedarfsprognose 2025: </w:t>
      </w:r>
      <w:hyperlink r:id="rId14">
        <w:r>
          <w:rPr>
            <w:color w:val="287D5C"/>
            <w:u w:val="single"/>
          </w:rPr>
          <w:t>https://www.bbsr.bund.de/BBSR/DE/presse/presseinformationen/2025/wohnungsbedarfsprognose.html</w:t>
        </w:r>
      </w:hyperlink>
    </w:p>
    <w:p>
      <w:r>
        <w:rPr>
          <w:rFonts w:ascii="Arial" w:hAnsi="Arial"/>
          <w:color w:val="252D3C"/>
          <w:sz w:val="17"/>
        </w:rPr>
        <w:t xml:space="preserve">• Umweltbundesamt: Emissionsdaten 2024 – Gebäude: </w:t>
      </w:r>
      <w:hyperlink r:id="rId15">
        <w:r>
          <w:rPr>
            <w:color w:val="287D5C"/>
            <w:u w:val="single"/>
          </w:rPr>
          <w:t>https://www.umweltbundesamt.de/system/files?file=medien/11867/dokumente/emissionsdaten_2024_-_pressehintergrundinformationen.pdf</w:t>
        </w:r>
      </w:hyperlink>
    </w:p>
    <w:p>
      <w:r>
        <w:rPr>
          <w:rFonts w:ascii="Arial" w:hAnsi="Arial"/>
          <w:color w:val="252D3C"/>
          <w:sz w:val="17"/>
        </w:rPr>
        <w:t xml:space="preserve">• Europäische Kommission: Energy Performance of Buildings Directive: </w:t>
      </w:r>
      <w:hyperlink r:id="rId16">
        <w:r>
          <w:rPr>
            <w:color w:val="287D5C"/>
            <w:u w:val="single"/>
          </w:rPr>
          <w:t>https://energy.ec.europa.eu/topics/energy-efficiency/energy-performance-buildings/energy-performance-buildings-directive_en</w:t>
        </w:r>
      </w:hyperlink>
    </w:p>
    <w:p>
      <w:r>
        <w:rPr>
          <w:rFonts w:ascii="Arial" w:hAnsi="Arial"/>
          <w:color w:val="252D3C"/>
          <w:sz w:val="17"/>
        </w:rPr>
        <w:t xml:space="preserve">• Interne WÖk-Basis: Working-Paper Wohnungsmarkt, Systemmodell, Buchfassung 2026, Begriffsleitfaden: </w:t>
      </w:r>
      <w:r>
        <w:rPr>
          <w:rFonts w:ascii="Arial" w:hAnsi="Arial"/>
          <w:color w:val="6F6F6F"/>
          <w:sz w:val="17"/>
        </w:rPr>
        <w:t>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F6F"/>
        <w:sz w:val="14"/>
      </w:rPr>
      <w:t>© Natalie Weber · Wirkungsökonomie · v0.1 · Arbeitsfassung / Diskussionsfassung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1832"/>
        <w:sz w:val="18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52D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18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18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18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183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estatis.de/DE/Themen/Gesellschaft-Umwelt/Wohnen/_inhalt.html" TargetMode="External"/><Relationship Id="rId13" Type="http://schemas.openxmlformats.org/officeDocument/2006/relationships/hyperlink" Target="https://www.destatis.de/Europa/DE/Thema/Bevoelkerung-Arbeit-Soziales/Soziales-Lebensbedingungen/Wohnkosten.html" TargetMode="External"/><Relationship Id="rId14" Type="http://schemas.openxmlformats.org/officeDocument/2006/relationships/hyperlink" Target="https://www.bbsr.bund.de/BBSR/DE/presse/presseinformationen/2025/wohnungsbedarfsprognose.html" TargetMode="External"/><Relationship Id="rId15" Type="http://schemas.openxmlformats.org/officeDocument/2006/relationships/hyperlink" Target="https://www.umweltbundesamt.de/system/files?file=medien/11867/dokumente/emissionsdaten_2024_-_pressehintergrundinformationen.pdf" TargetMode="External"/><Relationship Id="rId16" Type="http://schemas.openxmlformats.org/officeDocument/2006/relationships/hyperlink" Target="https://energy.ec.europa.eu/topics/energy-efficiency/energy-performance-buildings/energy-performance-buildings-directive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