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68000" cy="147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ek_logo_wo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147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color w:val="2E7D5C"/>
          <w:sz w:val="20"/>
        </w:rPr>
        <w:t>Wirkung statt Kapital. Für Mensch, Planet und Demokratie.</w:t>
      </w:r>
    </w:p>
    <w:p>
      <w:pPr>
        <w:jc w:val="center"/>
      </w:pPr>
      <w:r>
        <w:rPr>
          <w:rFonts w:ascii="Georgia" w:hAnsi="Georgia"/>
          <w:b/>
          <w:color w:val="0B1030"/>
          <w:sz w:val="46"/>
        </w:rPr>
        <w:t>Governance, Boni und Anreizsysteme</w:t>
      </w:r>
    </w:p>
    <w:p>
      <w:pPr>
        <w:jc w:val="center"/>
      </w:pPr>
      <w:r>
        <w:rPr>
          <w:rFonts w:ascii="Arial" w:hAnsi="Arial"/>
          <w:color w:val="252A3C"/>
          <w:sz w:val="24"/>
        </w:rPr>
        <w:t>Detailkonzept im Portal Wirtschaft &amp; Unternehmen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  <w:shd w:fill="F6F1E8"/>
          </w:tcPr>
          <w:p>
            <w:r/>
            <w:r>
              <w:rPr>
                <w:rFonts w:ascii="Arial" w:hAnsi="Arial"/>
                <w:b/>
                <w:color w:val="0B1030"/>
                <w:sz w:val="18"/>
              </w:rPr>
              <w:t>Dokumenttyp</w:t>
            </w:r>
          </w:p>
        </w:tc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</w:tcPr>
          <w:p>
            <w:r/>
            <w:r>
              <w:rPr>
                <w:rFonts w:ascii="Arial" w:hAnsi="Arial"/>
                <w:b w:val="0"/>
                <w:color w:val="252A3C"/>
                <w:sz w:val="18"/>
              </w:rPr>
              <w:t>Detailkonzept</w:t>
            </w:r>
          </w:p>
        </w:tc>
      </w:tr>
      <w:tr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  <w:shd w:fill="F6F1E8"/>
          </w:tcPr>
          <w:p>
            <w:r/>
            <w:r>
              <w:rPr>
                <w:rFonts w:ascii="Arial" w:hAnsi="Arial"/>
                <w:b/>
                <w:color w:val="0B1030"/>
                <w:sz w:val="18"/>
              </w:rPr>
              <w:t>Autorin</w:t>
            </w:r>
          </w:p>
        </w:tc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</w:tcPr>
          <w:p>
            <w:r/>
            <w:r>
              <w:rPr>
                <w:rFonts w:ascii="Arial" w:hAnsi="Arial"/>
                <w:b w:val="0"/>
                <w:color w:val="252A3C"/>
                <w:sz w:val="18"/>
              </w:rPr>
              <w:t>Natalie Weber</w:t>
            </w:r>
          </w:p>
        </w:tc>
      </w:tr>
      <w:tr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  <w:shd w:fill="F6F1E8"/>
          </w:tcPr>
          <w:p>
            <w:r/>
            <w:r>
              <w:rPr>
                <w:rFonts w:ascii="Arial" w:hAnsi="Arial"/>
                <w:b/>
                <w:color w:val="0B1030"/>
                <w:sz w:val="18"/>
              </w:rPr>
              <w:t>Referenz</w:t>
            </w:r>
          </w:p>
        </w:tc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</w:tcPr>
          <w:p>
            <w:r/>
            <w:r>
              <w:rPr>
                <w:rFonts w:ascii="Arial" w:hAnsi="Arial"/>
                <w:b w:val="0"/>
                <w:color w:val="252A3C"/>
                <w:sz w:val="18"/>
              </w:rPr>
              <w:t>Wirkungsökonomie</w:t>
            </w:r>
          </w:p>
        </w:tc>
      </w:tr>
      <w:tr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  <w:shd w:fill="F6F1E8"/>
          </w:tcPr>
          <w:p>
            <w:r/>
            <w:r>
              <w:rPr>
                <w:rFonts w:ascii="Arial" w:hAnsi="Arial"/>
                <w:b/>
                <w:color w:val="0B1030"/>
                <w:sz w:val="18"/>
              </w:rPr>
              <w:t>Version / Status</w:t>
            </w:r>
          </w:p>
        </w:tc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</w:tcPr>
          <w:p>
            <w:r/>
            <w:r>
              <w:rPr>
                <w:rFonts w:ascii="Arial" w:hAnsi="Arial"/>
                <w:b w:val="0"/>
                <w:color w:val="252A3C"/>
                <w:sz w:val="18"/>
              </w:rPr>
              <w:t>v0.1 / Arbeitsfassung</w:t>
            </w:r>
          </w:p>
        </w:tc>
      </w:tr>
      <w:tr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  <w:shd w:fill="F6F1E8"/>
          </w:tcPr>
          <w:p>
            <w:r/>
            <w:r>
              <w:rPr>
                <w:rFonts w:ascii="Arial" w:hAnsi="Arial"/>
                <w:b/>
                <w:color w:val="0B1030"/>
                <w:sz w:val="18"/>
              </w:rPr>
              <w:t>Stand</w:t>
            </w:r>
          </w:p>
        </w:tc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</w:tcPr>
          <w:p>
            <w:r/>
            <w:r>
              <w:rPr>
                <w:rFonts w:ascii="Arial" w:hAnsi="Arial"/>
                <w:b w:val="0"/>
                <w:color w:val="252A3C"/>
                <w:sz w:val="18"/>
              </w:rPr>
              <w:t>24.05.2026</w:t>
            </w:r>
          </w:p>
        </w:tc>
      </w:tr>
    </w:tbl>
    <w:p>
      <w:pPr>
        <w:jc w:val="center"/>
      </w:pPr>
      <w:r>
        <w:rPr>
          <w:i/>
          <w:color w:val="666666"/>
          <w:sz w:val="17"/>
        </w:rPr>
        <w:t>Arbeitsfassung für Online-Volltext, Dossier, Portal und Codex-Umsetzung.</w:t>
      </w:r>
    </w:p>
    <w:p>
      <w:r>
        <w:br w:type="page"/>
      </w:r>
    </w:p>
    <w:p>
      <w:pPr>
        <w:pStyle w:val="Heading1"/>
        <w:pBdr>
          <w:bottom w:val="single" w:sz="10" w:color="2E7D5C"/>
        </w:pBdr>
      </w:pPr>
      <w:r>
        <w:t>Kurzfassung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6F1E8"/>
            <w:tcBorders>
              <w:top w:val="single" w:sz="6" w:color="2E7D5C"/>
              <w:left w:val="single" w:sz="6" w:color="2E7D5C"/>
              <w:bottom w:val="single" w:sz="6" w:color="2E7D5C"/>
              <w:right w:val="single" w:sz="6" w:color="2E7D5C"/>
            </w:tcBorders>
          </w:tcPr>
          <w:p>
            <w:r>
              <w:rPr>
                <w:rFonts w:ascii="Arial" w:hAnsi="Arial"/>
                <w:b/>
                <w:color w:val="0B1030"/>
                <w:sz w:val="21"/>
              </w:rPr>
              <w:t>Leitsatz</w:t>
            </w:r>
          </w:p>
          <w:p>
            <w:pPr>
              <w:spacing w:after="40"/>
            </w:pPr>
            <w:r>
              <w:rPr>
                <w:rFonts w:ascii="Arial" w:hAnsi="Arial"/>
                <w:color w:val="252A3C"/>
                <w:sz w:val="18"/>
              </w:rPr>
              <w:t>Governance, Boni und Anreizsysteme: Die Wirkungsökonomie behandelt Unternehmen nicht als reine Gewinnerzielungseinheiten, sondern als organisierte Wirkungssysteme. Gewinn bleibt wichtig, ist aber Rückmeldung ökonomischer Tragfähigkeit und nicht letzter Maßstab.</w:t>
            </w:r>
          </w:p>
        </w:tc>
      </w:tr>
    </w:tbl>
    <w:p/>
    <w:p>
      <w:pPr>
        <w:pStyle w:val="Heading1"/>
        <w:pBdr>
          <w:bottom w:val="single" w:sz="10" w:color="2E7D5C"/>
        </w:pBdr>
      </w:pPr>
      <w:r>
        <w:t>1. Ausgangslage und alte Logik</w:t>
      </w:r>
    </w:p>
    <w:p>
      <w:pPr>
        <w:spacing w:after="100" w:line="259" w:lineRule="auto"/>
      </w:pPr>
      <w:r>
        <w:rPr>
          <w:rFonts w:ascii="Arial" w:hAnsi="Arial"/>
          <w:color w:val="252A3C"/>
          <w:sz w:val="20"/>
        </w:rPr>
        <w:t>Vergütung und Governance richten sich oft an Umsatz, Marge, Aktienkurs, Kostenreduktion oder kurzfristigen Wachstumszielen aus.</w:t>
      </w:r>
    </w:p>
    <w:p>
      <w:pPr>
        <w:pStyle w:val="Heading1"/>
        <w:pBdr>
          <w:bottom w:val="single" w:sz="10" w:color="2E7D5C"/>
        </w:pBdr>
      </w:pPr>
      <w:r>
        <w:t>2. Wirkungsökonomischer Perspektivwechsel</w:t>
      </w:r>
    </w:p>
    <w:p>
      <w:pPr>
        <w:spacing w:after="100" w:line="259" w:lineRule="auto"/>
      </w:pPr>
      <w:r>
        <w:rPr>
          <w:rFonts w:ascii="Arial" w:hAnsi="Arial"/>
          <w:color w:val="252A3C"/>
          <w:sz w:val="20"/>
        </w:rPr>
        <w:t>Wirkungsorientierte Governance koppelt Managementziele und Boni an Netto-Wirkung, Transformation, Lieferkettenqualität, Resilienz, Produktwirkung, Mitarbeitendengesundheit, Datenqualität und demokratische Integrität.</w:t>
      </w:r>
    </w:p>
    <w:p>
      <w:pPr>
        <w:pStyle w:val="Heading1"/>
        <w:pBdr>
          <w:bottom w:val="single" w:sz="10" w:color="2E7D5C"/>
        </w:pBdr>
      </w:pPr>
      <w:r>
        <w:t>3. Anforderungen an Politik und Rahmenbedingungen</w:t>
      </w:r>
    </w:p>
    <w:p>
      <w:pPr>
        <w:spacing w:after="100" w:line="259" w:lineRule="auto"/>
      </w:pPr>
      <w:r>
        <w:rPr>
          <w:rFonts w:ascii="Arial" w:hAnsi="Arial"/>
          <w:color w:val="252A3C"/>
          <w:sz w:val="20"/>
        </w:rPr>
        <w:t>Der politische Auftrag besteht nicht darin, ein einziges Unternehmensmodell vorzuschreiben. Politik schafft die Rahmenbedingungen, innerhalb derer unterschiedliche Parteien, Branchen und Geschäftsmodelle ihren Weg zu positiver Netto-Wirkung gestalten können. Notwendig sind Transparenz, Datenzugang, faire Übergänge, KMU-Tauglichkeit, Schutz vor Greenwashing, Wettbewerbsneutralität und demokratische Kontrolle.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Rahmen statt Detailsteuerung: Politik setzt Mindeststandards, Datenregeln, Schutzlinien und Anreize, ohne operative Führung zu ersetzen.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Ausgestaltungsspielraum: Parteien können unterschiedliche Gewichtungen setzen - etwa zwischen Förderung, Steuerung, Berichtspflichten, Entlastung, Branchenpfaden und ordnungsrechtlichen Grenzen.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Verhältnismäßigkeit: Konzern, Mittelstand und Kleinstunternehmen brauchen unterschiedliche Tiefen der Nachweisführung.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Lernende Regulierung: Wirkungsindikatoren, Benchmarks und Übergangsfristen müssen regelmäßig überprüft werden.</w:t>
      </w:r>
    </w:p>
    <w:p>
      <w:pPr>
        <w:pStyle w:val="Heading1"/>
        <w:pBdr>
          <w:bottom w:val="single" w:sz="10" w:color="2E7D5C"/>
        </w:pBdr>
      </w:pPr>
      <w:r>
        <w:t>4. Architektur des Unterbereichs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Kernfrage: Wie wird Governance, Boni und Anreizsysteme in Entscheidungen, Rollen, Daten und Rückkopplungen verankert?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Ebenen: Strategie, Governance, Prozesse, Daten, Menschen, Lieferketten, Produkte, Kapital und Kommunikation.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Schnittstellen: Impact Controlling, WÖk-IDs, Scorecards, Risikomanagement, Wirkungsrat, SDG-/SDG+-Referenzrahmen.</w:t>
      </w:r>
    </w:p>
    <w:p>
      <w:pPr>
        <w:pStyle w:val="Heading1"/>
        <w:pBdr>
          <w:bottom w:val="single" w:sz="10" w:color="2E7D5C"/>
        </w:pBdr>
      </w:pPr>
      <w:r>
        <w:t>5. Online- und Tool-Anschluss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Online-Volltext unter /wirkungsfelder/wirtschaft-unternehmen/detailkonzepte/governance_boni_anreizsysteme/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Kontext-Werkzeuge: Unternehmens-Wirkungscheck, KII-Dashboard, Wirkungsrisiko-Check, Lieferketten-Scorecard, 5P-Marketing-Check.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Download: Word/PDF ergänzend; Hauptzugang bleibt die Online-Fassung.</w:t>
      </w:r>
    </w:p>
    <w:p>
      <w:pPr>
        <w:pStyle w:val="Heading1"/>
        <w:pBdr>
          <w:bottom w:val="single" w:sz="10" w:color="2E7D5C"/>
        </w:pBdr>
      </w:pPr>
      <w:r>
        <w:t>Interne und externe Referenzen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Natalie Weber: Die neue Ordnung des Wohlstands, Manuskriptfassung 2026, Teil VII: Unternehmen, Management und Wertschöpfung, Kapitel 42-47.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Natalie Weber: Systemmodell der Wirkungsökonomie, 2025, Dimension Wirtschaft &amp; Unternehmen.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Natalie Weber: Wirkungsökonomie in der Lieferkette, September 2025.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Natalie Weber: Produktbesteuerung durch Wirkung, 2025.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Natalie Weber: Whitepaper T-SROI, 2025.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EU: Corporate Sustainability Reporting Directive (CSRD) und European Sustainability Reporting Standards (ESRS).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EU: Corporate Sustainability Due Diligence Directive (CSDDD), Directive (EU) 2024/1760.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OECD: Due Diligence Guidance for Responsible Business Conduct.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UN OHCHR: Guiding Principles on Business and Human Rights.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ICC: Advertising and Marketing Communications Code, 2024.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79" w:right="964" w:bottom="765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77777"/>
        <w:sz w:val="15"/>
      </w:rPr>
      <w:t>© 2026 Natalie Weber · Wirkungsökonomie · Detailkonzept · v0.1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2E7D5C"/>
        <w:sz w:val="15"/>
      </w:rPr>
      <w:t>WIRKUNGSÖKONOMIE | DETAILKONZEPT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252A3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0B103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0B103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0B103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