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Georgia" w:hAnsi="Georgia"/>
          <w:b/>
          <w:color w:val="001832"/>
          <w:sz w:val="50"/>
        </w:rPr>
        <w:t>WIRKUNGSÖKONOMIE</w:t>
      </w:r>
    </w:p>
    <w:p>
      <w:pPr>
        <w:jc w:val="center"/>
      </w:pPr>
      <w:r>
        <w:rPr>
          <w:rFonts w:ascii="Arial" w:hAnsi="Arial"/>
          <w:b/>
          <w:color w:val="287D5C"/>
          <w:sz w:val="18"/>
        </w:rPr>
        <w:t>DETAILKONZEPT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024128" cy="7396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ek_brand_mark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24128" cy="7396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eorgia" w:hAnsi="Georgia"/>
          <w:b/>
          <w:color w:val="001832"/>
          <w:sz w:val="46"/>
        </w:rPr>
        <w:t>Wohnwirkungsindex WIX-Wohn</w:t>
      </w:r>
    </w:p>
    <w:p>
      <w:pPr>
        <w:jc w:val="center"/>
      </w:pPr>
      <w:r>
        <w:rPr>
          <w:rFonts w:ascii="Arial" w:hAnsi="Arial"/>
          <w:color w:val="252D3C"/>
          <w:sz w:val="23"/>
        </w:rPr>
        <w:t>Indexlogik für Klima/Energie, Fairness/Miete und Sozial-/Quartierswirkung.</w:t>
      </w:r>
    </w:p>
    <w:p>
      <w:pPr>
        <w:jc w:val="center"/>
      </w:pPr>
      <w:r>
        <w:rPr>
          <w:rFonts w:ascii="Arial" w:hAnsi="Arial"/>
          <w:color w:val="252D3C"/>
          <w:sz w:val="19"/>
        </w:rPr>
        <w:t>Autorin: Natalie Weber · Referenz: Wirkungsökonomie</w:t>
      </w:r>
    </w:p>
    <w:p>
      <w:pPr>
        <w:jc w:val="center"/>
      </w:pPr>
      <w:r>
        <w:rPr>
          <w:rFonts w:ascii="Arial" w:hAnsi="Arial"/>
          <w:color w:val="6F6F6F"/>
          <w:sz w:val="17"/>
        </w:rPr>
        <w:t>Version v0.1 · Stand: 24. Mai 2026 · Status: Arbeitsfassung / Diskussionsfassung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sz="8" w:space="0" w:color="D8D1C4"/>
              <w:left w:val="single" w:sz="8" w:space="0" w:color="D8D1C4"/>
              <w:bottom w:val="single" w:sz="8" w:space="0" w:color="D8D1C4"/>
              <w:right w:val="single" w:sz="8" w:space="0" w:color="D8D1C4"/>
            </w:tcBorders>
            <w:shd w:fill="F6F1E8"/>
          </w:tcPr>
          <w:p>
            <w:r>
              <w:rPr>
                <w:rFonts w:ascii="Arial" w:hAnsi="Arial"/>
                <w:b/>
                <w:color w:val="001832"/>
                <w:sz w:val="16"/>
              </w:rPr>
              <w:t>Wirkung statt Kapital</w:t>
              <w:br/>
            </w:r>
            <w:r>
              <w:rPr>
                <w:rFonts w:ascii="Arial" w:hAnsi="Arial"/>
                <w:color w:val="6F6F6F"/>
                <w:sz w:val="15"/>
              </w:rPr>
              <w:t>Wohnen als Lebens- und Vertrauensraum</w:t>
            </w:r>
          </w:p>
        </w:tc>
        <w:tc>
          <w:tcPr>
            <w:tcW w:type="dxa" w:w="3360"/>
            <w:tcBorders>
              <w:top w:val="single" w:sz="8" w:space="0" w:color="D8D1C4"/>
              <w:left w:val="single" w:sz="8" w:space="0" w:color="D8D1C4"/>
              <w:bottom w:val="single" w:sz="8" w:space="0" w:color="D8D1C4"/>
              <w:right w:val="single" w:sz="8" w:space="0" w:color="D8D1C4"/>
            </w:tcBorders>
            <w:shd w:fill="F6F1E8"/>
          </w:tcPr>
          <w:p>
            <w:r>
              <w:rPr>
                <w:rFonts w:ascii="Arial" w:hAnsi="Arial"/>
                <w:b/>
                <w:color w:val="001832"/>
                <w:sz w:val="16"/>
              </w:rPr>
              <w:t>Mensch · Planet · Demokratie</w:t>
              <w:br/>
            </w:r>
            <w:r>
              <w:rPr>
                <w:rFonts w:ascii="Arial" w:hAnsi="Arial"/>
                <w:color w:val="6F6F6F"/>
                <w:sz w:val="15"/>
              </w:rPr>
              <w:t>Bezahlbarkeit, Gesundheit, Klima, Teilhabe</w:t>
            </w:r>
          </w:p>
        </w:tc>
        <w:tc>
          <w:tcPr>
            <w:tcW w:type="dxa" w:w="3360"/>
            <w:tcBorders>
              <w:top w:val="single" w:sz="8" w:space="0" w:color="D8D1C4"/>
              <w:left w:val="single" w:sz="8" w:space="0" w:color="D8D1C4"/>
              <w:bottom w:val="single" w:sz="8" w:space="0" w:color="D8D1C4"/>
              <w:right w:val="single" w:sz="8" w:space="0" w:color="D8D1C4"/>
            </w:tcBorders>
            <w:shd w:fill="F6F1E8"/>
          </w:tcPr>
          <w:p>
            <w:r>
              <w:rPr>
                <w:rFonts w:ascii="Arial" w:hAnsi="Arial"/>
                <w:b/>
                <w:color w:val="001832"/>
                <w:sz w:val="16"/>
              </w:rPr>
              <w:t>Politische Anschlussfähigkeit</w:t>
              <w:br/>
            </w:r>
            <w:r>
              <w:rPr>
                <w:rFonts w:ascii="Arial" w:hAnsi="Arial"/>
                <w:color w:val="6F6F6F"/>
                <w:sz w:val="15"/>
              </w:rPr>
              <w:t>Rahmen setzen, Ausgestaltung ermöglichen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tcBorders>
              <w:top w:val="single" w:sz="8" w:space="0" w:color="D8D1C4"/>
              <w:left w:val="single" w:sz="8" w:space="0" w:color="D8D1C4"/>
              <w:bottom w:val="single" w:sz="8" w:space="0" w:color="D8D1C4"/>
              <w:right w:val="single" w:sz="8" w:space="0" w:color="D8D1C4"/>
            </w:tcBorders>
            <w:shd w:fill="F6F1E8"/>
          </w:tcPr>
          <w:p>
            <w:r/>
            <w:r>
              <w:rPr>
                <w:rFonts w:ascii="Arial" w:hAnsi="Arial"/>
                <w:b/>
                <w:color w:val="252D3C"/>
                <w:sz w:val="16"/>
              </w:rPr>
              <w:t>Dokumenttyp</w:t>
            </w:r>
          </w:p>
        </w:tc>
        <w:tc>
          <w:tcPr>
            <w:tcW w:type="dxa" w:w="5040"/>
            <w:tcBorders>
              <w:top w:val="single" w:sz="8" w:space="0" w:color="D8D1C4"/>
              <w:left w:val="single" w:sz="8" w:space="0" w:color="D8D1C4"/>
              <w:bottom w:val="single" w:sz="8" w:space="0" w:color="D8D1C4"/>
              <w:right w:val="single" w:sz="8" w:space="0" w:color="D8D1C4"/>
            </w:tcBorders>
          </w:tcPr>
          <w:p>
            <w:r/>
            <w:r>
              <w:rPr>
                <w:rFonts w:ascii="Arial" w:hAnsi="Arial"/>
                <w:b w:val="0"/>
                <w:color w:val="252D3C"/>
                <w:sz w:val="16"/>
              </w:rPr>
              <w:t>Detailkonzept</w:t>
            </w:r>
          </w:p>
        </w:tc>
      </w:tr>
      <w:tr>
        <w:tc>
          <w:tcPr>
            <w:tcW w:type="dxa" w:w="5040"/>
            <w:tcBorders>
              <w:top w:val="single" w:sz="8" w:space="0" w:color="D8D1C4"/>
              <w:left w:val="single" w:sz="8" w:space="0" w:color="D8D1C4"/>
              <w:bottom w:val="single" w:sz="8" w:space="0" w:color="D8D1C4"/>
              <w:right w:val="single" w:sz="8" w:space="0" w:color="D8D1C4"/>
            </w:tcBorders>
            <w:shd w:fill="F6F1E8"/>
          </w:tcPr>
          <w:p>
            <w:r/>
            <w:r>
              <w:rPr>
                <w:rFonts w:ascii="Arial" w:hAnsi="Arial"/>
                <w:b/>
                <w:color w:val="252D3C"/>
                <w:sz w:val="16"/>
              </w:rPr>
              <w:t>Themenbereich</w:t>
            </w:r>
          </w:p>
        </w:tc>
        <w:tc>
          <w:tcPr>
            <w:tcW w:type="dxa" w:w="5040"/>
            <w:tcBorders>
              <w:top w:val="single" w:sz="8" w:space="0" w:color="D8D1C4"/>
              <w:left w:val="single" w:sz="8" w:space="0" w:color="D8D1C4"/>
              <w:bottom w:val="single" w:sz="8" w:space="0" w:color="D8D1C4"/>
              <w:right w:val="single" w:sz="8" w:space="0" w:color="D8D1C4"/>
            </w:tcBorders>
          </w:tcPr>
          <w:p>
            <w:r/>
            <w:r>
              <w:rPr>
                <w:rFonts w:ascii="Arial" w:hAnsi="Arial"/>
                <w:b w:val="0"/>
                <w:color w:val="252D3C"/>
                <w:sz w:val="16"/>
              </w:rPr>
              <w:t>Wohnen &amp; Stadt · Wohnwirkungsindex WIX-Wohn</w:t>
            </w:r>
          </w:p>
        </w:tc>
      </w:tr>
      <w:tr>
        <w:tc>
          <w:tcPr>
            <w:tcW w:type="dxa" w:w="5040"/>
            <w:tcBorders>
              <w:top w:val="single" w:sz="8" w:space="0" w:color="D8D1C4"/>
              <w:left w:val="single" w:sz="8" w:space="0" w:color="D8D1C4"/>
              <w:bottom w:val="single" w:sz="8" w:space="0" w:color="D8D1C4"/>
              <w:right w:val="single" w:sz="8" w:space="0" w:color="D8D1C4"/>
            </w:tcBorders>
            <w:shd w:fill="F6F1E8"/>
          </w:tcPr>
          <w:p>
            <w:r/>
            <w:r>
              <w:rPr>
                <w:rFonts w:ascii="Arial" w:hAnsi="Arial"/>
                <w:b/>
                <w:color w:val="252D3C"/>
                <w:sz w:val="16"/>
              </w:rPr>
              <w:t>Autorin</w:t>
            </w:r>
          </w:p>
        </w:tc>
        <w:tc>
          <w:tcPr>
            <w:tcW w:type="dxa" w:w="5040"/>
            <w:tcBorders>
              <w:top w:val="single" w:sz="8" w:space="0" w:color="D8D1C4"/>
              <w:left w:val="single" w:sz="8" w:space="0" w:color="D8D1C4"/>
              <w:bottom w:val="single" w:sz="8" w:space="0" w:color="D8D1C4"/>
              <w:right w:val="single" w:sz="8" w:space="0" w:color="D8D1C4"/>
            </w:tcBorders>
          </w:tcPr>
          <w:p>
            <w:r/>
            <w:r>
              <w:rPr>
                <w:rFonts w:ascii="Arial" w:hAnsi="Arial"/>
                <w:b w:val="0"/>
                <w:color w:val="252D3C"/>
                <w:sz w:val="16"/>
              </w:rPr>
              <w:t>Natalie Weber</w:t>
            </w:r>
          </w:p>
        </w:tc>
      </w:tr>
      <w:tr>
        <w:tc>
          <w:tcPr>
            <w:tcW w:type="dxa" w:w="5040"/>
            <w:tcBorders>
              <w:top w:val="single" w:sz="8" w:space="0" w:color="D8D1C4"/>
              <w:left w:val="single" w:sz="8" w:space="0" w:color="D8D1C4"/>
              <w:bottom w:val="single" w:sz="8" w:space="0" w:color="D8D1C4"/>
              <w:right w:val="single" w:sz="8" w:space="0" w:color="D8D1C4"/>
            </w:tcBorders>
            <w:shd w:fill="F6F1E8"/>
          </w:tcPr>
          <w:p>
            <w:r/>
            <w:r>
              <w:rPr>
                <w:rFonts w:ascii="Arial" w:hAnsi="Arial"/>
                <w:b/>
                <w:color w:val="252D3C"/>
                <w:sz w:val="16"/>
              </w:rPr>
              <w:t>Referenz</w:t>
            </w:r>
          </w:p>
        </w:tc>
        <w:tc>
          <w:tcPr>
            <w:tcW w:type="dxa" w:w="5040"/>
            <w:tcBorders>
              <w:top w:val="single" w:sz="8" w:space="0" w:color="D8D1C4"/>
              <w:left w:val="single" w:sz="8" w:space="0" w:color="D8D1C4"/>
              <w:bottom w:val="single" w:sz="8" w:space="0" w:color="D8D1C4"/>
              <w:right w:val="single" w:sz="8" w:space="0" w:color="D8D1C4"/>
            </w:tcBorders>
          </w:tcPr>
          <w:p>
            <w:r/>
            <w:r>
              <w:rPr>
                <w:rFonts w:ascii="Arial" w:hAnsi="Arial"/>
                <w:b w:val="0"/>
                <w:color w:val="252D3C"/>
                <w:sz w:val="16"/>
              </w:rPr>
              <w:t>Wirkungsökonomie</w:t>
            </w:r>
          </w:p>
        </w:tc>
      </w:tr>
      <w:tr>
        <w:tc>
          <w:tcPr>
            <w:tcW w:type="dxa" w:w="5040"/>
            <w:tcBorders>
              <w:top w:val="single" w:sz="8" w:space="0" w:color="D8D1C4"/>
              <w:left w:val="single" w:sz="8" w:space="0" w:color="D8D1C4"/>
              <w:bottom w:val="single" w:sz="8" w:space="0" w:color="D8D1C4"/>
              <w:right w:val="single" w:sz="8" w:space="0" w:color="D8D1C4"/>
            </w:tcBorders>
            <w:shd w:fill="F6F1E8"/>
          </w:tcPr>
          <w:p>
            <w:r/>
            <w:r>
              <w:rPr>
                <w:rFonts w:ascii="Arial" w:hAnsi="Arial"/>
                <w:b/>
                <w:color w:val="252D3C"/>
                <w:sz w:val="16"/>
              </w:rPr>
              <w:t>Version</w:t>
            </w:r>
          </w:p>
        </w:tc>
        <w:tc>
          <w:tcPr>
            <w:tcW w:type="dxa" w:w="5040"/>
            <w:tcBorders>
              <w:top w:val="single" w:sz="8" w:space="0" w:color="D8D1C4"/>
              <w:left w:val="single" w:sz="8" w:space="0" w:color="D8D1C4"/>
              <w:bottom w:val="single" w:sz="8" w:space="0" w:color="D8D1C4"/>
              <w:right w:val="single" w:sz="8" w:space="0" w:color="D8D1C4"/>
            </w:tcBorders>
          </w:tcPr>
          <w:p>
            <w:r/>
            <w:r>
              <w:rPr>
                <w:rFonts w:ascii="Arial" w:hAnsi="Arial"/>
                <w:b w:val="0"/>
                <w:color w:val="252D3C"/>
                <w:sz w:val="16"/>
              </w:rPr>
              <w:t>v0.1</w:t>
            </w:r>
          </w:p>
        </w:tc>
      </w:tr>
      <w:tr>
        <w:tc>
          <w:tcPr>
            <w:tcW w:type="dxa" w:w="5040"/>
            <w:tcBorders>
              <w:top w:val="single" w:sz="8" w:space="0" w:color="D8D1C4"/>
              <w:left w:val="single" w:sz="8" w:space="0" w:color="D8D1C4"/>
              <w:bottom w:val="single" w:sz="8" w:space="0" w:color="D8D1C4"/>
              <w:right w:val="single" w:sz="8" w:space="0" w:color="D8D1C4"/>
            </w:tcBorders>
            <w:shd w:fill="F6F1E8"/>
          </w:tcPr>
          <w:p>
            <w:r/>
            <w:r>
              <w:rPr>
                <w:rFonts w:ascii="Arial" w:hAnsi="Arial"/>
                <w:b/>
                <w:color w:val="252D3C"/>
                <w:sz w:val="16"/>
              </w:rPr>
              <w:t>Stand</w:t>
            </w:r>
          </w:p>
        </w:tc>
        <w:tc>
          <w:tcPr>
            <w:tcW w:type="dxa" w:w="5040"/>
            <w:tcBorders>
              <w:top w:val="single" w:sz="8" w:space="0" w:color="D8D1C4"/>
              <w:left w:val="single" w:sz="8" w:space="0" w:color="D8D1C4"/>
              <w:bottom w:val="single" w:sz="8" w:space="0" w:color="D8D1C4"/>
              <w:right w:val="single" w:sz="8" w:space="0" w:color="D8D1C4"/>
            </w:tcBorders>
          </w:tcPr>
          <w:p>
            <w:r/>
            <w:r>
              <w:rPr>
                <w:rFonts w:ascii="Arial" w:hAnsi="Arial"/>
                <w:b w:val="0"/>
                <w:color w:val="252D3C"/>
                <w:sz w:val="16"/>
              </w:rPr>
              <w:t>24. Mai 2026</w:t>
            </w:r>
          </w:p>
        </w:tc>
      </w:tr>
      <w:tr>
        <w:tc>
          <w:tcPr>
            <w:tcW w:type="dxa" w:w="5040"/>
            <w:tcBorders>
              <w:top w:val="single" w:sz="8" w:space="0" w:color="D8D1C4"/>
              <w:left w:val="single" w:sz="8" w:space="0" w:color="D8D1C4"/>
              <w:bottom w:val="single" w:sz="8" w:space="0" w:color="D8D1C4"/>
              <w:right w:val="single" w:sz="8" w:space="0" w:color="D8D1C4"/>
            </w:tcBorders>
            <w:shd w:fill="F6F1E8"/>
          </w:tcPr>
          <w:p>
            <w:r/>
            <w:r>
              <w:rPr>
                <w:rFonts w:ascii="Arial" w:hAnsi="Arial"/>
                <w:b/>
                <w:color w:val="252D3C"/>
                <w:sz w:val="16"/>
              </w:rPr>
              <w:t>Status</w:t>
            </w:r>
          </w:p>
        </w:tc>
        <w:tc>
          <w:tcPr>
            <w:tcW w:type="dxa" w:w="5040"/>
            <w:tcBorders>
              <w:top w:val="single" w:sz="8" w:space="0" w:color="D8D1C4"/>
              <w:left w:val="single" w:sz="8" w:space="0" w:color="D8D1C4"/>
              <w:bottom w:val="single" w:sz="8" w:space="0" w:color="D8D1C4"/>
              <w:right w:val="single" w:sz="8" w:space="0" w:color="D8D1C4"/>
            </w:tcBorders>
          </w:tcPr>
          <w:p>
            <w:r/>
            <w:r>
              <w:rPr>
                <w:rFonts w:ascii="Arial" w:hAnsi="Arial"/>
                <w:b w:val="0"/>
                <w:color w:val="252D3C"/>
                <w:sz w:val="16"/>
              </w:rPr>
              <w:t>Arbeitsfassung / Diskussionsfassung</w:t>
            </w:r>
          </w:p>
        </w:tc>
      </w:tr>
      <w:tr>
        <w:tc>
          <w:tcPr>
            <w:tcW w:type="dxa" w:w="5040"/>
            <w:tcBorders>
              <w:top w:val="single" w:sz="8" w:space="0" w:color="D8D1C4"/>
              <w:left w:val="single" w:sz="8" w:space="0" w:color="D8D1C4"/>
              <w:bottom w:val="single" w:sz="8" w:space="0" w:color="D8D1C4"/>
              <w:right w:val="single" w:sz="8" w:space="0" w:color="D8D1C4"/>
            </w:tcBorders>
            <w:shd w:fill="F6F1E8"/>
          </w:tcPr>
          <w:p>
            <w:r/>
            <w:r>
              <w:rPr>
                <w:rFonts w:ascii="Arial" w:hAnsi="Arial"/>
                <w:b/>
                <w:color w:val="252D3C"/>
                <w:sz w:val="16"/>
              </w:rPr>
              <w:t>Hinweis</w:t>
            </w:r>
          </w:p>
        </w:tc>
        <w:tc>
          <w:tcPr>
            <w:tcW w:type="dxa" w:w="5040"/>
            <w:tcBorders>
              <w:top w:val="single" w:sz="8" w:space="0" w:color="D8D1C4"/>
              <w:left w:val="single" w:sz="8" w:space="0" w:color="D8D1C4"/>
              <w:bottom w:val="single" w:sz="8" w:space="0" w:color="D8D1C4"/>
              <w:right w:val="single" w:sz="8" w:space="0" w:color="D8D1C4"/>
            </w:tcBorders>
          </w:tcPr>
          <w:p>
            <w:r/>
            <w:r>
              <w:rPr>
                <w:rFonts w:ascii="Arial" w:hAnsi="Arial"/>
                <w:b w:val="0"/>
                <w:color w:val="252D3C"/>
                <w:sz w:val="16"/>
              </w:rPr>
              <w:t>Arbeitsfassung für Konzept-, Website- und Dossierarchitektur; keine Rechts-, Steuer- oder Förderberatung.</w:t>
            </w:r>
          </w:p>
        </w:tc>
      </w:tr>
    </w:tbl>
    <w:p/>
    <w:p>
      <w:pPr>
        <w:pStyle w:val="Heading1"/>
      </w:pPr>
      <w:r>
        <w:t>Kernthese</w:t>
      </w:r>
    </w:p>
    <w:p>
      <w:pPr>
        <w:spacing w:after="100"/>
      </w:pPr>
      <w:r>
        <w:rPr>
          <w:rFonts w:ascii="Arial" w:hAnsi="Arial"/>
          <w:b w:val="0"/>
          <w:color w:val="252D3C"/>
          <w:sz w:val="19"/>
        </w:rPr>
        <w:t>Wohnwirkungsindex WIX-Wohn ist ein eigenständiger Unterbereich des Wirkungsfeldes Wohnen &amp; Stadt. Das Detailkonzept beschreibt die systemische Grundlogik: welche alte Steuerung versagt, welche Zustände verändert werden müssen und welche politischen sowie operativen Gestaltungsmöglichkeiten bestehen.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top w:val="single" w:sz="12" w:space="0" w:color="287D5C"/>
              <w:left w:val="single" w:sz="12" w:space="0" w:color="287D5C"/>
              <w:bottom w:val="single" w:sz="12" w:space="0" w:color="287D5C"/>
              <w:right w:val="single" w:sz="12" w:space="0" w:color="287D5C"/>
            </w:tcBorders>
            <w:shd w:fill="F6F1E8"/>
          </w:tcPr>
          <w:p>
            <w:r>
              <w:rPr>
                <w:rFonts w:ascii="Arial" w:hAnsi="Arial"/>
                <w:b/>
                <w:color w:val="287D5C"/>
                <w:sz w:val="18"/>
              </w:rPr>
              <w:t>Wirkungslogik</w:t>
              <w:br/>
            </w:r>
            <w:r>
              <w:rPr>
                <w:rFonts w:ascii="Arial" w:hAnsi="Arial"/>
                <w:color w:val="252D3C"/>
                <w:sz w:val="18"/>
              </w:rPr>
              <w:t>Indexlogik für Klima/Energie, Fairness/Miete und Sozial-/Quartierswirkung.</w:t>
            </w:r>
          </w:p>
        </w:tc>
      </w:tr>
    </w:tbl>
    <w:p/>
    <w:p>
      <w:pPr>
        <w:pStyle w:val="Heading1"/>
      </w:pPr>
      <w:r>
        <w:t>1. Alte Logik und Wirkungsdefizit</w:t>
      </w:r>
    </w:p>
    <w:p>
      <w:pPr>
        <w:spacing w:after="100"/>
      </w:pPr>
      <w:r>
        <w:rPr>
          <w:rFonts w:ascii="Arial" w:hAnsi="Arial"/>
          <w:b w:val="0"/>
          <w:color w:val="252D3C"/>
          <w:sz w:val="19"/>
        </w:rPr>
        <w:t>Die alte Logik behandelt diesen Bereich überwiegend über Kapital, Eigentum, Kosten, Zuständigkeit oder formale Regulierung. Dadurch bleiben zentrale Wirkungen unsichtbar: Belastung, Gesundheit, Verdrängung, Klimafolgen, Quartiersstabilität, Vertrauen, Pflegefähigkeit und soziale Bindung.</w:t>
      </w:r>
    </w:p>
    <w:p>
      <w:pPr>
        <w:pStyle w:val="Heading1"/>
      </w:pPr>
      <w:r>
        <w:t>2. Wirkungsökonomischer Perspektivwechsel</w:t>
      </w:r>
    </w:p>
    <w:p>
      <w:pPr>
        <w:spacing w:after="40"/>
        <w:ind w:left="317" w:hanging="202"/>
      </w:pPr>
      <w:r>
        <w:rPr>
          <w:rFonts w:ascii="Arial" w:hAnsi="Arial"/>
          <w:b/>
          <w:color w:val="287D5C"/>
        </w:rPr>
        <w:t xml:space="preserve">• </w:t>
      </w:r>
      <w:r>
        <w:rPr>
          <w:rFonts w:ascii="Arial" w:hAnsi="Arial"/>
          <w:color w:val="252D3C"/>
          <w:sz w:val="18"/>
        </w:rPr>
        <w:t>Wirkung wird als Zustandsveränderung verstanden, nicht als Absicht oder Image.</w:t>
      </w:r>
    </w:p>
    <w:p>
      <w:pPr>
        <w:spacing w:after="40"/>
        <w:ind w:left="317" w:hanging="202"/>
      </w:pPr>
      <w:r>
        <w:rPr>
          <w:rFonts w:ascii="Arial" w:hAnsi="Arial"/>
          <w:b/>
          <w:color w:val="287D5C"/>
        </w:rPr>
        <w:t xml:space="preserve">• </w:t>
      </w:r>
      <w:r>
        <w:rPr>
          <w:rFonts w:ascii="Arial" w:hAnsi="Arial"/>
          <w:color w:val="252D3C"/>
          <w:sz w:val="18"/>
        </w:rPr>
        <w:t>Bewertet wird am Referenzrahmen SDGs, Agenda 2030 und SDG+ sowie an Mensch, Planet und Demokratie.</w:t>
      </w:r>
    </w:p>
    <w:p>
      <w:pPr>
        <w:spacing w:after="40"/>
        <w:ind w:left="317" w:hanging="202"/>
      </w:pPr>
      <w:r>
        <w:rPr>
          <w:rFonts w:ascii="Arial" w:hAnsi="Arial"/>
          <w:b/>
          <w:color w:val="287D5C"/>
        </w:rPr>
        <w:t xml:space="preserve">• </w:t>
      </w:r>
      <w:r>
        <w:rPr>
          <w:rFonts w:ascii="Arial" w:hAnsi="Arial"/>
          <w:color w:val="252D3C"/>
          <w:sz w:val="18"/>
        </w:rPr>
        <w:t>Kapital bleibt Werkzeug, wird aber an Wohnwirkung rückgekoppelt.</w:t>
      </w:r>
    </w:p>
    <w:p>
      <w:pPr>
        <w:spacing w:after="40"/>
        <w:ind w:left="317" w:hanging="202"/>
      </w:pPr>
      <w:r>
        <w:rPr>
          <w:rFonts w:ascii="Arial" w:hAnsi="Arial"/>
          <w:b/>
          <w:color w:val="287D5C"/>
        </w:rPr>
        <w:t xml:space="preserve">• </w:t>
      </w:r>
      <w:r>
        <w:rPr>
          <w:rFonts w:ascii="Arial" w:hAnsi="Arial"/>
          <w:color w:val="252D3C"/>
          <w:sz w:val="18"/>
        </w:rPr>
        <w:t>Negative Wirkungen dürfen nicht durch positive Einzelwerte beliebig kompensiert werden.</w:t>
      </w:r>
    </w:p>
    <w:p>
      <w:pPr>
        <w:spacing w:after="40"/>
        <w:ind w:left="317" w:hanging="202"/>
      </w:pPr>
      <w:r>
        <w:rPr>
          <w:rFonts w:ascii="Arial" w:hAnsi="Arial"/>
          <w:b/>
          <w:color w:val="287D5C"/>
        </w:rPr>
        <w:t xml:space="preserve">• </w:t>
      </w:r>
      <w:r>
        <w:rPr>
          <w:rFonts w:ascii="Arial" w:hAnsi="Arial"/>
          <w:color w:val="252D3C"/>
          <w:sz w:val="18"/>
        </w:rPr>
        <w:t>Das Konzept dient nicht der Bewertung von Menschen, sondern der Bewertung von Strukturen, Gebäuden, Finanzierungslogiken, Regeln und Angeboten.</w:t>
      </w:r>
    </w:p>
    <w:p>
      <w:pPr>
        <w:pStyle w:val="Heading1"/>
      </w:pPr>
      <w:r>
        <w:t>3. Systemelemente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001832"/>
            <w:tcBorders>
              <w:top w:val="single" w:sz="8" w:space="0" w:color="001832"/>
              <w:left w:val="single" w:sz="8" w:space="0" w:color="001832"/>
              <w:bottom w:val="single" w:sz="8" w:space="0" w:color="001832"/>
              <w:right w:val="single" w:sz="8" w:space="0" w:color="001832"/>
            </w:tcBorders>
          </w:tcPr>
          <w:p>
            <w:r/>
            <w:r>
              <w:rPr>
                <w:rFonts w:ascii="Arial" w:hAnsi="Arial"/>
                <w:b/>
                <w:color w:val="FFFFFF"/>
                <w:sz w:val="15"/>
              </w:rPr>
              <w:t>Element</w:t>
            </w:r>
          </w:p>
        </w:tc>
        <w:tc>
          <w:tcPr>
            <w:tcW w:type="dxa" w:w="3360"/>
            <w:shd w:fill="001832"/>
            <w:tcBorders>
              <w:top w:val="single" w:sz="8" w:space="0" w:color="001832"/>
              <w:left w:val="single" w:sz="8" w:space="0" w:color="001832"/>
              <w:bottom w:val="single" w:sz="8" w:space="0" w:color="001832"/>
              <w:right w:val="single" w:sz="8" w:space="0" w:color="001832"/>
            </w:tcBorders>
          </w:tcPr>
          <w:p>
            <w:r/>
            <w:r>
              <w:rPr>
                <w:rFonts w:ascii="Arial" w:hAnsi="Arial"/>
                <w:b/>
                <w:color w:val="FFFFFF"/>
                <w:sz w:val="15"/>
              </w:rPr>
              <w:t>Funktion</w:t>
            </w:r>
          </w:p>
        </w:tc>
        <w:tc>
          <w:tcPr>
            <w:tcW w:type="dxa" w:w="3360"/>
            <w:shd w:fill="001832"/>
            <w:tcBorders>
              <w:top w:val="single" w:sz="8" w:space="0" w:color="001832"/>
              <w:left w:val="single" w:sz="8" w:space="0" w:color="001832"/>
              <w:bottom w:val="single" w:sz="8" w:space="0" w:color="001832"/>
              <w:right w:val="single" w:sz="8" w:space="0" w:color="001832"/>
            </w:tcBorders>
          </w:tcPr>
          <w:p>
            <w:r/>
            <w:r>
              <w:rPr>
                <w:rFonts w:ascii="Arial" w:hAnsi="Arial"/>
                <w:b/>
                <w:color w:val="FFFFFF"/>
                <w:sz w:val="15"/>
              </w:rPr>
              <w:t>Beispiel</w:t>
            </w:r>
          </w:p>
        </w:tc>
      </w:tr>
      <w:tr>
        <w:tc>
          <w:tcPr>
            <w:tcW w:type="dxa" w:w="3360"/>
            <w:tcBorders>
              <w:top w:val="single" w:sz="8" w:space="0" w:color="D8D1C4"/>
              <w:left w:val="single" w:sz="8" w:space="0" w:color="D8D1C4"/>
              <w:bottom w:val="single" w:sz="8" w:space="0" w:color="D8D1C4"/>
              <w:right w:val="single" w:sz="8" w:space="0" w:color="D8D1C4"/>
            </w:tcBorders>
          </w:tcPr>
          <w:p>
            <w:r/>
            <w:r>
              <w:rPr>
                <w:rFonts w:ascii="Arial" w:hAnsi="Arial"/>
                <w:b w:val="0"/>
                <w:color w:val="252D3C"/>
                <w:sz w:val="15"/>
              </w:rPr>
              <w:t>Indikatoren</w:t>
            </w:r>
          </w:p>
        </w:tc>
        <w:tc>
          <w:tcPr>
            <w:tcW w:type="dxa" w:w="3360"/>
            <w:tcBorders>
              <w:top w:val="single" w:sz="8" w:space="0" w:color="D8D1C4"/>
              <w:left w:val="single" w:sz="8" w:space="0" w:color="D8D1C4"/>
              <w:bottom w:val="single" w:sz="8" w:space="0" w:color="D8D1C4"/>
              <w:right w:val="single" w:sz="8" w:space="0" w:color="D8D1C4"/>
            </w:tcBorders>
          </w:tcPr>
          <w:p>
            <w:r/>
            <w:r>
              <w:rPr>
                <w:rFonts w:ascii="Arial" w:hAnsi="Arial"/>
                <w:b w:val="0"/>
                <w:color w:val="252D3C"/>
                <w:sz w:val="15"/>
              </w:rPr>
              <w:t>Zustände sichtbar machen</w:t>
            </w:r>
          </w:p>
        </w:tc>
        <w:tc>
          <w:tcPr>
            <w:tcW w:type="dxa" w:w="3360"/>
            <w:tcBorders>
              <w:top w:val="single" w:sz="8" w:space="0" w:color="D8D1C4"/>
              <w:left w:val="single" w:sz="8" w:space="0" w:color="D8D1C4"/>
              <w:bottom w:val="single" w:sz="8" w:space="0" w:color="D8D1C4"/>
              <w:right w:val="single" w:sz="8" w:space="0" w:color="D8D1C4"/>
            </w:tcBorders>
          </w:tcPr>
          <w:p>
            <w:r/>
            <w:r>
              <w:rPr>
                <w:rFonts w:ascii="Arial" w:hAnsi="Arial"/>
                <w:b w:val="0"/>
                <w:color w:val="252D3C"/>
                <w:sz w:val="15"/>
              </w:rPr>
              <w:t>Mietbelastung, Endenergie, Schimmel, Barrierefreiheit</w:t>
            </w:r>
          </w:p>
        </w:tc>
      </w:tr>
      <w:tr>
        <w:tc>
          <w:tcPr>
            <w:tcW w:type="dxa" w:w="3360"/>
            <w:tcBorders>
              <w:top w:val="single" w:sz="8" w:space="0" w:color="D8D1C4"/>
              <w:left w:val="single" w:sz="8" w:space="0" w:color="D8D1C4"/>
              <w:bottom w:val="single" w:sz="8" w:space="0" w:color="D8D1C4"/>
              <w:right w:val="single" w:sz="8" w:space="0" w:color="D8D1C4"/>
            </w:tcBorders>
          </w:tcPr>
          <w:p>
            <w:r/>
            <w:r>
              <w:rPr>
                <w:rFonts w:ascii="Arial" w:hAnsi="Arial"/>
                <w:b w:val="0"/>
                <w:color w:val="252D3C"/>
                <w:sz w:val="15"/>
              </w:rPr>
              <w:t>Scorecards</w:t>
            </w:r>
          </w:p>
        </w:tc>
        <w:tc>
          <w:tcPr>
            <w:tcW w:type="dxa" w:w="3360"/>
            <w:tcBorders>
              <w:top w:val="single" w:sz="8" w:space="0" w:color="D8D1C4"/>
              <w:left w:val="single" w:sz="8" w:space="0" w:color="D8D1C4"/>
              <w:bottom w:val="single" w:sz="8" w:space="0" w:color="D8D1C4"/>
              <w:right w:val="single" w:sz="8" w:space="0" w:color="D8D1C4"/>
            </w:tcBorders>
          </w:tcPr>
          <w:p>
            <w:r/>
            <w:r>
              <w:rPr>
                <w:rFonts w:ascii="Arial" w:hAnsi="Arial"/>
                <w:b w:val="0"/>
                <w:color w:val="252D3C"/>
                <w:sz w:val="15"/>
              </w:rPr>
              <w:t>Indikatoren vergleichbar machen</w:t>
            </w:r>
          </w:p>
        </w:tc>
        <w:tc>
          <w:tcPr>
            <w:tcW w:type="dxa" w:w="3360"/>
            <w:tcBorders>
              <w:top w:val="single" w:sz="8" w:space="0" w:color="D8D1C4"/>
              <w:left w:val="single" w:sz="8" w:space="0" w:color="D8D1C4"/>
              <w:bottom w:val="single" w:sz="8" w:space="0" w:color="D8D1C4"/>
              <w:right w:val="single" w:sz="8" w:space="0" w:color="D8D1C4"/>
            </w:tcBorders>
          </w:tcPr>
          <w:p>
            <w:r/>
            <w:r>
              <w:rPr>
                <w:rFonts w:ascii="Arial" w:hAnsi="Arial"/>
                <w:b w:val="0"/>
                <w:color w:val="252D3C"/>
                <w:sz w:val="15"/>
              </w:rPr>
              <w:t>Skala –3 bis +3</w:t>
            </w:r>
          </w:p>
        </w:tc>
      </w:tr>
      <w:tr>
        <w:tc>
          <w:tcPr>
            <w:tcW w:type="dxa" w:w="3360"/>
            <w:tcBorders>
              <w:top w:val="single" w:sz="8" w:space="0" w:color="D8D1C4"/>
              <w:left w:val="single" w:sz="8" w:space="0" w:color="D8D1C4"/>
              <w:bottom w:val="single" w:sz="8" w:space="0" w:color="D8D1C4"/>
              <w:right w:val="single" w:sz="8" w:space="0" w:color="D8D1C4"/>
            </w:tcBorders>
          </w:tcPr>
          <w:p>
            <w:r/>
            <w:r>
              <w:rPr>
                <w:rFonts w:ascii="Arial" w:hAnsi="Arial"/>
                <w:b w:val="0"/>
                <w:color w:val="252D3C"/>
                <w:sz w:val="15"/>
              </w:rPr>
              <w:t>WIX-Wohn</w:t>
            </w:r>
          </w:p>
        </w:tc>
        <w:tc>
          <w:tcPr>
            <w:tcW w:type="dxa" w:w="3360"/>
            <w:tcBorders>
              <w:top w:val="single" w:sz="8" w:space="0" w:color="D8D1C4"/>
              <w:left w:val="single" w:sz="8" w:space="0" w:color="D8D1C4"/>
              <w:bottom w:val="single" w:sz="8" w:space="0" w:color="D8D1C4"/>
              <w:right w:val="single" w:sz="8" w:space="0" w:color="D8D1C4"/>
            </w:tcBorders>
          </w:tcPr>
          <w:p>
            <w:r/>
            <w:r>
              <w:rPr>
                <w:rFonts w:ascii="Arial" w:hAnsi="Arial"/>
                <w:b w:val="0"/>
                <w:color w:val="252D3C"/>
                <w:sz w:val="15"/>
              </w:rPr>
              <w:t>Teilwirkungen bündeln</w:t>
            </w:r>
          </w:p>
        </w:tc>
        <w:tc>
          <w:tcPr>
            <w:tcW w:type="dxa" w:w="3360"/>
            <w:tcBorders>
              <w:top w:val="single" w:sz="8" w:space="0" w:color="D8D1C4"/>
              <w:left w:val="single" w:sz="8" w:space="0" w:color="D8D1C4"/>
              <w:bottom w:val="single" w:sz="8" w:space="0" w:color="D8D1C4"/>
              <w:right w:val="single" w:sz="8" w:space="0" w:color="D8D1C4"/>
            </w:tcBorders>
          </w:tcPr>
          <w:p>
            <w:r/>
            <w:r>
              <w:rPr>
                <w:rFonts w:ascii="Arial" w:hAnsi="Arial"/>
                <w:b w:val="0"/>
                <w:color w:val="252D3C"/>
                <w:sz w:val="15"/>
              </w:rPr>
              <w:t>Klima/Energie, Miete, Sozialraum</w:t>
            </w:r>
          </w:p>
        </w:tc>
      </w:tr>
      <w:tr>
        <w:tc>
          <w:tcPr>
            <w:tcW w:type="dxa" w:w="3360"/>
            <w:tcBorders>
              <w:top w:val="single" w:sz="8" w:space="0" w:color="D8D1C4"/>
              <w:left w:val="single" w:sz="8" w:space="0" w:color="D8D1C4"/>
              <w:bottom w:val="single" w:sz="8" w:space="0" w:color="D8D1C4"/>
              <w:right w:val="single" w:sz="8" w:space="0" w:color="D8D1C4"/>
            </w:tcBorders>
          </w:tcPr>
          <w:p>
            <w:r/>
            <w:r>
              <w:rPr>
                <w:rFonts w:ascii="Arial" w:hAnsi="Arial"/>
                <w:b w:val="0"/>
                <w:color w:val="252D3C"/>
                <w:sz w:val="15"/>
              </w:rPr>
              <w:t>Politische Schwellen</w:t>
            </w:r>
          </w:p>
        </w:tc>
        <w:tc>
          <w:tcPr>
            <w:tcW w:type="dxa" w:w="3360"/>
            <w:tcBorders>
              <w:top w:val="single" w:sz="8" w:space="0" w:color="D8D1C4"/>
              <w:left w:val="single" w:sz="8" w:space="0" w:color="D8D1C4"/>
              <w:bottom w:val="single" w:sz="8" w:space="0" w:color="D8D1C4"/>
              <w:right w:val="single" w:sz="8" w:space="0" w:color="D8D1C4"/>
            </w:tcBorders>
          </w:tcPr>
          <w:p>
            <w:r/>
            <w:r>
              <w:rPr>
                <w:rFonts w:ascii="Arial" w:hAnsi="Arial"/>
                <w:b w:val="0"/>
                <w:color w:val="252D3C"/>
                <w:sz w:val="15"/>
              </w:rPr>
              <w:t>Ausgestaltung ermöglichen</w:t>
            </w:r>
          </w:p>
        </w:tc>
        <w:tc>
          <w:tcPr>
            <w:tcW w:type="dxa" w:w="3360"/>
            <w:tcBorders>
              <w:top w:val="single" w:sz="8" w:space="0" w:color="D8D1C4"/>
              <w:left w:val="single" w:sz="8" w:space="0" w:color="D8D1C4"/>
              <w:bottom w:val="single" w:sz="8" w:space="0" w:color="D8D1C4"/>
              <w:right w:val="single" w:sz="8" w:space="0" w:color="D8D1C4"/>
            </w:tcBorders>
          </w:tcPr>
          <w:p>
            <w:r/>
            <w:r>
              <w:rPr>
                <w:rFonts w:ascii="Arial" w:hAnsi="Arial"/>
                <w:b w:val="0"/>
                <w:color w:val="252D3C"/>
                <w:sz w:val="15"/>
              </w:rPr>
              <w:t>Härtefallgrenzen, Förderhöhen, Übergänge</w:t>
            </w:r>
          </w:p>
        </w:tc>
      </w:tr>
      <w:tr>
        <w:tc>
          <w:tcPr>
            <w:tcW w:type="dxa" w:w="3360"/>
            <w:tcBorders>
              <w:top w:val="single" w:sz="8" w:space="0" w:color="D8D1C4"/>
              <w:left w:val="single" w:sz="8" w:space="0" w:color="D8D1C4"/>
              <w:bottom w:val="single" w:sz="8" w:space="0" w:color="D8D1C4"/>
              <w:right w:val="single" w:sz="8" w:space="0" w:color="D8D1C4"/>
            </w:tcBorders>
          </w:tcPr>
          <w:p>
            <w:r/>
            <w:r>
              <w:rPr>
                <w:rFonts w:ascii="Arial" w:hAnsi="Arial"/>
                <w:b w:val="0"/>
                <w:color w:val="252D3C"/>
                <w:sz w:val="15"/>
              </w:rPr>
              <w:t>Dossier &amp; Tool</w:t>
            </w:r>
          </w:p>
        </w:tc>
        <w:tc>
          <w:tcPr>
            <w:tcW w:type="dxa" w:w="3360"/>
            <w:tcBorders>
              <w:top w:val="single" w:sz="8" w:space="0" w:color="D8D1C4"/>
              <w:left w:val="single" w:sz="8" w:space="0" w:color="D8D1C4"/>
              <w:bottom w:val="single" w:sz="8" w:space="0" w:color="D8D1C4"/>
              <w:right w:val="single" w:sz="8" w:space="0" w:color="D8D1C4"/>
            </w:tcBorders>
          </w:tcPr>
          <w:p>
            <w:r/>
            <w:r>
              <w:rPr>
                <w:rFonts w:ascii="Arial" w:hAnsi="Arial"/>
                <w:b w:val="0"/>
                <w:color w:val="252D3C"/>
                <w:sz w:val="15"/>
              </w:rPr>
              <w:t>Anwendbarkeit sichern</w:t>
            </w:r>
          </w:p>
        </w:tc>
        <w:tc>
          <w:tcPr>
            <w:tcW w:type="dxa" w:w="3360"/>
            <w:tcBorders>
              <w:top w:val="single" w:sz="8" w:space="0" w:color="D8D1C4"/>
              <w:left w:val="single" w:sz="8" w:space="0" w:color="D8D1C4"/>
              <w:bottom w:val="single" w:sz="8" w:space="0" w:color="D8D1C4"/>
              <w:right w:val="single" w:sz="8" w:space="0" w:color="D8D1C4"/>
            </w:tcBorders>
          </w:tcPr>
          <w:p>
            <w:r/>
            <w:r>
              <w:rPr>
                <w:rFonts w:ascii="Arial" w:hAnsi="Arial"/>
                <w:b w:val="0"/>
                <w:color w:val="252D3C"/>
                <w:sz w:val="15"/>
              </w:rPr>
              <w:t>Rechner, Beispiele, Datenquellen</w:t>
            </w:r>
          </w:p>
        </w:tc>
      </w:tr>
    </w:tbl>
    <w:p/>
    <w:p>
      <w:pPr>
        <w:pStyle w:val="Heading2"/>
      </w:pPr>
      <w:r>
        <w:t>Politische Anschlussfähigkeit und Ausgestaltungsspielraum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top w:val="single" w:sz="12" w:space="0" w:color="C89B3C"/>
              <w:left w:val="single" w:sz="12" w:space="0" w:color="C89B3C"/>
              <w:bottom w:val="single" w:sz="12" w:space="0" w:color="C89B3C"/>
              <w:right w:val="single" w:sz="12" w:space="0" w:color="C89B3C"/>
            </w:tcBorders>
            <w:shd w:fill="F6F1E8"/>
          </w:tcPr>
          <w:p>
            <w:r>
              <w:rPr>
                <w:rFonts w:ascii="Arial" w:hAnsi="Arial"/>
                <w:b/>
                <w:color w:val="C89B3C"/>
                <w:sz w:val="18"/>
              </w:rPr>
              <w:t>Kernprinzip</w:t>
              <w:br/>
            </w:r>
            <w:r>
              <w:rPr>
                <w:rFonts w:ascii="Arial" w:hAnsi="Arial"/>
                <w:color w:val="252D3C"/>
                <w:sz w:val="18"/>
              </w:rPr>
              <w:t>Die Wirkungsökonomie ersetzt politischen Diskurs nicht. Sie macht Wirkungen, Zielkonflikte, Verteilungsfragen und Risiken sichtbar, damit demokratische Parteien unterschiedliche Ausgestaltungen begründen und vergleichen können.</w:t>
            </w:r>
          </w:p>
        </w:tc>
      </w:tr>
    </w:tbl>
    <w:p/>
    <w:p>
      <w:pPr>
        <w:spacing w:after="40"/>
        <w:ind w:left="317" w:hanging="202"/>
      </w:pPr>
      <w:r>
        <w:rPr>
          <w:rFonts w:ascii="Arial" w:hAnsi="Arial"/>
          <w:b/>
          <w:color w:val="287D5C"/>
        </w:rPr>
        <w:t xml:space="preserve">• </w:t>
      </w:r>
      <w:r>
        <w:rPr>
          <w:rFonts w:ascii="Arial" w:hAnsi="Arial"/>
          <w:color w:val="252D3C"/>
          <w:sz w:val="18"/>
        </w:rPr>
        <w:t>Aufgabe der Politik ist die Festlegung von Zielkorridoren, Schutzgrenzen, Übergangsfristen, sozialer Abfederung, Zuständigkeiten und Prüfverfahren.</w:t>
      </w:r>
    </w:p>
    <w:p>
      <w:pPr>
        <w:spacing w:after="40"/>
        <w:ind w:left="317" w:hanging="202"/>
      </w:pPr>
      <w:r>
        <w:rPr>
          <w:rFonts w:ascii="Arial" w:hAnsi="Arial"/>
          <w:b/>
          <w:color w:val="287D5C"/>
        </w:rPr>
        <w:t xml:space="preserve">• </w:t>
      </w:r>
      <w:r>
        <w:rPr>
          <w:rFonts w:ascii="Arial" w:hAnsi="Arial"/>
          <w:color w:val="252D3C"/>
          <w:sz w:val="18"/>
        </w:rPr>
        <w:t>Parteien können unterschiedliche Schwerpunkte setzen: mehr Marktanreize, stärkere öffentliche Förderung, kommunale Wohnungswirtschaft, Eigentumsförderung, Mieterschutz, Neubau, Bestandssanierung oder Bodenpolitik.</w:t>
      </w:r>
    </w:p>
    <w:p>
      <w:pPr>
        <w:spacing w:after="40"/>
        <w:ind w:left="317" w:hanging="202"/>
      </w:pPr>
      <w:r>
        <w:rPr>
          <w:rFonts w:ascii="Arial" w:hAnsi="Arial"/>
          <w:b/>
          <w:color w:val="287D5C"/>
        </w:rPr>
        <w:t xml:space="preserve">• </w:t>
      </w:r>
      <w:r>
        <w:rPr>
          <w:rFonts w:ascii="Arial" w:hAnsi="Arial"/>
          <w:color w:val="252D3C"/>
          <w:sz w:val="18"/>
        </w:rPr>
        <w:t>Der verbindende Rahmen ist nicht ein einziges „wahres“ Modell, sondern Transparenz über Wirkungen auf Bezahlbarkeit, Gesundheit, Klima, Teilhabe, Eigentumsfreiheit, Investitionsfähigkeit und demokratisches Vertrauen.</w:t>
      </w:r>
    </w:p>
    <w:p>
      <w:pPr>
        <w:spacing w:after="40"/>
        <w:ind w:left="317" w:hanging="202"/>
      </w:pPr>
      <w:r>
        <w:rPr>
          <w:rFonts w:ascii="Arial" w:hAnsi="Arial"/>
          <w:b/>
          <w:color w:val="287D5C"/>
        </w:rPr>
        <w:t xml:space="preserve">• </w:t>
      </w:r>
      <w:r>
        <w:rPr>
          <w:rFonts w:ascii="Arial" w:hAnsi="Arial"/>
          <w:color w:val="252D3C"/>
          <w:sz w:val="18"/>
        </w:rPr>
        <w:t>Politische Umsetzung braucht Piloträume, Evaluation, Rechts- und Datenschutzprüfung, Beteiligung von Mieter:innen, Eigentümer:innen, Kommunen, Bauwirtschaft und Zivilgesellschaft.</w:t>
      </w:r>
    </w:p>
    <w:p>
      <w:pPr>
        <w:spacing w:after="40"/>
        <w:ind w:left="317" w:hanging="202"/>
      </w:pPr>
      <w:r>
        <w:rPr>
          <w:rFonts w:ascii="Arial" w:hAnsi="Arial"/>
          <w:b/>
          <w:color w:val="287D5C"/>
        </w:rPr>
        <w:t xml:space="preserve">• </w:t>
      </w:r>
      <w:r>
        <w:rPr>
          <w:rFonts w:ascii="Arial" w:hAnsi="Arial"/>
          <w:color w:val="252D3C"/>
          <w:sz w:val="18"/>
        </w:rPr>
        <w:t>Jede Seite im Portal muss deshalb nicht nur ein Konzept erklären, sondern auch politische Aufgaben, Entscheidungsoptionen, Zielkonflikte und demokratische Gestaltungsspielräume sichtbar machen.</w:t>
      </w:r>
    </w:p>
    <w:p>
      <w:pPr>
        <w:pStyle w:val="Heading1"/>
      </w:pPr>
      <w:r>
        <w:t>4. Online-Umsetzung</w:t>
      </w:r>
    </w:p>
    <w:p>
      <w:pPr>
        <w:spacing w:after="40"/>
        <w:ind w:left="317" w:hanging="202"/>
      </w:pPr>
      <w:r>
        <w:rPr>
          <w:rFonts w:ascii="Arial" w:hAnsi="Arial"/>
          <w:b/>
          <w:color w:val="287D5C"/>
        </w:rPr>
        <w:t xml:space="preserve">• </w:t>
      </w:r>
      <w:r>
        <w:rPr>
          <w:rFonts w:ascii="Arial" w:hAnsi="Arial"/>
          <w:color w:val="252D3C"/>
          <w:sz w:val="18"/>
        </w:rPr>
        <w:t>Detailseite: /wirkungsfelder/wohnen-stadt/detailkonzepte/wohnwirkungsindex_wix/</w:t>
      </w:r>
    </w:p>
    <w:p>
      <w:pPr>
        <w:spacing w:after="40"/>
        <w:ind w:left="317" w:hanging="202"/>
      </w:pPr>
      <w:r>
        <w:rPr>
          <w:rFonts w:ascii="Arial" w:hAnsi="Arial"/>
          <w:b/>
          <w:color w:val="287D5C"/>
        </w:rPr>
        <w:t xml:space="preserve">• </w:t>
      </w:r>
      <w:r>
        <w:rPr>
          <w:rFonts w:ascii="Arial" w:hAnsi="Arial"/>
          <w:color w:val="252D3C"/>
          <w:sz w:val="18"/>
        </w:rPr>
        <w:t>Dossierseite: /wirkungsfelder/wohnen-stadt/dossiers/wohnwirkungsindex_wix/</w:t>
      </w:r>
    </w:p>
    <w:p>
      <w:pPr>
        <w:spacing w:after="40"/>
        <w:ind w:left="317" w:hanging="202"/>
      </w:pPr>
      <w:r>
        <w:rPr>
          <w:rFonts w:ascii="Arial" w:hAnsi="Arial"/>
          <w:b/>
          <w:color w:val="287D5C"/>
        </w:rPr>
        <w:t xml:space="preserve">• </w:t>
      </w:r>
      <w:r>
        <w:rPr>
          <w:rFonts w:ascii="Arial" w:hAnsi="Arial"/>
          <w:color w:val="252D3C"/>
          <w:sz w:val="18"/>
        </w:rPr>
        <w:t>Kontext-Werkzeuge: Wohnwirkungsrechner, WIX-Wohn, Sozialraumprofil, SDGRef, ToolRef, Dossier-Export.</w:t>
      </w:r>
    </w:p>
    <w:p>
      <w:pPr>
        <w:spacing w:after="40"/>
        <w:ind w:left="317" w:hanging="202"/>
      </w:pPr>
      <w:r>
        <w:rPr>
          <w:rFonts w:ascii="Arial" w:hAnsi="Arial"/>
          <w:b/>
          <w:color w:val="287D5C"/>
        </w:rPr>
        <w:t xml:space="preserve">• </w:t>
      </w:r>
      <w:r>
        <w:rPr>
          <w:rFonts w:ascii="Arial" w:hAnsi="Arial"/>
          <w:color w:val="252D3C"/>
          <w:sz w:val="18"/>
        </w:rPr>
        <w:t>Download: Word/PDF ergänzend; Online-Volltext bleibt Hauptzugang.</w:t>
      </w:r>
    </w:p>
    <w:p>
      <w:pPr>
        <w:pStyle w:val="Heading2"/>
      </w:pPr>
      <w:r>
        <w:t>Quellen- und Datenbasis</w:t>
      </w:r>
    </w:p>
    <w:p>
      <w:pPr>
        <w:spacing w:after="100"/>
      </w:pPr>
      <w:r>
        <w:rPr>
          <w:rFonts w:ascii="Arial" w:hAnsi="Arial"/>
          <w:b w:val="0"/>
          <w:color w:val="252D3C"/>
          <w:sz w:val="19"/>
        </w:rPr>
        <w:t>Die folgenden Quellen dienen als Ausgangspunkt für die Online-Fassung, die Berechnungsbeispiele und die politische Anschlussfähigkeit. Modellwerte sind als Arbeitsannahmen gekennzeichnet und ersetzen keine amtliche Berechnung.</w:t>
      </w:r>
    </w:p>
    <w:p>
      <w:r>
        <w:rPr>
          <w:rFonts w:ascii="Arial" w:hAnsi="Arial"/>
          <w:color w:val="252D3C"/>
          <w:sz w:val="17"/>
        </w:rPr>
        <w:t xml:space="preserve">• Destatis: Wohnen in Deutschland: </w:t>
      </w:r>
      <w:hyperlink r:id="rId12">
        <w:r>
          <w:rPr>
            <w:color w:val="287D5C"/>
            <w:u w:val="single"/>
          </w:rPr>
          <w:t>https://www.destatis.de/DE/Themen/Gesellschaft-Umwelt/Wohnen/_inhalt.html</w:t>
        </w:r>
      </w:hyperlink>
    </w:p>
    <w:p>
      <w:r>
        <w:rPr>
          <w:rFonts w:ascii="Arial" w:hAnsi="Arial"/>
          <w:color w:val="252D3C"/>
          <w:sz w:val="17"/>
        </w:rPr>
        <w:t xml:space="preserve">• Destatis/Eurostat: Wohnkostenüberbelastung 2025: </w:t>
      </w:r>
      <w:hyperlink r:id="rId13">
        <w:r>
          <w:rPr>
            <w:color w:val="287D5C"/>
            <w:u w:val="single"/>
          </w:rPr>
          <w:t>https://www.destatis.de/Europa/DE/Thema/Bevoelkerung-Arbeit-Soziales/Soziales-Lebensbedingungen/Wohnkosten.html</w:t>
        </w:r>
      </w:hyperlink>
    </w:p>
    <w:p>
      <w:r>
        <w:rPr>
          <w:rFonts w:ascii="Arial" w:hAnsi="Arial"/>
          <w:color w:val="252D3C"/>
          <w:sz w:val="17"/>
        </w:rPr>
        <w:t xml:space="preserve">• BBSR: Wohnungsbedarfsprognose 2025: </w:t>
      </w:r>
      <w:hyperlink r:id="rId14">
        <w:r>
          <w:rPr>
            <w:color w:val="287D5C"/>
            <w:u w:val="single"/>
          </w:rPr>
          <w:t>https://www.bbsr.bund.de/BBSR/DE/presse/presseinformationen/2025/wohnungsbedarfsprognose.html</w:t>
        </w:r>
      </w:hyperlink>
    </w:p>
    <w:p>
      <w:r>
        <w:rPr>
          <w:rFonts w:ascii="Arial" w:hAnsi="Arial"/>
          <w:color w:val="252D3C"/>
          <w:sz w:val="17"/>
        </w:rPr>
        <w:t xml:space="preserve">• Umweltbundesamt: Emissionsdaten 2024 – Gebäude: </w:t>
      </w:r>
      <w:hyperlink r:id="rId15">
        <w:r>
          <w:rPr>
            <w:color w:val="287D5C"/>
            <w:u w:val="single"/>
          </w:rPr>
          <w:t>https://www.umweltbundesamt.de/system/files?file=medien/11867/dokumente/emissionsdaten_2024_-_pressehintergrundinformationen.pdf</w:t>
        </w:r>
      </w:hyperlink>
    </w:p>
    <w:p>
      <w:r>
        <w:rPr>
          <w:rFonts w:ascii="Arial" w:hAnsi="Arial"/>
          <w:color w:val="252D3C"/>
          <w:sz w:val="17"/>
        </w:rPr>
        <w:t xml:space="preserve">• Europäische Kommission: Energy Performance of Buildings Directive: </w:t>
      </w:r>
      <w:hyperlink r:id="rId16">
        <w:r>
          <w:rPr>
            <w:color w:val="287D5C"/>
            <w:u w:val="single"/>
          </w:rPr>
          <w:t>https://energy.ec.europa.eu/topics/energy-efficiency/energy-performance-buildings/energy-performance-buildings-directive_en</w:t>
        </w:r>
      </w:hyperlink>
    </w:p>
    <w:p>
      <w:r>
        <w:rPr>
          <w:rFonts w:ascii="Arial" w:hAnsi="Arial"/>
          <w:color w:val="252D3C"/>
          <w:sz w:val="17"/>
        </w:rPr>
        <w:t xml:space="preserve">• Interne WÖk-Basis: Working-Paper Wohnungsmarkt, Systemmodell, Buchfassung 2026, Begriffsleitfaden: </w:t>
      </w:r>
      <w:r>
        <w:rPr>
          <w:rFonts w:ascii="Arial" w:hAnsi="Arial"/>
          <w:color w:val="6F6F6F"/>
          <w:sz w:val="17"/>
        </w:rPr>
        <w:t>/werkstatt/arbeitsbibliothek/wirkungsfelder/wohnen-stadt/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08" w:left="1080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F6F6F"/>
        <w:sz w:val="14"/>
      </w:rPr>
      <w:t>© Natalie Weber · Wirkungsökonomie · v0.1 · Arbeitsfassung / Diskussionsfassung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Georgia" w:hAnsi="Georgia"/>
        <w:b/>
        <w:color w:val="001832"/>
        <w:sz w:val="18"/>
      </w:rPr>
      <w:t>WIRKUNGSÖKONOMIE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52D3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eorgia" w:hAnsi="Georgia"/>
      <w:b/>
      <w:bCs/>
      <w:color w:val="001832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eorgia" w:hAnsi="Georgia"/>
      <w:b/>
      <w:bCs/>
      <w:color w:val="001832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eorgia" w:hAnsi="Georgia"/>
      <w:b/>
      <w:bCs/>
      <w:color w:val="001832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Georgia" w:hAnsi="Georgia"/>
      <w:b/>
      <w:color w:val="001832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yperlink" Target="https://www.destatis.de/DE/Themen/Gesellschaft-Umwelt/Wohnen/_inhalt.html" TargetMode="External"/><Relationship Id="rId13" Type="http://schemas.openxmlformats.org/officeDocument/2006/relationships/hyperlink" Target="https://www.destatis.de/Europa/DE/Thema/Bevoelkerung-Arbeit-Soziales/Soziales-Lebensbedingungen/Wohnkosten.html" TargetMode="External"/><Relationship Id="rId14" Type="http://schemas.openxmlformats.org/officeDocument/2006/relationships/hyperlink" Target="https://www.bbsr.bund.de/BBSR/DE/presse/presseinformationen/2025/wohnungsbedarfsprognose.html" TargetMode="External"/><Relationship Id="rId15" Type="http://schemas.openxmlformats.org/officeDocument/2006/relationships/hyperlink" Target="https://www.umweltbundesamt.de/system/files?file=medien/11867/dokumente/emissionsdaten_2024_-_pressehintergrundinformationen.pdf" TargetMode="External"/><Relationship Id="rId16" Type="http://schemas.openxmlformats.org/officeDocument/2006/relationships/hyperlink" Target="https://energy.ec.europa.eu/topics/energy-efficiency/energy-performance-buildings/energy-performance-buildings-directive_e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