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68000" cy="1478400"/>
            <wp:docPr id="1" name="Picture 1"/>
            <wp:cNvGraphicFramePr>
              <a:graphicFrameLocks noChangeAspect="1"/>
            </wp:cNvGraphicFramePr>
            <a:graphic>
              <a:graphicData uri="http://schemas.openxmlformats.org/drawingml/2006/picture">
                <pic:pic>
                  <pic:nvPicPr>
                    <pic:cNvPr id="0" name="woek_logo_word.png"/>
                    <pic:cNvPicPr/>
                  </pic:nvPicPr>
                  <pic:blipFill>
                    <a:blip r:embed="rId11"/>
                    <a:stretch>
                      <a:fillRect/>
                    </a:stretch>
                  </pic:blipFill>
                  <pic:spPr>
                    <a:xfrm>
                      <a:off x="0" y="0"/>
                      <a:ext cx="3168000" cy="1478400"/>
                    </a:xfrm>
                    <a:prstGeom prst="rect"/>
                  </pic:spPr>
                </pic:pic>
              </a:graphicData>
            </a:graphic>
          </wp:inline>
        </w:drawing>
      </w:r>
    </w:p>
    <w:p>
      <w:pPr>
        <w:jc w:val="center"/>
      </w:pPr>
      <w:r>
        <w:rPr>
          <w:rFonts w:ascii="Arial" w:hAnsi="Arial"/>
          <w:color w:val="2E7D5C"/>
          <w:sz w:val="20"/>
        </w:rPr>
        <w:t>Wirkung statt Kapital. Für Mensch, Planet und Demokratie.</w:t>
      </w:r>
    </w:p>
    <w:p>
      <w:pPr>
        <w:jc w:val="center"/>
      </w:pPr>
      <w:r>
        <w:rPr>
          <w:rFonts w:ascii="Georgia" w:hAnsi="Georgia"/>
          <w:b/>
          <w:color w:val="0B1030"/>
          <w:sz w:val="46"/>
        </w:rPr>
        <w:t>KMU-Tauglichkeit und Pilotierung</w:t>
      </w:r>
    </w:p>
    <w:p>
      <w:pPr>
        <w:jc w:val="center"/>
      </w:pPr>
      <w:r>
        <w:rPr>
          <w:rFonts w:ascii="Arial" w:hAnsi="Arial"/>
          <w:color w:val="252A3C"/>
          <w:sz w:val="24"/>
        </w:rPr>
        <w:t>Einzeldossier mit Beispielen, Datenquellen, Berechnungslogik und Umsetzung</w:t>
      </w:r>
    </w:p>
    <w:tbl>
      <w:tblPr>
        <w:tblW w:type="auto" w:w="0"/>
        <w:jc w:val="center"/>
        <w:tblLook w:firstColumn="1" w:firstRow="1" w:lastColumn="0" w:lastRow="0" w:noHBand="0" w:noVBand="1" w:val="04A0"/>
      </w:tblPr>
      <w:tblGrid>
        <w:gridCol w:w="5156"/>
        <w:gridCol w:w="5156"/>
      </w:tblGrid>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Dokumenttyp</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Einzeldossier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Autorin</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Natalie Weber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Referenz</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Wirkungsökonomie</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Version / Status</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v0.1 / Arbeitsfassung</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Stand</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24.05.2026</w:t>
            </w:r>
          </w:p>
        </w:tc>
      </w:tr>
    </w:tbl>
    <w:p>
      <w:pPr>
        <w:jc w:val="center"/>
      </w:pPr>
      <w:r>
        <w:rPr>
          <w:i/>
          <w:color w:val="666666"/>
          <w:sz w:val="17"/>
        </w:rPr>
        <w:t>Arbeitsfassung für Online-Volltext, Dossier, Portal und Codex-Umsetzung.</w:t>
      </w:r>
    </w:p>
    <w:p>
      <w:r>
        <w:br w:type="page"/>
      </w:r>
    </w:p>
    <w:p>
      <w:pPr>
        <w:pStyle w:val="Heading1"/>
        <w:pBdr>
          <w:bottom w:val="single" w:sz="10" w:color="2E7D5C"/>
        </w:pBdr>
      </w:pPr>
      <w:r>
        <w:t>Kurzfassung</w:t>
      </w:r>
    </w:p>
    <w:p>
      <w:pPr>
        <w:spacing w:after="100" w:line="259" w:lineRule="auto"/>
      </w:pPr>
      <w:r>
        <w:rPr>
          <w:rFonts w:ascii="Arial" w:hAnsi="Arial"/>
          <w:color w:val="252A3C"/>
          <w:sz w:val="20"/>
        </w:rPr>
        <w:t>Dieses Einzeldossier macht den Unterbereich „KMU-Tauglichkeit und Pilotierung“ praktisch anwendbar. Es ergänzt das Detailkonzept um Beispiele, Datenquellen, Prüfpfade, Tool-Logik, politische Anschlussfähigkeit und Online-Veröffentlichung.</w:t>
      </w:r>
    </w:p>
    <w:p>
      <w:pPr>
        <w:pStyle w:val="Heading1"/>
        <w:pBdr>
          <w:bottom w:val="single" w:sz="10" w:color="2E7D5C"/>
        </w:pBdr>
      </w:pPr>
      <w:r>
        <w:t>Anwendungsbeispiel</w:t>
      </w:r>
    </w:p>
    <w:p>
      <w:pPr>
        <w:spacing w:after="100" w:line="259" w:lineRule="auto"/>
      </w:pPr>
      <w:r>
        <w:rPr>
          <w:rFonts w:ascii="Arial" w:hAnsi="Arial"/>
          <w:color w:val="252A3C"/>
          <w:sz w:val="20"/>
        </w:rP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Schritt</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Frage</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Output</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1. Daten erfassen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Wirkungsdaten liegen vor?</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Datenlandkarte + Vertrauensstufe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2. Bewerten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Wirkungen entstehen?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Scorecard / NWI / Risikoprofil</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3. Rückkoppeln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Entscheidung ändert sich?</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Maßnahme, Budget, Verantwortliche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4. Prüfen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Unsicherheiten bleiben?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Assurance, Lernschleife, Eskalation</w:t>
            </w:r>
          </w:p>
        </w:tc>
      </w:tr>
    </w:tbl>
    <w:p>
      <w:pPr>
        <w:pStyle w:val="Heading1"/>
        <w:pBdr>
          <w:bottom w:val="single" w:sz="10" w:color="2E7D5C"/>
        </w:pBdr>
      </w:pPr>
      <w:r>
        <w:t>Beispielrechnung / Bewertungslogik v0.1</w:t>
      </w:r>
    </w:p>
    <w:p>
      <w:pPr>
        <w:spacing w:after="100" w:line="259" w:lineRule="auto"/>
      </w:pPr>
      <w:r>
        <w:rPr>
          <w:rFonts w:ascii="Arial" w:hAnsi="Arial"/>
          <w:color w:val="252A3C"/>
          <w:sz w:val="20"/>
        </w:rP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Indikator</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Score</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Vertrauen</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Hinweis</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Kernwirkung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Primärdaten teilweise vorhanden</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Nebenwirkung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niedrig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Datenlücke; Priorität für Prüfung</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Rote Linie</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hoch</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keine harte Verletzung erkannt</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FinalScore v0.1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neutral, aber entwicklungsbedürftig</w:t>
            </w:r>
          </w:p>
        </w:tc>
      </w:tr>
    </w:tbl>
    <w:p>
      <w:pPr>
        <w:pStyle w:val="Heading1"/>
        <w:pBdr>
          <w:bottom w:val="single" w:sz="10" w:color="2E7D5C"/>
        </w:pBdr>
      </w:pPr>
      <w:r>
        <w:t>Datenquellen</w:t>
      </w:r>
    </w:p>
    <w:p>
      <w:pPr>
        <w:pStyle w:val="ListBullet"/>
        <w:spacing w:after="40"/>
      </w:pPr>
      <w:r>
        <w:rPr>
          <w:rFonts w:ascii="Arial" w:hAnsi="Arial"/>
          <w:color w:val="252A3C"/>
          <w:sz w:val="19"/>
        </w:rPr>
        <w:t>CSRD/ESRS-Berichterstattung und interne Datenquellen.</w:t>
      </w:r>
    </w:p>
    <w:p>
      <w:pPr>
        <w:pStyle w:val="ListBullet"/>
        <w:spacing w:after="40"/>
      </w:pPr>
      <w:r>
        <w:rPr>
          <w:rFonts w:ascii="Arial" w:hAnsi="Arial"/>
          <w:color w:val="252A3C"/>
          <w:sz w:val="19"/>
        </w:rPr>
        <w:t>WÖk-IDs und branchenspezifische Benchmarks.</w:t>
      </w:r>
    </w:p>
    <w:p>
      <w:pPr>
        <w:pStyle w:val="ListBullet"/>
        <w:spacing w:after="40"/>
      </w:pPr>
      <w:r>
        <w:rPr>
          <w:rFonts w:ascii="Arial" w:hAnsi="Arial"/>
          <w:color w:val="252A3C"/>
          <w:sz w:val="19"/>
        </w:rPr>
        <w:t>OECD-/UNGP-/CSDDD-Sorgfaltsdaten für Lieferketten und Menschenrechte.</w:t>
      </w:r>
    </w:p>
    <w:p>
      <w:pPr>
        <w:pStyle w:val="ListBullet"/>
        <w:spacing w:after="40"/>
      </w:pPr>
      <w:r>
        <w:rPr>
          <w:rFonts w:ascii="Arial" w:hAnsi="Arial"/>
          <w:color w:val="252A3C"/>
          <w:sz w:val="19"/>
        </w:rPr>
        <w:t>Kund:innenfeedback, Mitarbeitendenbefragungen, ERM-Daten und Produktdaten.</w:t>
      </w:r>
    </w:p>
    <w:p>
      <w:pPr>
        <w:pStyle w:val="Heading1"/>
        <w:pBdr>
          <w:bottom w:val="single" w:sz="10" w:color="2E7D5C"/>
        </w:pBdr>
      </w:pPr>
      <w:r>
        <w:t>Politische Anschlussfähigkeit</w:t>
      </w:r>
    </w:p>
    <w:p>
      <w:pPr>
        <w:spacing w:after="100" w:line="259" w:lineRule="auto"/>
      </w:pPr>
      <w:r>
        <w:rPr>
          <w:rFonts w:ascii="Arial" w:hAnsi="Arial"/>
          <w:color w:val="252A3C"/>
          <w:sz w:val="20"/>
        </w:rP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Bdr>
          <w:bottom w:val="single" w:sz="10" w:color="2E7D5C"/>
        </w:pBdr>
      </w:pPr>
      <w:r>
        <w:t>Online-HTML-Version</w:t>
      </w:r>
    </w:p>
    <w:p>
      <w:pPr>
        <w:spacing w:after="100" w:line="259" w:lineRule="auto"/>
      </w:pPr>
      <w:r>
        <w:rPr>
          <w:rFonts w:ascii="Arial" w:hAnsi="Arial"/>
          <w:color w:val="252A3C"/>
          <w:sz w:val="20"/>
        </w:rPr>
        <w:t>Dieses Dossier soll vollständig online lesbar sein unter /wirkungsfelder/wirtschaft-unternehmen/dossiers/kmu_tauglichkeit_pilotierung/ mit Inhaltsverzeichnis, Druckfunktion, Download, SDG-/SDG+-Block, Buchankern und Kontext-Werkzeugen.</w:t>
      </w:r>
    </w:p>
    <w:p>
      <w:pPr>
        <w:pStyle w:val="Heading1"/>
        <w:pBdr>
          <w:bottom w:val="single" w:sz="10" w:color="2E7D5C"/>
        </w:pBdr>
      </w:pPr>
      <w:r>
        <w:t>Interne und externe Referenzen</w:t>
      </w:r>
    </w:p>
    <w:p>
      <w:pPr>
        <w:pStyle w:val="ListBullet"/>
        <w:spacing w:after="40"/>
      </w:pPr>
      <w:r>
        <w:rPr>
          <w:rFonts w:ascii="Arial" w:hAnsi="Arial"/>
          <w:color w:val="252A3C"/>
          <w:sz w:val="19"/>
        </w:rPr>
        <w:t>Natalie Weber: Die neue Ordnung des Wohlstands, Manuskriptfassung 2026, Teil VII: Unternehmen, Management und Wertschöpfung, Kapitel 42-47.</w:t>
      </w:r>
    </w:p>
    <w:p>
      <w:pPr>
        <w:pStyle w:val="ListBullet"/>
        <w:spacing w:after="40"/>
      </w:pPr>
      <w:r>
        <w:rPr>
          <w:rFonts w:ascii="Arial" w:hAnsi="Arial"/>
          <w:color w:val="252A3C"/>
          <w:sz w:val="19"/>
        </w:rPr>
        <w:t>Natalie Weber: Systemmodell der Wirkungsökonomie, 2025, Dimension Wirtschaft &amp; Unternehmen.</w:t>
      </w:r>
    </w:p>
    <w:p>
      <w:pPr>
        <w:pStyle w:val="ListBullet"/>
        <w:spacing w:after="40"/>
      </w:pPr>
      <w:r>
        <w:rPr>
          <w:rFonts w:ascii="Arial" w:hAnsi="Arial"/>
          <w:color w:val="252A3C"/>
          <w:sz w:val="19"/>
        </w:rPr>
        <w:t>Natalie Weber: Wirkungsökonomie in der Lieferkette, September 2025.</w:t>
      </w:r>
    </w:p>
    <w:p>
      <w:pPr>
        <w:pStyle w:val="ListBullet"/>
        <w:spacing w:after="40"/>
      </w:pPr>
      <w:r>
        <w:rPr>
          <w:rFonts w:ascii="Arial" w:hAnsi="Arial"/>
          <w:color w:val="252A3C"/>
          <w:sz w:val="19"/>
        </w:rPr>
        <w:t>Natalie Weber: Produktbesteuerung durch Wirkung, 2025.</w:t>
      </w:r>
    </w:p>
    <w:p>
      <w:pPr>
        <w:pStyle w:val="ListBullet"/>
        <w:spacing w:after="40"/>
      </w:pPr>
      <w:r>
        <w:rPr>
          <w:rFonts w:ascii="Arial" w:hAnsi="Arial"/>
          <w:color w:val="252A3C"/>
          <w:sz w:val="19"/>
        </w:rPr>
        <w:t>Natalie Weber: Whitepaper T-SROI, 2025.</w:t>
      </w:r>
    </w:p>
    <w:p>
      <w:pPr>
        <w:pStyle w:val="ListBullet"/>
        <w:spacing w:after="40"/>
      </w:pPr>
      <w:r>
        <w:rPr>
          <w:rFonts w:ascii="Arial" w:hAnsi="Arial"/>
          <w:color w:val="252A3C"/>
          <w:sz w:val="19"/>
        </w:rPr>
        <w:t>EU: Corporate Sustainability Reporting Directive (CSRD) und European Sustainability Reporting Standards (ESRS).</w:t>
      </w:r>
    </w:p>
    <w:p>
      <w:pPr>
        <w:pStyle w:val="ListBullet"/>
        <w:spacing w:after="40"/>
      </w:pPr>
      <w:r>
        <w:rPr>
          <w:rFonts w:ascii="Arial" w:hAnsi="Arial"/>
          <w:color w:val="252A3C"/>
          <w:sz w:val="19"/>
        </w:rPr>
        <w:t>EU: Corporate Sustainability Due Diligence Directive (CSDDD), Directive (EU) 2024/1760.</w:t>
      </w:r>
    </w:p>
    <w:p>
      <w:pPr>
        <w:pStyle w:val="ListBullet"/>
        <w:spacing w:after="40"/>
      </w:pPr>
      <w:r>
        <w:rPr>
          <w:rFonts w:ascii="Arial" w:hAnsi="Arial"/>
          <w:color w:val="252A3C"/>
          <w:sz w:val="19"/>
        </w:rPr>
        <w:t>OECD: Due Diligence Guidance for Responsible Business Conduct.</w:t>
      </w:r>
    </w:p>
    <w:p>
      <w:pPr>
        <w:pStyle w:val="ListBullet"/>
        <w:spacing w:after="40"/>
      </w:pPr>
      <w:r>
        <w:rPr>
          <w:rFonts w:ascii="Arial" w:hAnsi="Arial"/>
          <w:color w:val="252A3C"/>
          <w:sz w:val="19"/>
        </w:rPr>
        <w:t>UN OHCHR: Guiding Principles on Business and Human Rights.</w:t>
      </w:r>
    </w:p>
    <w:p>
      <w:pPr>
        <w:pStyle w:val="ListBullet"/>
        <w:spacing w:after="40"/>
      </w:pPr>
      <w:r>
        <w:rPr>
          <w:rFonts w:ascii="Arial" w:hAnsi="Arial"/>
          <w:color w:val="252A3C"/>
          <w:sz w:val="19"/>
        </w:rPr>
        <w:t>ICC: Advertising and Marketing Communications Code, 2024.</w:t>
      </w:r>
    </w:p>
    <w:sectPr w:rsidR="00FC693F" w:rsidRPr="0006063C" w:rsidSect="00034616">
      <w:headerReference w:type="default" r:id="rId9"/>
      <w:footerReference w:type="default" r:id="rId10"/>
      <w:pgSz w:w="12240" w:h="15840"/>
      <w:pgMar w:top="879"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5"/>
      </w:rPr>
      <w:t>© 2026 Natalie Weber · Wirkungsökonomie · Einzeldossier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E7D5C"/>
        <w:sz w:val="15"/>
      </w:rPr>
      <w:t>WIRKUNGSÖKONOMIE | EINZELDOSSIER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10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