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Wirkungseinkommensteuer WEstG</w:t>
      </w:r>
    </w:p>
    <w:p>
      <w:pPr>
        <w:jc w:val="center"/>
      </w:pPr>
      <w:r>
        <w:rPr>
          <w:color w:val="252A3C"/>
          <w:sz w:val="26"/>
        </w:rPr>
        <w:t>Einkommen im Kontext seiner Wirkung bewerten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Die Wirkungseinkommensteuer fragt nicht nur, wie viel Einkommen erzielt wurde, sondern in welchem Wirkungszusammenhang es entsteht. Sie korrigiert das Leistungsparadox der alten Einkommensteuer.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Problem</w:t>
      </w:r>
    </w:p>
    <w:p>
      <w:r>
        <w:t>Das heutige Einkommensteuerrecht behandelt Einkommen quantitativ. Es unterscheidet nicht zwischen Einkommen aus zukunftsfähiger Tätigkeit und Einkommen aus destruktiven Geschäftsmodellen.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sehr sorgfältig bestimmen, wie Tätigkeitskontexte, Unternehmensscore, Einkunftsarten und personenbezogener Schutz miteinander verbunden werden, ohne Personen zu scoren.</w:t>
      </w:r>
    </w:p>
    <w:p>
      <w:pPr>
        <w:pStyle w:val="Heading1"/>
        <w:pBdr>
          <w:bottom w:val="single" w:sz="12" w:color="2E7D5C"/>
        </w:pBdr>
      </w:pPr>
      <w:r>
        <w:t>Schutzplanken</w:t>
      </w:r>
    </w:p>
    <w:p>
      <w:r>
        <w:t>Keine Bewertung von Menschen, sondern von Einkommensquellen, Tätigkeitskontexten, Organisationen und Wirkungsketten. Rechtsschutz, Datenschutz und Verhältnismäßigkeit sind zentral.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