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ource Serif Pro" w:hAnsi="Source Serif Pro"/>
          <w:b/>
          <w:color w:val="001D30"/>
          <w:sz w:val="48"/>
        </w:rPr>
        <w:t>WIRKUNGSÖKONOMIE</w:t>
      </w:r>
    </w:p>
    <w:p>
      <w:pPr>
        <w:jc w:val="center"/>
      </w:pPr>
      <w:r>
        <w:rPr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Source Serif Pro" w:hAnsi="Source Serif Pro"/>
          <w:b/>
          <w:color w:val="001D30"/>
          <w:sz w:val="48"/>
        </w:rPr>
        <w:t>Wirkungssteuergesetz WStG</w:t>
      </w:r>
    </w:p>
    <w:p>
      <w:pPr>
        <w:jc w:val="center"/>
      </w:pPr>
      <w:r>
        <w:rPr>
          <w:color w:val="252A3C"/>
          <w:sz w:val="26"/>
        </w:rPr>
        <w:t>Rahmengesetz über die steuerliche Steuerung nach Wirkung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Dokumenttyp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Einzeldossier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Autorin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Natalie Weber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Referenz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Wirkungsökonomie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Version / Status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v0.1 / Diskussionsfassung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Stand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8"/>
        </w:rPr>
        <w:t>Arbeitsfassung zur öffentlichen Online-Lesefassung, Dossier- und Portalarchitektur.</w:t>
      </w:r>
    </w:p>
    <w:p>
      <w:r>
        <w:br w:type="page"/>
      </w:r>
    </w:p>
    <w:p>
      <w:pPr>
        <w:pStyle w:val="Heading1"/>
        <w:pBdr>
          <w:bottom w:val="single" w:sz="12" w:color="2E7D5C"/>
        </w:pBdr>
      </w:pPr>
      <w:r>
        <w:t>Executive Summary</w:t>
      </w:r>
    </w:p>
    <w:p>
      <w:r>
        <w:t>Das WStG ist die juristische Klammer der Wirkungssteuerlogik. Es verankert Wirkung auf Mensch, Planet und Demokratie als steuerliche Bemessungs- und Steuerungsgröße.</w:t>
      </w:r>
    </w:p>
    <w:p>
      <w:pPr>
        <w:pStyle w:val="Heading1"/>
        <w:pBdr>
          <w:bottom w:val="single" w:sz="12" w:color="2E7D5C"/>
        </w:pBdr>
      </w:pPr>
      <w:r>
        <w:t>Dossierstruktur</w:t>
      </w:r>
    </w:p>
    <w:p>
      <w:pPr>
        <w:pStyle w:val="ListBullet"/>
      </w:pPr>
      <w:r>
        <w:t>Kurzfassung</w:t>
      </w:r>
    </w:p>
    <w:p>
      <w:pPr>
        <w:pStyle w:val="ListBullet"/>
      </w:pPr>
      <w:r>
        <w:t>Problem und alte Logik</w:t>
      </w:r>
    </w:p>
    <w:p>
      <w:pPr>
        <w:pStyle w:val="ListBullet"/>
      </w:pPr>
      <w:r>
        <w:t>Wirkungsökonomischer Perspektivwechsel</w:t>
      </w:r>
    </w:p>
    <w:p>
      <w:pPr>
        <w:pStyle w:val="ListBullet"/>
      </w:pPr>
      <w:r>
        <w:t>Politische Anforderungen</w:t>
      </w:r>
    </w:p>
    <w:p>
      <w:pPr>
        <w:pStyle w:val="ListBullet"/>
      </w:pPr>
      <w:r>
        <w:t>Ausgestaltungsspielraum</w:t>
      </w:r>
    </w:p>
    <w:p>
      <w:pPr>
        <w:pStyle w:val="ListBullet"/>
      </w:pPr>
      <w:r>
        <w:t>Daten, Verfahren und Rechtsschutz</w:t>
      </w:r>
    </w:p>
    <w:p>
      <w:pPr>
        <w:pStyle w:val="ListBullet"/>
      </w:pPr>
      <w:r>
        <w:t>Buchanker, SDG-/SDG+-Bezug und Quellen</w:t>
      </w:r>
    </w:p>
    <w:p>
      <w:pPr>
        <w:pStyle w:val="Heading1"/>
        <w:pBdr>
          <w:bottom w:val="single" w:sz="12" w:color="2E7D5C"/>
        </w:pBdr>
      </w:pPr>
      <w:r>
        <w:t>Funktion als Rahmengesetz</w:t>
      </w:r>
    </w:p>
    <w:p>
      <w:r>
        <w:t>Das WStG ersetzt bestehende Einzelsteuern nicht vollständig, sondern ordnet sie unter einer gemeinsamen Wirkungslogik. Es schafft die Grundlage für WUStG, WEstG, Wirkungshaushalt und Wirkungsrat.</w:t>
      </w:r>
    </w:p>
    <w:p>
      <w:pPr>
        <w:pStyle w:val="Heading1"/>
        <w:pBdr>
          <w:bottom w:val="single" w:sz="12" w:color="2E7D5C"/>
        </w:pBdr>
      </w:pPr>
      <w:r>
        <w:t>Politische Anforderungen</w:t>
      </w:r>
    </w:p>
    <w:p>
      <w:r>
        <w:t>Politik muss den Rahmen parlamentarisch legitimieren, Übergangsfristen definieren, Dateninfrastruktur sichern, EU-Kompatibilität prüfen und sozialen Ausgleich garantieren.</w:t>
      </w:r>
    </w:p>
    <w:p>
      <w:pPr>
        <w:pStyle w:val="Heading1"/>
        <w:pBdr>
          <w:bottom w:val="single" w:sz="12" w:color="2E7D5C"/>
        </w:pBdr>
      </w:pPr>
      <w:r>
        <w:t>LawReader</w:t>
      </w:r>
    </w:p>
    <w:p>
      <w:r>
        <w:t>Das WStG soll online als LawReader erscheinen: Paragraf, Kurzfassung, Gesetzestext, Kommentar, Begründung, Verweise, Druckfunktion und Download.</w:t>
      </w:r>
    </w:p>
    <w:p>
      <w:pPr>
        <w:pStyle w:val="Heading1"/>
        <w:pBdr>
          <w:bottom w:val="single" w:sz="12" w:color="2E7D5C"/>
        </w:pBdr>
      </w:pPr>
      <w:r>
        <w:t>Spielräume</w:t>
      </w:r>
    </w:p>
    <w:p>
      <w:r>
        <w:t>Offen bleiben Satzhöhen, Pilotphasen, Brancheneinstieg, föderale Umsetzung, Rückverteilung, KMU-Schutz und europäische Harmonisierung.</w:t>
      </w:r>
    </w:p>
    <w:p>
      <w:pPr>
        <w:pStyle w:val="Heading1"/>
        <w:pBdr>
          <w:bottom w:val="single" w:sz="12" w:color="2E7D5C"/>
        </w:pBdr>
      </w:pPr>
      <w:r>
        <w:t>Standardmodul: Politische Anschlussfähigkeit</w:t>
      </w:r>
    </w:p>
    <w:p>
      <w:r>
        <w:t>Dieses Einzeldossier ist kein fertiges Parteiprogramm. Es benennt notwendige Aufgaben, Schutzplanken und Umsetzungsoptionen. Parteien, Parlamente, Länder, Kommunen und gesellschaftliche Akteure können innerhalb dieses Rahmens unterschiedliche Schwerpunkte setzen.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01D30"/>
          </w:tcPr>
          <w:p>
            <w:r>
              <w:rPr>
                <w:b/>
                <w:color w:val="FFFFFF"/>
                <w:sz w:val="17"/>
              </w:rPr>
              <w:t>Frage</w:t>
            </w:r>
          </w:p>
        </w:tc>
        <w:tc>
          <w:tcPr>
            <w:tcW w:type="dxa" w:w="5100"/>
            <w:shd w:fill="001D30"/>
          </w:tcPr>
          <w:p>
            <w:r>
              <w:rPr>
                <w:b/>
                <w:color w:val="FFFFFF"/>
                <w:sz w:val="17"/>
              </w:rPr>
              <w:t>Antwort im Dossier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Was muss Politik leisten?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Rechtsrahmen, Zuständigkeit, Datenzugang, Verhältnismäßigkeit, Evaluation und Beteiligung klären.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Was bleibt politisch offen?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Tempo, Instrumentenmix, Höhe von Sätzen, Ressortprioritäten, Pilotierung, föderale Ausgestaltung.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Welche Grenzen gelten?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Grundrechte, Demokratie, Rechtsstaatlichkeit, Rechtsschutz, Schutz vor Personenbewertung.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Wie wird gelernt?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Wirkungsberichte, öffentliche Konsultationen, Korrekturverfahren, Wirkungsrat.</w:t>
            </w:r>
          </w:p>
        </w:tc>
      </w:tr>
    </w:tbl>
    <w:p/>
    <w:p>
      <w:pPr>
        <w:pStyle w:val="Heading1"/>
        <w:pBdr>
          <w:bottom w:val="single" w:sz="12" w:color="2E7D5C"/>
        </w:pBdr>
      </w:pPr>
      <w:r>
        <w:t>Buchanker und Website-Zuordnung</w:t>
      </w:r>
    </w:p>
    <w:p>
      <w:pPr>
        <w:pStyle w:val="ListBullet"/>
      </w:pPr>
      <w:r>
        <w:t>Online-Buch: Teil VI – Recht, Staat und Institutionen</w:t>
      </w:r>
    </w:p>
    <w:p>
      <w:pPr>
        <w:pStyle w:val="ListBullet"/>
      </w:pPr>
      <w:r>
        <w:t>Online-Buch: Teil X – Staat, Politik und Demokratie</w:t>
      </w:r>
    </w:p>
    <w:p>
      <w:pPr>
        <w:pStyle w:val="ListBullet"/>
      </w:pPr>
      <w:r>
        <w:t>Website: /wirkungsfelder/staat-recht-demokratie/</w:t>
      </w:r>
    </w:p>
    <w:p>
      <w:pPr>
        <w:pStyle w:val="ListBullet"/>
      </w:pPr>
      <w:r>
        <w:t>Werkstatt: /werkstatt/dossiers/staat-recht-demokratie/</w:t>
      </w:r>
    </w:p>
    <w:p>
      <w:pPr>
        <w:pStyle w:val="ListBullet"/>
      </w:pPr>
      <w:r>
        <w:t>Werkzeugseiten: /werkzeuge/wirkungsrat/, /werkzeuge/wirkungshaushalt/, /werkzeuge/politische-wirkungspruefung/</w:t>
      </w:r>
    </w:p>
    <w:p>
      <w:pPr>
        <w:pStyle w:val="Heading1"/>
        <w:pBdr>
          <w:bottom w:val="single" w:sz="12" w:color="2E7D5C"/>
        </w:pBdr>
      </w:pPr>
      <w:r>
        <w:t>Quellen und interne Referenzen</w:t>
      </w:r>
    </w:p>
    <w:p>
      <w:pPr>
        <w:pStyle w:val="ListBullet"/>
      </w:pPr>
      <w:r>
        <w:t>Weber, Natalie: Die neue Ordnung des Wohlstands. Arbeitsfassung 2026. Besonders: Kapitel 10–23, 28, 31–40, 61–66.</w:t>
      </w:r>
    </w:p>
    <w:p>
      <w:pPr>
        <w:pStyle w:val="ListBullet"/>
      </w:pPr>
      <w:r>
        <w:t>Weber, Natalie: Führender Begriffsleitfaden der Wirkungsökonomie, Version 1.0, 21. Mai 2026.</w:t>
      </w:r>
    </w:p>
    <w:p>
      <w:pPr>
        <w:pStyle w:val="ListBullet"/>
      </w:pPr>
      <w:r>
        <w:t>Weber, Natalie: Working-Paper Wirkungssteuergesetz (WStG), Stand 8.10.2025.</w:t>
      </w:r>
    </w:p>
    <w:p>
      <w:pPr>
        <w:pStyle w:val="ListBullet"/>
      </w:pPr>
      <w:r>
        <w:t>Weber, Natalie: Der Wirkungsrat – Institutionelle Verankerung der Wirkungsökonomie, September 2025.</w:t>
      </w:r>
    </w:p>
    <w:p>
      <w:pPr>
        <w:pStyle w:val="ListBullet"/>
      </w:pPr>
      <w:r>
        <w:t>Weber, Natalie: Technische Leitlinien zum Wirkungssteuergesetz (WUStG), Vollversion Extended, August 2025.</w:t>
      </w:r>
    </w:p>
    <w:p>
      <w:pPr>
        <w:pStyle w:val="ListBullet"/>
      </w:pPr>
      <w:r>
        <w:t>Weber, Natalie: Whitepaper T-SROI – Der neue Standard für Impact-Controlling in der Wirkungsökonomie, 2025.</w:t>
      </w:r>
    </w:p>
    <w:p>
      <w:pPr>
        <w:pStyle w:val="ListBullet"/>
      </w:pPr>
      <w:r>
        <w:t>Weber, Natalie: Die neue Ordnung des Wohlstands, Arbeitsfassung 2026, Teil VI und Teil 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© 2026 Natalie Weber · Wirkungsökonomie · Einzeldossier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urce Sans Pro" w:hAnsi="Source Sans Pro"/>
        <w:b/>
        <w:color w:val="2E7D5C"/>
        <w:sz w:val="16"/>
      </w:rPr>
      <w:t>WIRKUNGSÖKONOMIE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Pro" w:hAnsi="Source Sans Pro" w:eastAsia="Source Sans Pro"/>
      <w:color w:val="252A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