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left"/>
      </w:pPr>
      <w:r>
        <w:rPr>
          <w:rFonts w:ascii="Georgia" w:hAnsi="Georgia"/>
          <w:b/>
          <w:color w:val="0B132B"/>
          <w:sz w:val="36"/>
        </w:rPr>
        <w:t>WIRKUNGSÖKONOMIE</w:t>
      </w:r>
    </w:p>
    <w:p>
      <w:r>
        <w:rPr>
          <w:rFonts w:ascii="Arial" w:hAnsi="Arial"/>
          <w:b/>
          <w:color w:val="C89B3C"/>
          <w:sz w:val="20"/>
        </w:rPr>
        <w:t>Für Mensch, Planet und Demokratie.</w:t>
      </w:r>
    </w:p>
    <w:p/>
    <w:p>
      <w:pPr>
        <w:pStyle w:val="Title"/>
      </w:pPr>
      <w:r>
        <w:t>Rente &amp; soziale Sicherung</w:t>
      </w:r>
    </w:p>
    <w:p>
      <w:r>
        <w:rPr>
          <w:rFonts w:ascii="Georgia" w:hAnsi="Georgia"/>
          <w:color w:val="2B7D5C"/>
          <w:sz w:val="30"/>
        </w:rPr>
        <w:t>Umfangreiche Detailkonzepte zu Wirkungsrente, Lebenswirkung, Fonds und Übergang</w:t>
      </w:r>
    </w:p>
    <w:p>
      <w:r>
        <w:rPr>
          <w:rFonts w:ascii="Arial" w:hAnsi="Arial"/>
          <w:b/>
          <w:color w:val="C89B3C"/>
          <w:sz w:val="22"/>
        </w:rPr>
        <w:t>Detailkonzept-Set</w:t>
      </w:r>
    </w:p>
    <w:p/>
    <w:tbl>
      <w:tblPr>
        <w:tblW w:type="auto" w:w="0"/>
        <w:jc w:val="left"/>
        <w:tblLayout w:type="autofit"/>
        <w:tblLook w:firstColumn="1" w:firstRow="1" w:lastColumn="0" w:lastRow="0" w:noHBand="0" w:noVBand="1" w:val="04A0"/>
      </w:tblPr>
      <w:tblGrid>
        <w:gridCol w:w="5100"/>
        <w:gridCol w:w="5100"/>
      </w:tblGrid>
      <w:tr>
        <w:tc>
          <w:tcPr>
            <w:tcW w:type="dxa" w:w="5100"/>
            <w:vAlign w:val="top"/>
            <w:shd w:fill="F6F1E8"/>
          </w:tcPr>
          <w:p>
            <w:r/>
            <w:r>
              <w:rPr>
                <w:rFonts w:ascii="Arial" w:hAnsi="Arial"/>
                <w:b/>
                <w:color w:val="0B132B"/>
                <w:sz w:val="17"/>
              </w:rPr>
              <w:t>Autorin</w:t>
            </w:r>
          </w:p>
        </w:tc>
        <w:tc>
          <w:tcPr>
            <w:tcW w:type="dxa" w:w="5100"/>
            <w:vAlign w:val="top"/>
          </w:tcPr>
          <w:p>
            <w:r/>
            <w:r>
              <w:rPr>
                <w:rFonts w:ascii="Arial" w:hAnsi="Arial"/>
                <w:b w:val="0"/>
                <w:sz w:val="17"/>
              </w:rPr>
              <w:t>Natalie Weber</w:t>
            </w:r>
          </w:p>
        </w:tc>
      </w:tr>
      <w:tr>
        <w:tc>
          <w:tcPr>
            <w:tcW w:type="dxa" w:w="5100"/>
            <w:vAlign w:val="top"/>
            <w:shd w:fill="F6F1E8"/>
          </w:tcPr>
          <w:p>
            <w:r/>
            <w:r>
              <w:rPr>
                <w:rFonts w:ascii="Arial" w:hAnsi="Arial"/>
                <w:b/>
                <w:color w:val="0B132B"/>
                <w:sz w:val="17"/>
              </w:rPr>
              <w:t>Referenz</w:t>
            </w:r>
          </w:p>
        </w:tc>
        <w:tc>
          <w:tcPr>
            <w:tcW w:type="dxa" w:w="5100"/>
            <w:vAlign w:val="top"/>
          </w:tcPr>
          <w:p>
            <w:r/>
            <w:r>
              <w:rPr>
                <w:rFonts w:ascii="Arial" w:hAnsi="Arial"/>
                <w:b w:val="0"/>
                <w:sz w:val="17"/>
              </w:rPr>
              <w:t>Wirkungsökonomie</w:t>
            </w:r>
          </w:p>
        </w:tc>
      </w:tr>
      <w:tr>
        <w:tc>
          <w:tcPr>
            <w:tcW w:type="dxa" w:w="5100"/>
            <w:vAlign w:val="top"/>
            <w:shd w:fill="F6F1E8"/>
          </w:tcPr>
          <w:p>
            <w:r/>
            <w:r>
              <w:rPr>
                <w:rFonts w:ascii="Arial" w:hAnsi="Arial"/>
                <w:b/>
                <w:color w:val="0B132B"/>
                <w:sz w:val="17"/>
              </w:rPr>
              <w:t>Version</w:t>
            </w:r>
          </w:p>
        </w:tc>
        <w:tc>
          <w:tcPr>
            <w:tcW w:type="dxa" w:w="5100"/>
            <w:vAlign w:val="top"/>
          </w:tcPr>
          <w:p>
            <w:r/>
            <w:r>
              <w:rPr>
                <w:rFonts w:ascii="Arial" w:hAnsi="Arial"/>
                <w:b w:val="0"/>
                <w:sz w:val="17"/>
              </w:rPr>
              <w:t>v0.1</w:t>
            </w:r>
          </w:p>
        </w:tc>
      </w:tr>
      <w:tr>
        <w:tc>
          <w:tcPr>
            <w:tcW w:type="dxa" w:w="5100"/>
            <w:vAlign w:val="top"/>
            <w:shd w:fill="F6F1E8"/>
          </w:tcPr>
          <w:p>
            <w:r/>
            <w:r>
              <w:rPr>
                <w:rFonts w:ascii="Arial" w:hAnsi="Arial"/>
                <w:b/>
                <w:color w:val="0B132B"/>
                <w:sz w:val="17"/>
              </w:rPr>
              <w:t>Status</w:t>
            </w:r>
          </w:p>
        </w:tc>
        <w:tc>
          <w:tcPr>
            <w:tcW w:type="dxa" w:w="5100"/>
            <w:vAlign w:val="top"/>
          </w:tcPr>
          <w:p>
            <w:r/>
            <w:r>
              <w:rPr>
                <w:rFonts w:ascii="Arial" w:hAnsi="Arial"/>
                <w:b w:val="0"/>
                <w:sz w:val="17"/>
              </w:rPr>
              <w:t>Diskussionsfassung</w:t>
            </w:r>
          </w:p>
        </w:tc>
      </w:tr>
      <w:tr>
        <w:tc>
          <w:tcPr>
            <w:tcW w:type="dxa" w:w="5100"/>
            <w:vAlign w:val="top"/>
            <w:shd w:fill="F6F1E8"/>
          </w:tcPr>
          <w:p>
            <w:r/>
            <w:r>
              <w:rPr>
                <w:rFonts w:ascii="Arial" w:hAnsi="Arial"/>
                <w:b/>
                <w:color w:val="0B132B"/>
                <w:sz w:val="17"/>
              </w:rPr>
              <w:t>Stand</w:t>
            </w:r>
          </w:p>
        </w:tc>
        <w:tc>
          <w:tcPr>
            <w:tcW w:type="dxa" w:w="5100"/>
            <w:vAlign w:val="top"/>
          </w:tcPr>
          <w:p>
            <w:r/>
            <w:r>
              <w:rPr>
                <w:rFonts w:ascii="Arial" w:hAnsi="Arial"/>
                <w:b w:val="0"/>
                <w:sz w:val="17"/>
              </w:rPr>
              <w:t>24. Mai 2026</w:t>
            </w:r>
          </w:p>
        </w:tc>
      </w:tr>
      <w:tr>
        <w:tc>
          <w:tcPr>
            <w:tcW w:type="dxa" w:w="5100"/>
            <w:vAlign w:val="top"/>
            <w:shd w:fill="F6F1E8"/>
          </w:tcPr>
          <w:p>
            <w:r/>
            <w:r>
              <w:rPr>
                <w:rFonts w:ascii="Arial" w:hAnsi="Arial"/>
                <w:b/>
                <w:color w:val="0B132B"/>
                <w:sz w:val="17"/>
              </w:rPr>
              <w:t>Öffentlichkeit</w:t>
            </w:r>
          </w:p>
        </w:tc>
        <w:tc>
          <w:tcPr>
            <w:tcW w:type="dxa" w:w="5100"/>
            <w:vAlign w:val="top"/>
          </w:tcPr>
          <w:p>
            <w:r/>
            <w:r>
              <w:rPr>
                <w:rFonts w:ascii="Arial" w:hAnsi="Arial"/>
                <w:b w:val="0"/>
                <w:sz w:val="17"/>
              </w:rPr>
              <w:t>Online lesbar und als Download verfügbar</w:t>
            </w:r>
          </w:p>
        </w:tc>
      </w:tr>
    </w:tbl>
    <w:p/>
    <w:p>
      <w:r>
        <w:rPr>
          <w:i/>
          <w:color w:val="6B6F73"/>
          <w:sz w:val="18"/>
        </w:rPr>
        <w:t>Leitformel: Wirkung ist neutral und relational. Bewertet wird sie am Referenzrahmen der SDGs, der Agenda 2030 und SDG+. Ziel ist positive Netto-Wirkung für Mensch, Planet und Demokratie.</w:t>
      </w:r>
    </w:p>
    <w:p>
      <w:r>
        <w:br w:type="page"/>
      </w:r>
    </w:p>
    <w:p>
      <w:pPr>
        <w:pStyle w:val="Heading1"/>
      </w:pPr>
      <w:r>
        <w:t>Inhaltslogik</w:t>
      </w:r>
    </w:p>
    <w:p>
      <w:pPr>
        <w:pStyle w:val="Heading1"/>
      </w:pPr>
      <w:r>
        <w:t>1. Wirkungsrente und neuer Generationenvertrag</w:t>
      </w:r>
    </w:p>
    <w:p>
      <w:pPr>
        <w:pStyle w:val="Heading2"/>
      </w:pPr>
      <w:r>
        <w:t>1. Zweck und Abgrenzung</w:t>
      </w:r>
    </w:p>
    <w:p>
      <w:r>
        <w:t>Dieses Detailkonzept beschreibt den Unterbereich "Wirkungsrente und neuer Generationenvertrag" als eigenständigen Baustein des Portals Rente &amp; soziale Sicherung. Es grenzt den Baustein von klassischen Rentenreformen ab und zeigt, wie er in die Wirkungsökonomie eingebettet wird.</w:t>
      </w:r>
    </w:p>
    <w:p>
      <w:pPr>
        <w:pStyle w:val="Heading2"/>
      </w:pPr>
      <w:r>
        <w:t>2. Alte Logik und Problemstruktur</w:t>
      </w:r>
    </w:p>
    <w:p>
      <w:r>
        <w:t>Das bestehende Rentensystem koppelt Sicherheit im Alter stark an Erwerbsbiografie, Einkommen und Beitragsjahre. Dadurch erscheinen Care-Arbeit, Bildung, Pflege, Ehrenamt, Prävention, Transformation und demokratisches Engagement zu oft als Randzeiten oder Lücken, obwohl sie gesellschaftliche Stabilität tragen.</w:t>
      </w:r>
    </w:p>
    <w:p>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Heading2"/>
      </w:pPr>
      <w:r>
        <w:t>3. Wirkungsökonomischer Perspektivwechsel</w:t>
      </w:r>
    </w:p>
    <w:p>
      <w:r>
        <w:t>Die Wirkungsrente denkt Generationenvertrag als Wirkungskreislauf: Die Wirkenden sichern die Zukunft der Wirkenden. Rente wird nicht nur als Auszahlung vergangener Beiträge verstanden, sondern als Anerkennung und Stabilisierung eines lebenslangen Wirkungsbeitrags.</w:t>
      </w:r>
    </w:p>
    <w:p>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Heading2"/>
      </w:pPr>
      <w:r>
        <w:t>4. Unterkapitel und Struktur</w:t>
      </w:r>
    </w:p>
    <w:p>
      <w:pPr>
        <w:pStyle w:val="Heading3"/>
      </w:pPr>
      <w:r>
        <w:t>Generationengerechtigkeit ohne Generationenkampf</w:t>
      </w:r>
    </w:p>
    <w:p>
      <w:r>
        <w:t>Dieser Abschnitt untersucht generationengerechtigkeit ohne generationenkampf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Wirkung statt bloßer Beitragsbiografie</w:t>
      </w:r>
    </w:p>
    <w:p>
      <w:r>
        <w:t>Dieser Abschnitt untersucht wirkung statt bloßer beitragsbiografie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Rente als Vertrauensarchitektur</w:t>
      </w:r>
    </w:p>
    <w:p>
      <w:r>
        <w:t>Dieser Abschnitt untersucht rente als vertrauensarchitektur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Vom Umlagesystem zum lernenden Wirkungskreislauf</w:t>
      </w:r>
    </w:p>
    <w:p>
      <w:r>
        <w:t>Dieser Abschnitt untersucht vom umlagesystem zum lernenden wirkungskreislauf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Politische Ausgestaltungsspielräume</w:t>
      </w:r>
    </w:p>
    <w:p>
      <w:r>
        <w:t>Dieser Abschnitt untersucht politische ausgestaltungsspielräume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2"/>
      </w:pPr>
      <w:r>
        <w:t>5. Daten, Indikatoren und WÖk-ID-Anschluss</w:t>
      </w:r>
    </w:p>
    <w:p>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Heading2"/>
      </w:pPr>
      <w:r>
        <w:t>6. Berechnungs- oder Bewertungslogik</w:t>
      </w:r>
    </w:p>
    <w:p>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Heading2"/>
      </w:pPr>
      <w:r>
        <w:t>7. Schutzlinien</w:t>
      </w:r>
    </w:p>
    <w:p>
      <w:pPr>
        <w:pStyle w:val="ListBullet"/>
      </w:pPr>
      <w:r>
        <w:t>Keine automatische Letztentscheidung.</w:t>
      </w:r>
    </w:p>
    <w:p>
      <w:pPr>
        <w:pStyle w:val="ListBullet"/>
      </w:pPr>
      <w:r>
        <w:t>Keine Absenkung unter die Würde- und Teilhabeebene.</w:t>
      </w:r>
    </w:p>
    <w:p>
      <w:pPr>
        <w:pStyle w:val="ListBullet"/>
      </w:pPr>
      <w:r>
        <w:t>Keine pauschale Bewertung von Personen nach Branchenzugehörigkeit.</w:t>
      </w:r>
    </w:p>
    <w:p>
      <w:pPr>
        <w:pStyle w:val="ListBullet"/>
      </w:pPr>
      <w:r>
        <w:t>Datensparsamkeit und Zweckbindung.</w:t>
      </w:r>
    </w:p>
    <w:p>
      <w:pPr>
        <w:pStyle w:val="ListBullet"/>
      </w:pPr>
      <w:r>
        <w:t>Recht auf Auskunft, Korrektur und Widerspruch.</w:t>
      </w:r>
    </w:p>
    <w:p>
      <w:pPr>
        <w:pStyle w:val="ListBullet"/>
      </w:pPr>
      <w:r>
        <w:t>Parlamentarische und gerichtliche Kontrolle.</w:t>
      </w:r>
    </w:p>
    <w:p>
      <w:pPr>
        <w:pStyle w:val="Heading2"/>
      </w:pPr>
      <w:r>
        <w:t>8. Politische Anschlussfähigkeit</w:t>
      </w:r>
    </w:p>
    <w:p>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Heading2"/>
      </w:pPr>
      <w:r>
        <w:t>9. SDG-/SDG+-Bezug</w:t>
      </w:r>
    </w:p>
    <w:p>
      <w:r>
        <w:t>SDG 1, SDG 3, SDG 8, SDG 10, SDG 16, SDG 17, SDG+ institutionelles Vertrauen, SDG+ gesellschaftlicher Zusammenhalt</w:t>
      </w:r>
    </w:p>
    <w:p>
      <w:r>
        <w:br w:type="page"/>
      </w:r>
    </w:p>
    <w:p>
      <w:pPr>
        <w:pStyle w:val="Heading1"/>
      </w:pPr>
      <w:r>
        <w:t>2. Basisrente, Würdesicherung und soziale Teilhabe</w:t>
      </w:r>
    </w:p>
    <w:p>
      <w:pPr>
        <w:pStyle w:val="Heading2"/>
      </w:pPr>
      <w:r>
        <w:t>1. Zweck und Abgrenzung</w:t>
      </w:r>
    </w:p>
    <w:p>
      <w:r>
        <w:t>Dieses Detailkonzept beschreibt den Unterbereich "Basisrente, Würdesicherung und soziale Teilhabe" als eigenständigen Baustein des Portals Rente &amp; soziale Sicherung. Es grenzt den Baustein von klassischen Rentenreformen ab und zeigt, wie er in die Wirkungsökonomie eingebettet wird.</w:t>
      </w:r>
    </w:p>
    <w:p>
      <w:pPr>
        <w:pStyle w:val="Heading2"/>
      </w:pPr>
      <w:r>
        <w:t>2. Alte Logik und Problemstruktur</w:t>
      </w:r>
    </w:p>
    <w:p>
      <w:r>
        <w:t>Altersarmut und Unsicherheit entstehen dort, wo Alterssicherung zu stark an Markteinkommen gekoppelt bleibt. Wer lange Care leistet, prekär arbeitet oder von Strukturwandel betroffen ist, kann trotz hoher Lebenswirkung geringe Rentenansprüche haben.</w:t>
      </w:r>
    </w:p>
    <w:p>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Heading2"/>
      </w:pPr>
      <w:r>
        <w:t>3. Wirkungsökonomischer Perspektivwechsel</w:t>
      </w:r>
    </w:p>
    <w:p>
      <w:r>
        <w:t>Eine wirkungsökonomische Basisrente schützt Würde und Teilhabe unabhängig davon, ob Lebensleistung in hohe Einkommen übersetzt wurde. Sie ist kein Almosen, sondern die untere Stabilitätsebene eines demokratischen Gemeinwesens.</w:t>
      </w:r>
    </w:p>
    <w:p>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Heading2"/>
      </w:pPr>
      <w:r>
        <w:t>4. Unterkapitel und Struktur</w:t>
      </w:r>
    </w:p>
    <w:p>
      <w:pPr>
        <w:pStyle w:val="Heading3"/>
      </w:pPr>
      <w:r>
        <w:t>Würdegrenze statt bloßer Mindestsicherung</w:t>
      </w:r>
    </w:p>
    <w:p>
      <w:r>
        <w:t>Dieser Abschnitt untersucht würdegrenze statt bloßer mindestsicherung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Teilhabe im Alter als gesellschaftliche Infrastruktur</w:t>
      </w:r>
    </w:p>
    <w:p>
      <w:r>
        <w:t>Dieser Abschnitt untersucht teilhabe im alter als gesellschaftliche infrastruktur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Verbindung zu Grundsicherung und Pflege</w:t>
      </w:r>
    </w:p>
    <w:p>
      <w:r>
        <w:t>Dieser Abschnitt untersucht verbindung zu grundsicherung und pflege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Schutz vor verdeckter Altersarmut</w:t>
      </w:r>
    </w:p>
    <w:p>
      <w:r>
        <w:t>Dieser Abschnitt untersucht schutz vor verdeckter altersarmut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Finanzierung und politische Spielräume</w:t>
      </w:r>
    </w:p>
    <w:p>
      <w:r>
        <w:t>Dieser Abschnitt untersucht finanzierung und politische spielräume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2"/>
      </w:pPr>
      <w:r>
        <w:t>5. Daten, Indikatoren und WÖk-ID-Anschluss</w:t>
      </w:r>
    </w:p>
    <w:p>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Heading2"/>
      </w:pPr>
      <w:r>
        <w:t>6. Berechnungs- oder Bewertungslogik</w:t>
      </w:r>
    </w:p>
    <w:p>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Heading2"/>
      </w:pPr>
      <w:r>
        <w:t>7. Schutzlinien</w:t>
      </w:r>
    </w:p>
    <w:p>
      <w:pPr>
        <w:pStyle w:val="ListBullet"/>
      </w:pPr>
      <w:r>
        <w:t>Keine automatische Letztentscheidung.</w:t>
      </w:r>
    </w:p>
    <w:p>
      <w:pPr>
        <w:pStyle w:val="ListBullet"/>
      </w:pPr>
      <w:r>
        <w:t>Keine Absenkung unter die Würde- und Teilhabeebene.</w:t>
      </w:r>
    </w:p>
    <w:p>
      <w:pPr>
        <w:pStyle w:val="ListBullet"/>
      </w:pPr>
      <w:r>
        <w:t>Keine pauschale Bewertung von Personen nach Branchenzugehörigkeit.</w:t>
      </w:r>
    </w:p>
    <w:p>
      <w:pPr>
        <w:pStyle w:val="ListBullet"/>
      </w:pPr>
      <w:r>
        <w:t>Datensparsamkeit und Zweckbindung.</w:t>
      </w:r>
    </w:p>
    <w:p>
      <w:pPr>
        <w:pStyle w:val="ListBullet"/>
      </w:pPr>
      <w:r>
        <w:t>Recht auf Auskunft, Korrektur und Widerspruch.</w:t>
      </w:r>
    </w:p>
    <w:p>
      <w:pPr>
        <w:pStyle w:val="ListBullet"/>
      </w:pPr>
      <w:r>
        <w:t>Parlamentarische und gerichtliche Kontrolle.</w:t>
      </w:r>
    </w:p>
    <w:p>
      <w:pPr>
        <w:pStyle w:val="Heading2"/>
      </w:pPr>
      <w:r>
        <w:t>8. Politische Anschlussfähigkeit</w:t>
      </w:r>
    </w:p>
    <w:p>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Heading2"/>
      </w:pPr>
      <w:r>
        <w:t>9. SDG-/SDG+-Bezug</w:t>
      </w:r>
    </w:p>
    <w:p>
      <w:r>
        <w:t>SDG 1, SDG 3, SDG 10, SDG 16, SDG+ gesellschaftlicher Zusammenhalt</w:t>
      </w:r>
    </w:p>
    <w:p>
      <w:r>
        <w:br w:type="page"/>
      </w:r>
    </w:p>
    <w:p>
      <w:pPr>
        <w:pStyle w:val="Heading1"/>
      </w:pPr>
      <w:r>
        <w:t>3. Lebenswirkungs-Konto und Wirkungsbiografie</w:t>
      </w:r>
    </w:p>
    <w:p>
      <w:pPr>
        <w:pStyle w:val="Heading2"/>
      </w:pPr>
      <w:r>
        <w:t>1. Zweck und Abgrenzung</w:t>
      </w:r>
    </w:p>
    <w:p>
      <w:r>
        <w:t>Dieses Detailkonzept beschreibt den Unterbereich "Lebenswirkungs-Konto und Wirkungsbiografie" als eigenständigen Baustein des Portals Rente &amp; soziale Sicherung. Es grenzt den Baustein von klassischen Rentenreformen ab und zeigt, wie er in die Wirkungsökonomie eingebettet wird.</w:t>
      </w:r>
    </w:p>
    <w:p>
      <w:pPr>
        <w:pStyle w:val="Heading2"/>
      </w:pPr>
      <w:r>
        <w:t>2. Alte Logik und Problemstruktur</w:t>
      </w:r>
    </w:p>
    <w:p>
      <w:r>
        <w:t>Lebensläufe werden rentenrechtlich häufig als Beitrags-, Versicherungs- und Lückenbiografien gelesen. Diese Sicht erkennt Tätigkeiten nur unvollständig, die nicht gut bezahlt sind, aber Zustände verbessern.</w:t>
      </w:r>
    </w:p>
    <w:p>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Heading2"/>
      </w:pPr>
      <w:r>
        <w:t>3. Wirkungsökonomischer Perspektivwechsel</w:t>
      </w:r>
    </w:p>
    <w:p>
      <w:r>
        <w:t>Das Lebenswirkungs-Konto macht Wirkung über den Lebenslauf sichtbar, ohne Menschen zu bewerten. Es dokumentiert anerkannte Wirkungsräume, Qualifikationen, Care-Zeiten, Engagement, Transformationsbeiträge und Belastungen als Grundlage für Transparenz und Fairness.</w:t>
      </w:r>
    </w:p>
    <w:p>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Heading2"/>
      </w:pPr>
      <w:r>
        <w:t>4. Unterkapitel und Struktur</w:t>
      </w:r>
    </w:p>
    <w:p>
      <w:pPr>
        <w:pStyle w:val="Heading3"/>
      </w:pPr>
      <w:r>
        <w:t>Was gespeichert wird - und was nicht</w:t>
      </w:r>
    </w:p>
    <w:p>
      <w:r>
        <w:t>Dieser Abschnitt untersucht was gespeichert wird - und was nicht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Keine Personenbewertung, kein Social Credit</w:t>
      </w:r>
    </w:p>
    <w:p>
      <w:r>
        <w:t>Dieser Abschnitt untersucht keine personenbewertung, kein social credit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Anerkennungsfelder und Nachweise</w:t>
      </w:r>
    </w:p>
    <w:p>
      <w:r>
        <w:t>Dieser Abschnitt untersucht anerkennungsfelder und nachweise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Datenschutz und Recht auf Korrektur</w:t>
      </w:r>
    </w:p>
    <w:p>
      <w:r>
        <w:t>Dieser Abschnitt untersucht datenschutz und recht auf korrektur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Online- und Offline-Zugänglichkeit</w:t>
      </w:r>
    </w:p>
    <w:p>
      <w:r>
        <w:t>Dieser Abschnitt untersucht online- und offline-zugänglichkeit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2"/>
      </w:pPr>
      <w:r>
        <w:t>5. Daten, Indikatoren und WÖk-ID-Anschluss</w:t>
      </w:r>
    </w:p>
    <w:p>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Heading2"/>
      </w:pPr>
      <w:r>
        <w:t>6. Berechnungs- oder Bewertungslogik</w:t>
      </w:r>
    </w:p>
    <w:p>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Heading2"/>
      </w:pPr>
      <w:r>
        <w:t>7. Schutzlinien</w:t>
      </w:r>
    </w:p>
    <w:p>
      <w:pPr>
        <w:pStyle w:val="ListBullet"/>
      </w:pPr>
      <w:r>
        <w:t>Keine automatische Letztentscheidung.</w:t>
      </w:r>
    </w:p>
    <w:p>
      <w:pPr>
        <w:pStyle w:val="ListBullet"/>
      </w:pPr>
      <w:r>
        <w:t>Keine Absenkung unter die Würde- und Teilhabeebene.</w:t>
      </w:r>
    </w:p>
    <w:p>
      <w:pPr>
        <w:pStyle w:val="ListBullet"/>
      </w:pPr>
      <w:r>
        <w:t>Keine pauschale Bewertung von Personen nach Branchenzugehörigkeit.</w:t>
      </w:r>
    </w:p>
    <w:p>
      <w:pPr>
        <w:pStyle w:val="ListBullet"/>
      </w:pPr>
      <w:r>
        <w:t>Datensparsamkeit und Zweckbindung.</w:t>
      </w:r>
    </w:p>
    <w:p>
      <w:pPr>
        <w:pStyle w:val="ListBullet"/>
      </w:pPr>
      <w:r>
        <w:t>Recht auf Auskunft, Korrektur und Widerspruch.</w:t>
      </w:r>
    </w:p>
    <w:p>
      <w:pPr>
        <w:pStyle w:val="ListBullet"/>
      </w:pPr>
      <w:r>
        <w:t>Parlamentarische und gerichtliche Kontrolle.</w:t>
      </w:r>
    </w:p>
    <w:p>
      <w:pPr>
        <w:pStyle w:val="Heading2"/>
      </w:pPr>
      <w:r>
        <w:t>8. Politische Anschlussfähigkeit</w:t>
      </w:r>
    </w:p>
    <w:p>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Heading2"/>
      </w:pPr>
      <w:r>
        <w:t>9. SDG-/SDG+-Bezug</w:t>
      </w:r>
    </w:p>
    <w:p>
      <w:r>
        <w:t>SDG 4, SDG 5, SDG 8, SDG 10, SDG 16, SDG+ digitale Selbstbestimmung</w:t>
      </w:r>
    </w:p>
    <w:p>
      <w:r>
        <w:br w:type="page"/>
      </w:r>
    </w:p>
    <w:p>
      <w:pPr>
        <w:pStyle w:val="Heading1"/>
      </w:pPr>
      <w:r>
        <w:t>4. Lebenswirkungs-Faktor und Berechnungslogik</w:t>
      </w:r>
    </w:p>
    <w:p>
      <w:pPr>
        <w:pStyle w:val="Heading2"/>
      </w:pPr>
      <w:r>
        <w:t>1. Zweck und Abgrenzung</w:t>
      </w:r>
    </w:p>
    <w:p>
      <w:r>
        <w:t>Dieses Detailkonzept beschreibt den Unterbereich "Lebenswirkungs-Faktor und Berechnungslogik" als eigenständigen Baustein des Portals Rente &amp; soziale Sicherung. Es grenzt den Baustein von klassischen Rentenreformen ab und zeigt, wie er in die Wirkungsökonomie eingebettet wird.</w:t>
      </w:r>
    </w:p>
    <w:p>
      <w:pPr>
        <w:pStyle w:val="Heading2"/>
      </w:pPr>
      <w:r>
        <w:t>2. Alte Logik und Problemstruktur</w:t>
      </w:r>
    </w:p>
    <w:p>
      <w:r>
        <w:t>Die heutige Rentenformel rechnet Beiträge präzise, aber Wirkung nur indirekt. Sie kann nicht erklären, warum gesellschaftlich unverzichtbare Tätigkeiten im Alter oft schlechter abgesichert sind als hoch bezahlte, aber wirkungsambivalente Tätigkeiten.</w:t>
      </w:r>
    </w:p>
    <w:p>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Heading2"/>
      </w:pPr>
      <w:r>
        <w:t>3. Wirkungsökonomischer Perspektivwechsel</w:t>
      </w:r>
    </w:p>
    <w:p>
      <w:r>
        <w:t>Der Lebenswirkungs-Faktor ergänzt die klassische Rentenlogik um eine begrenzte, transparente und überprüfbare Wirkungslogik. Er erhöht nicht beliebig, sondern korrigiert erkennbare Wirkungslücken, ohne die Würdegrenze zu unterschreiten.</w:t>
      </w:r>
    </w:p>
    <w:p>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Heading2"/>
      </w:pPr>
      <w:r>
        <w:t>4. Unterkapitel und Struktur</w:t>
      </w:r>
    </w:p>
    <w:p>
      <w:pPr>
        <w:pStyle w:val="Heading3"/>
      </w:pPr>
      <w:r>
        <w:t>Arbeitsannahme v0.1 der Formel</w:t>
      </w:r>
    </w:p>
    <w:p>
      <w:r>
        <w:t>Dieser Abschnitt untersucht arbeitsannahme v0.1 der formel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Schutzkorridore und Begrenzungen</w:t>
      </w:r>
    </w:p>
    <w:p>
      <w:r>
        <w:t>Dieser Abschnitt untersucht schutzkorridore und begrenzungen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Positive, negative und neutrale Wirkung</w:t>
      </w:r>
    </w:p>
    <w:p>
      <w:r>
        <w:t>Dieser Abschnitt untersucht positive, negative und neutrale wirkung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Nicht-Kompensation bei roten Linien</w:t>
      </w:r>
    </w:p>
    <w:p>
      <w:r>
        <w:t>Dieser Abschnitt untersucht nicht-kompensation bei roten linien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Beispielrechnung und Unsicherheit</w:t>
      </w:r>
    </w:p>
    <w:p>
      <w:r>
        <w:t>Dieser Abschnitt untersucht beispielrechnung und unsicherheit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2"/>
      </w:pPr>
      <w:r>
        <w:t>5. Daten, Indikatoren und WÖk-ID-Anschluss</w:t>
      </w:r>
    </w:p>
    <w:p>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Heading2"/>
      </w:pPr>
      <w:r>
        <w:t>6. Berechnungs- oder Bewertungslogik</w:t>
      </w:r>
    </w:p>
    <w:p>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Heading2"/>
      </w:pPr>
      <w:r>
        <w:t>7. Schutzlinien</w:t>
      </w:r>
    </w:p>
    <w:p>
      <w:pPr>
        <w:pStyle w:val="ListBullet"/>
      </w:pPr>
      <w:r>
        <w:t>Keine automatische Letztentscheidung.</w:t>
      </w:r>
    </w:p>
    <w:p>
      <w:pPr>
        <w:pStyle w:val="ListBullet"/>
      </w:pPr>
      <w:r>
        <w:t>Keine Absenkung unter die Würde- und Teilhabeebene.</w:t>
      </w:r>
    </w:p>
    <w:p>
      <w:pPr>
        <w:pStyle w:val="ListBullet"/>
      </w:pPr>
      <w:r>
        <w:t>Keine pauschale Bewertung von Personen nach Branchenzugehörigkeit.</w:t>
      </w:r>
    </w:p>
    <w:p>
      <w:pPr>
        <w:pStyle w:val="ListBullet"/>
      </w:pPr>
      <w:r>
        <w:t>Datensparsamkeit und Zweckbindung.</w:t>
      </w:r>
    </w:p>
    <w:p>
      <w:pPr>
        <w:pStyle w:val="ListBullet"/>
      </w:pPr>
      <w:r>
        <w:t>Recht auf Auskunft, Korrektur und Widerspruch.</w:t>
      </w:r>
    </w:p>
    <w:p>
      <w:pPr>
        <w:pStyle w:val="ListBullet"/>
      </w:pPr>
      <w:r>
        <w:t>Parlamentarische und gerichtliche Kontrolle.</w:t>
      </w:r>
    </w:p>
    <w:p>
      <w:pPr>
        <w:pStyle w:val="Heading2"/>
      </w:pPr>
      <w:r>
        <w:t>8. Politische Anschlussfähigkeit</w:t>
      </w:r>
    </w:p>
    <w:p>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Heading2"/>
      </w:pPr>
      <w:r>
        <w:t>9. SDG-/SDG+-Bezug</w:t>
      </w:r>
    </w:p>
    <w:p>
      <w:r>
        <w:t>SDG 1, SDG 8, SDG 10, SDG 16, SDG+ Rechtsstaatlichkeit</w:t>
      </w:r>
    </w:p>
    <w:p>
      <w:r>
        <w:br w:type="page"/>
      </w:r>
    </w:p>
    <w:p>
      <w:pPr>
        <w:pStyle w:val="Heading1"/>
      </w:pPr>
      <w:r>
        <w:t>5. Care, Bildung, Pflege, Ehrenamt und Wirkleistung</w:t>
      </w:r>
    </w:p>
    <w:p>
      <w:pPr>
        <w:pStyle w:val="Heading2"/>
      </w:pPr>
      <w:r>
        <w:t>1. Zweck und Abgrenzung</w:t>
      </w:r>
    </w:p>
    <w:p>
      <w:r>
        <w:t>Dieses Detailkonzept beschreibt den Unterbereich "Care, Bildung, Pflege, Ehrenamt und Wirkleistung" als eigenständigen Baustein des Portals Rente &amp; soziale Sicherung. Es grenzt den Baustein von klassischen Rentenreformen ab und zeigt, wie er in die Wirkungsökonomie eingebettet wird.</w:t>
      </w:r>
    </w:p>
    <w:p>
      <w:pPr>
        <w:pStyle w:val="Heading2"/>
      </w:pPr>
      <w:r>
        <w:t>2. Alte Logik und Problemstruktur</w:t>
      </w:r>
    </w:p>
    <w:p>
      <w:r>
        <w:t>Care, Bildung, Pflege, Ehrenamt, kulturelle Arbeit und demokratisches Engagement erzeugen Stabilität, werden aber oft schlechter bezahlt oder gar nicht entlohnt. Das erzeugt Rentenlücken und schwächt Vertrauen in das Leistungsprinzip.</w:t>
      </w:r>
    </w:p>
    <w:p>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Heading2"/>
      </w:pPr>
      <w:r>
        <w:t>3. Wirkungsökonomischer Perspektivwechsel</w:t>
      </w:r>
    </w:p>
    <w:p>
      <w:r>
        <w:t>Die Wirkungsrente erkennt nicht-marktliche und unterbewertete Wirkleistung als systemische Leistung an. Sie unterscheidet dabei zwischen echter Wirkleistung, bloßer Aktivität und symbolischer Behauptung.</w:t>
      </w:r>
    </w:p>
    <w:p>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Heading2"/>
      </w:pPr>
      <w:r>
        <w:t>4. Unterkapitel und Struktur</w:t>
      </w:r>
    </w:p>
    <w:p>
      <w:pPr>
        <w:pStyle w:val="Heading3"/>
      </w:pPr>
      <w:r>
        <w:t>Care als Infrastrukturleistung</w:t>
      </w:r>
    </w:p>
    <w:p>
      <w:r>
        <w:t>Dieser Abschnitt untersucht care als infrastrukturleistung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Bildung und Prävention als Zukunftswirkung</w:t>
      </w:r>
    </w:p>
    <w:p>
      <w:r>
        <w:t>Dieser Abschnitt untersucht bildung und prävention als zukunftswirkung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Ehrenamt und Demokratiearbeit</w:t>
      </w:r>
    </w:p>
    <w:p>
      <w:r>
        <w:t>Dieser Abschnitt untersucht ehrenamt und demokratiearbeit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Nachweise ohne Bürokratiewut</w:t>
      </w:r>
    </w:p>
    <w:p>
      <w:r>
        <w:t>Dieser Abschnitt untersucht nachweise ohne bürokratiewut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Gender Pension Gap und Care-Gerechtigkeit</w:t>
      </w:r>
    </w:p>
    <w:p>
      <w:r>
        <w:t>Dieser Abschnitt untersucht gender pension gap und care-gerechtigkeit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2"/>
      </w:pPr>
      <w:r>
        <w:t>5. Daten, Indikatoren und WÖk-ID-Anschluss</w:t>
      </w:r>
    </w:p>
    <w:p>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Heading2"/>
      </w:pPr>
      <w:r>
        <w:t>6. Berechnungs- oder Bewertungslogik</w:t>
      </w:r>
    </w:p>
    <w:p>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Heading2"/>
      </w:pPr>
      <w:r>
        <w:t>7. Schutzlinien</w:t>
      </w:r>
    </w:p>
    <w:p>
      <w:pPr>
        <w:pStyle w:val="ListBullet"/>
      </w:pPr>
      <w:r>
        <w:t>Keine automatische Letztentscheidung.</w:t>
      </w:r>
    </w:p>
    <w:p>
      <w:pPr>
        <w:pStyle w:val="ListBullet"/>
      </w:pPr>
      <w:r>
        <w:t>Keine Absenkung unter die Würde- und Teilhabeebene.</w:t>
      </w:r>
    </w:p>
    <w:p>
      <w:pPr>
        <w:pStyle w:val="ListBullet"/>
      </w:pPr>
      <w:r>
        <w:t>Keine pauschale Bewertung von Personen nach Branchenzugehörigkeit.</w:t>
      </w:r>
    </w:p>
    <w:p>
      <w:pPr>
        <w:pStyle w:val="ListBullet"/>
      </w:pPr>
      <w:r>
        <w:t>Datensparsamkeit und Zweckbindung.</w:t>
      </w:r>
    </w:p>
    <w:p>
      <w:pPr>
        <w:pStyle w:val="ListBullet"/>
      </w:pPr>
      <w:r>
        <w:t>Recht auf Auskunft, Korrektur und Widerspruch.</w:t>
      </w:r>
    </w:p>
    <w:p>
      <w:pPr>
        <w:pStyle w:val="ListBullet"/>
      </w:pPr>
      <w:r>
        <w:t>Parlamentarische und gerichtliche Kontrolle.</w:t>
      </w:r>
    </w:p>
    <w:p>
      <w:pPr>
        <w:pStyle w:val="Heading2"/>
      </w:pPr>
      <w:r>
        <w:t>8. Politische Anschlussfähigkeit</w:t>
      </w:r>
    </w:p>
    <w:p>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Heading2"/>
      </w:pPr>
      <w:r>
        <w:t>9. SDG-/SDG+-Bezug</w:t>
      </w:r>
    </w:p>
    <w:p>
      <w:r>
        <w:t>SDG 3, SDG 4, SDG 5, SDG 10, SDG 16, SDG+ Demokratie</w:t>
      </w:r>
    </w:p>
    <w:p>
      <w:r>
        <w:br w:type="page"/>
      </w:r>
    </w:p>
    <w:p>
      <w:pPr>
        <w:pStyle w:val="Heading1"/>
      </w:pPr>
      <w:r>
        <w:t>6. Automatisierung, Sozialabgaben-Entkopplung und Wirkungsdividende</w:t>
      </w:r>
    </w:p>
    <w:p>
      <w:pPr>
        <w:pStyle w:val="Heading2"/>
      </w:pPr>
      <w:r>
        <w:t>1. Zweck und Abgrenzung</w:t>
      </w:r>
    </w:p>
    <w:p>
      <w:r>
        <w:t>Dieses Detailkonzept beschreibt den Unterbereich "Automatisierung, Sozialabgaben-Entkopplung und Wirkungsdividende" als eigenständigen Baustein des Portals Rente &amp; soziale Sicherung. Es grenzt den Baustein von klassischen Rentenreformen ab und zeigt, wie er in die Wirkungsökonomie eingebettet wird.</w:t>
      </w:r>
    </w:p>
    <w:p>
      <w:pPr>
        <w:pStyle w:val="Heading2"/>
      </w:pPr>
      <w:r>
        <w:t>2. Alte Logik und Problemstruktur</w:t>
      </w:r>
    </w:p>
    <w:p>
      <w:r>
        <w:t>Wenn Maschinen, KI und Plattformen mehr produktive Arbeit übernehmen, bricht die Kette Arbeit - Einkommen - Sozialabgaben - Rentenfinanzierung. Eine Ordnung, die soziale Sicherung an menschliche Lohnarbeit bindet, wird dadurch instabil.</w:t>
      </w:r>
    </w:p>
    <w:p>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Heading2"/>
      </w:pPr>
      <w:r>
        <w:t>3. Wirkungsökonomischer Perspektivwechsel</w:t>
      </w:r>
    </w:p>
    <w:p>
      <w:r>
        <w:t>Die Wirkungsökonomie entkoppelt die Finanzierungsbasis sozialer Sicherung schrittweise von menschlicher Arbeitsleistung. Automatisierte Wertschöpfung wird nicht bestraft, sondern gesellschaftlich rückgekoppelt: in Wirkungsfonds, Wirkungsdividende und sozial stabile Übergänge.</w:t>
      </w:r>
    </w:p>
    <w:p>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Heading2"/>
      </w:pPr>
      <w:r>
        <w:t>4. Unterkapitel und Struktur</w:t>
      </w:r>
    </w:p>
    <w:p>
      <w:pPr>
        <w:pStyle w:val="Heading3"/>
      </w:pPr>
      <w:r>
        <w:t>Warum Robotersteuer allein zu kurz greift</w:t>
      </w:r>
    </w:p>
    <w:p>
      <w:r>
        <w:t>Dieser Abschnitt untersucht warum robotersteuer allein zu kurz greift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Maschinenleistung als Wertschöpfungsquelle</w:t>
      </w:r>
    </w:p>
    <w:p>
      <w:r>
        <w:t>Dieser Abschnitt untersucht maschinenleistung als wertschöpfungsquelle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Sozialabgaben-Entkopplung</w:t>
      </w:r>
    </w:p>
    <w:p>
      <w:r>
        <w:t>Dieser Abschnitt untersucht sozialabgaben-entkopplung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Wirkungsdividende als systemischer Anspruch</w:t>
      </w:r>
    </w:p>
    <w:p>
      <w:r>
        <w:t>Dieser Abschnitt untersucht wirkungsdividende als systemischer anspruch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Übergänge für Unternehmen und Beschäftigte</w:t>
      </w:r>
    </w:p>
    <w:p>
      <w:r>
        <w:t>Dieser Abschnitt untersucht übergänge für unternehmen und beschäftigte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2"/>
      </w:pPr>
      <w:r>
        <w:t>5. Daten, Indikatoren und WÖk-ID-Anschluss</w:t>
      </w:r>
    </w:p>
    <w:p>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Heading2"/>
      </w:pPr>
      <w:r>
        <w:t>6. Berechnungs- oder Bewertungslogik</w:t>
      </w:r>
    </w:p>
    <w:p>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Heading2"/>
      </w:pPr>
      <w:r>
        <w:t>7. Schutzlinien</w:t>
      </w:r>
    </w:p>
    <w:p>
      <w:pPr>
        <w:pStyle w:val="ListBullet"/>
      </w:pPr>
      <w:r>
        <w:t>Keine automatische Letztentscheidung.</w:t>
      </w:r>
    </w:p>
    <w:p>
      <w:pPr>
        <w:pStyle w:val="ListBullet"/>
      </w:pPr>
      <w:r>
        <w:t>Keine Absenkung unter die Würde- und Teilhabeebene.</w:t>
      </w:r>
    </w:p>
    <w:p>
      <w:pPr>
        <w:pStyle w:val="ListBullet"/>
      </w:pPr>
      <w:r>
        <w:t>Keine pauschale Bewertung von Personen nach Branchenzugehörigkeit.</w:t>
      </w:r>
    </w:p>
    <w:p>
      <w:pPr>
        <w:pStyle w:val="ListBullet"/>
      </w:pPr>
      <w:r>
        <w:t>Datensparsamkeit und Zweckbindung.</w:t>
      </w:r>
    </w:p>
    <w:p>
      <w:pPr>
        <w:pStyle w:val="ListBullet"/>
      </w:pPr>
      <w:r>
        <w:t>Recht auf Auskunft, Korrektur und Widerspruch.</w:t>
      </w:r>
    </w:p>
    <w:p>
      <w:pPr>
        <w:pStyle w:val="ListBullet"/>
      </w:pPr>
      <w:r>
        <w:t>Parlamentarische und gerichtliche Kontrolle.</w:t>
      </w:r>
    </w:p>
    <w:p>
      <w:pPr>
        <w:pStyle w:val="Heading2"/>
      </w:pPr>
      <w:r>
        <w:t>8. Politische Anschlussfähigkeit</w:t>
      </w:r>
    </w:p>
    <w:p>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Heading2"/>
      </w:pPr>
      <w:r>
        <w:t>9. SDG-/SDG+-Bezug</w:t>
      </w:r>
    </w:p>
    <w:p>
      <w:r>
        <w:t>SDG 8, SDG 9, SDG 10, SDG 16, SDG+ institutionelles Vertrauen</w:t>
      </w:r>
    </w:p>
    <w:p>
      <w:r>
        <w:br w:type="page"/>
      </w:r>
    </w:p>
    <w:p>
      <w:pPr>
        <w:pStyle w:val="Heading1"/>
      </w:pPr>
      <w:r>
        <w:t>7. Renten-Impact-Fonds und Wirkungsfondsarchitektur</w:t>
      </w:r>
    </w:p>
    <w:p>
      <w:pPr>
        <w:pStyle w:val="Heading2"/>
      </w:pPr>
      <w:r>
        <w:t>1. Zweck und Abgrenzung</w:t>
      </w:r>
    </w:p>
    <w:p>
      <w:r>
        <w:t>Dieses Detailkonzept beschreibt den Unterbereich "Renten-Impact-Fonds und Wirkungsfondsarchitektur" als eigenständigen Baustein des Portals Rente &amp; soziale Sicherung. Es grenzt den Baustein von klassischen Rentenreformen ab und zeigt, wie er in die Wirkungsökonomie eingebettet wird.</w:t>
      </w:r>
    </w:p>
    <w:p>
      <w:pPr>
        <w:pStyle w:val="Heading2"/>
      </w:pPr>
      <w:r>
        <w:t>2. Alte Logik und Problemstruktur</w:t>
      </w:r>
    </w:p>
    <w:p>
      <w:r>
        <w:t>Kapitalgedeckte Altersvorsorge kann alte Fehler wiederholen, wenn sie Rendite aus zerstörerischen Geschäftsmodellen bezieht. Dann finanziert Altersvorsorge die Risiken, die künftige Generationen tragen müssen.</w:t>
      </w:r>
    </w:p>
    <w:p>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Heading2"/>
      </w:pPr>
      <w:r>
        <w:t>3. Wirkungsökonomischer Perspektivwechsel</w:t>
      </w:r>
    </w:p>
    <w:p>
      <w:r>
        <w:t>Wirkungsfonds investieren Kapital nach positiver Netto-Wirkung. Der Renten-Impact-Fonds wird nicht als Spekulationsinstrument verstanden, sondern als Transformations- und Stabilitätsinstrument für Bildung, Gesundheit, Wohnen, Klima, Pflege, Demokratie und Infrastruktur.</w:t>
      </w:r>
    </w:p>
    <w:p>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Heading2"/>
      </w:pPr>
      <w:r>
        <w:t>4. Unterkapitel und Struktur</w:t>
      </w:r>
    </w:p>
    <w:p>
      <w:pPr>
        <w:pStyle w:val="Heading3"/>
      </w:pPr>
      <w:r>
        <w:t>Kapital als Werkzeug, nicht Ziel</w:t>
      </w:r>
    </w:p>
    <w:p>
      <w:r>
        <w:t>Dieser Abschnitt untersucht kapital als werkzeug, nicht ziel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Fondsquellen und Mittelverwendung</w:t>
      </w:r>
    </w:p>
    <w:p>
      <w:r>
        <w:t>Dieser Abschnitt untersucht fondsquellen und mittelverwendung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Investitionskriterien und Ausschlüsse</w:t>
      </w:r>
    </w:p>
    <w:p>
      <w:r>
        <w:t>Dieser Abschnitt untersucht investitionskriterien und ausschlüsse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Rendite als Folge positiver Wirkung</w:t>
      </w:r>
    </w:p>
    <w:p>
      <w:r>
        <w:t>Dieser Abschnitt untersucht rendite als folge positiver wirkung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Governance und Wirkungsrat</w:t>
      </w:r>
    </w:p>
    <w:p>
      <w:r>
        <w:t>Dieser Abschnitt untersucht governance und wirkungsrat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2"/>
      </w:pPr>
      <w:r>
        <w:t>5. Daten, Indikatoren und WÖk-ID-Anschluss</w:t>
      </w:r>
    </w:p>
    <w:p>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Heading2"/>
      </w:pPr>
      <w:r>
        <w:t>6. Berechnungs- oder Bewertungslogik</w:t>
      </w:r>
    </w:p>
    <w:p>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Heading2"/>
      </w:pPr>
      <w:r>
        <w:t>7. Schutzlinien</w:t>
      </w:r>
    </w:p>
    <w:p>
      <w:pPr>
        <w:pStyle w:val="ListBullet"/>
      </w:pPr>
      <w:r>
        <w:t>Keine automatische Letztentscheidung.</w:t>
      </w:r>
    </w:p>
    <w:p>
      <w:pPr>
        <w:pStyle w:val="ListBullet"/>
      </w:pPr>
      <w:r>
        <w:t>Keine Absenkung unter die Würde- und Teilhabeebene.</w:t>
      </w:r>
    </w:p>
    <w:p>
      <w:pPr>
        <w:pStyle w:val="ListBullet"/>
      </w:pPr>
      <w:r>
        <w:t>Keine pauschale Bewertung von Personen nach Branchenzugehörigkeit.</w:t>
      </w:r>
    </w:p>
    <w:p>
      <w:pPr>
        <w:pStyle w:val="ListBullet"/>
      </w:pPr>
      <w:r>
        <w:t>Datensparsamkeit und Zweckbindung.</w:t>
      </w:r>
    </w:p>
    <w:p>
      <w:pPr>
        <w:pStyle w:val="ListBullet"/>
      </w:pPr>
      <w:r>
        <w:t>Recht auf Auskunft, Korrektur und Widerspruch.</w:t>
      </w:r>
    </w:p>
    <w:p>
      <w:pPr>
        <w:pStyle w:val="ListBullet"/>
      </w:pPr>
      <w:r>
        <w:t>Parlamentarische und gerichtliche Kontrolle.</w:t>
      </w:r>
    </w:p>
    <w:p>
      <w:pPr>
        <w:pStyle w:val="Heading2"/>
      </w:pPr>
      <w:r>
        <w:t>8. Politische Anschlussfähigkeit</w:t>
      </w:r>
    </w:p>
    <w:p>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Heading2"/>
      </w:pPr>
      <w:r>
        <w:t>9. SDG-/SDG+-Bezug</w:t>
      </w:r>
    </w:p>
    <w:p>
      <w:r>
        <w:t>SDG 1, SDG 3, SDG 9, SDG 10, SDG 11, SDG 13, SDG 16, SDG 17</w:t>
      </w:r>
    </w:p>
    <w:p>
      <w:r>
        <w:br w:type="page"/>
      </w:r>
    </w:p>
    <w:p>
      <w:pPr>
        <w:pStyle w:val="Heading1"/>
      </w:pPr>
      <w:r>
        <w:t>8. Betriebliche und private Vorsorge nach Wirkung</w:t>
      </w:r>
    </w:p>
    <w:p>
      <w:pPr>
        <w:pStyle w:val="Heading2"/>
      </w:pPr>
      <w:r>
        <w:t>1. Zweck und Abgrenzung</w:t>
      </w:r>
    </w:p>
    <w:p>
      <w:r>
        <w:t>Dieses Detailkonzept beschreibt den Unterbereich "Betriebliche und private Vorsorge nach Wirkung" als eigenständigen Baustein des Portals Rente &amp; soziale Sicherung. Es grenzt den Baustein von klassischen Rentenreformen ab und zeigt, wie er in die Wirkungsökonomie eingebettet wird.</w:t>
      </w:r>
    </w:p>
    <w:p>
      <w:pPr>
        <w:pStyle w:val="Heading2"/>
      </w:pPr>
      <w:r>
        <w:t>2. Alte Logik und Problemstruktur</w:t>
      </w:r>
    </w:p>
    <w:p>
      <w:r>
        <w:t>Betriebliche und private Vorsorge können individuelle Sicherheit stärken, aber auch Wirkungslücken erzeugen, wenn Kapitalanlagen nach Rendite ohne Wirkungswahrheit gesteuert werden.</w:t>
      </w:r>
    </w:p>
    <w:p>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Heading2"/>
      </w:pPr>
      <w:r>
        <w:t>3. Wirkungsökonomischer Perspektivwechsel</w:t>
      </w:r>
    </w:p>
    <w:p>
      <w:r>
        <w:t>Die Wirkungsökonomie ordnet betriebliche und private Vorsorge nicht ab, sondern richtet sie neu aus: Transparente Kapitalwirkung, faire Kosten, soziale Zugänglichkeit und Resilienz werden zu Qualitätskriterien.</w:t>
      </w:r>
    </w:p>
    <w:p>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Heading2"/>
      </w:pPr>
      <w:r>
        <w:t>4. Unterkapitel und Struktur</w:t>
      </w:r>
    </w:p>
    <w:p>
      <w:pPr>
        <w:pStyle w:val="Heading3"/>
      </w:pPr>
      <w:r>
        <w:t>Betriebsrente als Transformationsinstrument</w:t>
      </w:r>
    </w:p>
    <w:p>
      <w:r>
        <w:t>Dieser Abschnitt untersucht betriebsrente als transformationsinstrument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Private Vorsorge ohne Greenwashing</w:t>
      </w:r>
    </w:p>
    <w:p>
      <w:r>
        <w:t>Dieser Abschnitt untersucht private vorsorge ohne greenwashing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Kapitalwirkung, ESG und WÖk-IDs</w:t>
      </w:r>
    </w:p>
    <w:p>
      <w:r>
        <w:t>Dieser Abschnitt untersucht kapitalwirkung, esg und wök-ids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Versicherbarkeit und Risiko-Wahrheit</w:t>
      </w:r>
    </w:p>
    <w:p>
      <w:r>
        <w:t>Dieser Abschnitt untersucht versicherbarkeit und risiko-wahrheit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Schutz für kleine Einkommen</w:t>
      </w:r>
    </w:p>
    <w:p>
      <w:r>
        <w:t>Dieser Abschnitt untersucht schutz für kleine einkommen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2"/>
      </w:pPr>
      <w:r>
        <w:t>5. Daten, Indikatoren und WÖk-ID-Anschluss</w:t>
      </w:r>
    </w:p>
    <w:p>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Heading2"/>
      </w:pPr>
      <w:r>
        <w:t>6. Berechnungs- oder Bewertungslogik</w:t>
      </w:r>
    </w:p>
    <w:p>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Heading2"/>
      </w:pPr>
      <w:r>
        <w:t>7. Schutzlinien</w:t>
      </w:r>
    </w:p>
    <w:p>
      <w:pPr>
        <w:pStyle w:val="ListBullet"/>
      </w:pPr>
      <w:r>
        <w:t>Keine automatische Letztentscheidung.</w:t>
      </w:r>
    </w:p>
    <w:p>
      <w:pPr>
        <w:pStyle w:val="ListBullet"/>
      </w:pPr>
      <w:r>
        <w:t>Keine Absenkung unter die Würde- und Teilhabeebene.</w:t>
      </w:r>
    </w:p>
    <w:p>
      <w:pPr>
        <w:pStyle w:val="ListBullet"/>
      </w:pPr>
      <w:r>
        <w:t>Keine pauschale Bewertung von Personen nach Branchenzugehörigkeit.</w:t>
      </w:r>
    </w:p>
    <w:p>
      <w:pPr>
        <w:pStyle w:val="ListBullet"/>
      </w:pPr>
      <w:r>
        <w:t>Datensparsamkeit und Zweckbindung.</w:t>
      </w:r>
    </w:p>
    <w:p>
      <w:pPr>
        <w:pStyle w:val="ListBullet"/>
      </w:pPr>
      <w:r>
        <w:t>Recht auf Auskunft, Korrektur und Widerspruch.</w:t>
      </w:r>
    </w:p>
    <w:p>
      <w:pPr>
        <w:pStyle w:val="ListBullet"/>
      </w:pPr>
      <w:r>
        <w:t>Parlamentarische und gerichtliche Kontrolle.</w:t>
      </w:r>
    </w:p>
    <w:p>
      <w:pPr>
        <w:pStyle w:val="Heading2"/>
      </w:pPr>
      <w:r>
        <w:t>8. Politische Anschlussfähigkeit</w:t>
      </w:r>
    </w:p>
    <w:p>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Heading2"/>
      </w:pPr>
      <w:r>
        <w:t>9. SDG-/SDG+-Bezug</w:t>
      </w:r>
    </w:p>
    <w:p>
      <w:r>
        <w:t>SDG 8, SDG 10, SDG 12, SDG 16, SDG+ institutionelles Vertrauen</w:t>
      </w:r>
    </w:p>
    <w:p>
      <w:r>
        <w:br w:type="page"/>
      </w:r>
    </w:p>
    <w:p>
      <w:pPr>
        <w:pStyle w:val="Heading1"/>
      </w:pPr>
      <w:r>
        <w:t>9. Rechtsschutz, Datenschutz und Korrekturverfahren</w:t>
      </w:r>
    </w:p>
    <w:p>
      <w:pPr>
        <w:pStyle w:val="Heading2"/>
      </w:pPr>
      <w:r>
        <w:t>1. Zweck und Abgrenzung</w:t>
      </w:r>
    </w:p>
    <w:p>
      <w:r>
        <w:t>Dieses Detailkonzept beschreibt den Unterbereich "Rechtsschutz, Datenschutz und Korrekturverfahren" als eigenständigen Baustein des Portals Rente &amp; soziale Sicherung. Es grenzt den Baustein von klassischen Rentenreformen ab und zeigt, wie er in die Wirkungsökonomie eingebettet wird.</w:t>
      </w:r>
    </w:p>
    <w:p>
      <w:pPr>
        <w:pStyle w:val="Heading2"/>
      </w:pPr>
      <w:r>
        <w:t>2. Alte Logik und Problemstruktur</w:t>
      </w:r>
    </w:p>
    <w:p>
      <w:r>
        <w:t>Ein System, das Lebenswirkung sichtbar macht, kann Vertrauen nur gewinnen, wenn es klare Grenzen, Rechte, Korrekturwege und Schutz vor technokratischer Verengung hat.</w:t>
      </w:r>
    </w:p>
    <w:p>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Heading2"/>
      </w:pPr>
      <w:r>
        <w:t>3. Wirkungsökonomischer Perspektivwechsel</w:t>
      </w:r>
    </w:p>
    <w:p>
      <w:r>
        <w:t>Wirkungsdaten bereiten Entscheidungen vor, ersetzen sie aber nicht. Das Rentensystem braucht Transparenz, Datensparsamkeit, Einspruchsrechte, menschliche Prüfung und parlamentarische Kontrolle.</w:t>
      </w:r>
    </w:p>
    <w:p>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Heading2"/>
      </w:pPr>
      <w:r>
        <w:t>4. Unterkapitel und Struktur</w:t>
      </w:r>
    </w:p>
    <w:p>
      <w:pPr>
        <w:pStyle w:val="Heading3"/>
      </w:pPr>
      <w:r>
        <w:t>Datensparsamkeit und Zweckbindung</w:t>
      </w:r>
    </w:p>
    <w:p>
      <w:r>
        <w:t>Dieser Abschnitt untersucht datensparsamkeit und zweckbindung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Recht auf Auskunft und Korrektur</w:t>
      </w:r>
    </w:p>
    <w:p>
      <w:r>
        <w:t>Dieser Abschnitt untersucht recht auf auskunft und korrektur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Keine automatisierte Letztentscheidung</w:t>
      </w:r>
    </w:p>
    <w:p>
      <w:r>
        <w:t>Dieser Abschnitt untersucht keine automatisierte letztentscheidung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Schutz vulnerabler Gruppen</w:t>
      </w:r>
    </w:p>
    <w:p>
      <w:r>
        <w:t>Dieser Abschnitt untersucht schutz vulnerabler gruppen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Demokratische Evaluation</w:t>
      </w:r>
    </w:p>
    <w:p>
      <w:r>
        <w:t>Dieser Abschnitt untersucht demokratische evaluation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2"/>
      </w:pPr>
      <w:r>
        <w:t>5. Daten, Indikatoren und WÖk-ID-Anschluss</w:t>
      </w:r>
    </w:p>
    <w:p>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Heading2"/>
      </w:pPr>
      <w:r>
        <w:t>6. Berechnungs- oder Bewertungslogik</w:t>
      </w:r>
    </w:p>
    <w:p>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Heading2"/>
      </w:pPr>
      <w:r>
        <w:t>7. Schutzlinien</w:t>
      </w:r>
    </w:p>
    <w:p>
      <w:pPr>
        <w:pStyle w:val="ListBullet"/>
      </w:pPr>
      <w:r>
        <w:t>Keine automatische Letztentscheidung.</w:t>
      </w:r>
    </w:p>
    <w:p>
      <w:pPr>
        <w:pStyle w:val="ListBullet"/>
      </w:pPr>
      <w:r>
        <w:t>Keine Absenkung unter die Würde- und Teilhabeebene.</w:t>
      </w:r>
    </w:p>
    <w:p>
      <w:pPr>
        <w:pStyle w:val="ListBullet"/>
      </w:pPr>
      <w:r>
        <w:t>Keine pauschale Bewertung von Personen nach Branchenzugehörigkeit.</w:t>
      </w:r>
    </w:p>
    <w:p>
      <w:pPr>
        <w:pStyle w:val="ListBullet"/>
      </w:pPr>
      <w:r>
        <w:t>Datensparsamkeit und Zweckbindung.</w:t>
      </w:r>
    </w:p>
    <w:p>
      <w:pPr>
        <w:pStyle w:val="ListBullet"/>
      </w:pPr>
      <w:r>
        <w:t>Recht auf Auskunft, Korrektur und Widerspruch.</w:t>
      </w:r>
    </w:p>
    <w:p>
      <w:pPr>
        <w:pStyle w:val="ListBullet"/>
      </w:pPr>
      <w:r>
        <w:t>Parlamentarische und gerichtliche Kontrolle.</w:t>
      </w:r>
    </w:p>
    <w:p>
      <w:pPr>
        <w:pStyle w:val="Heading2"/>
      </w:pPr>
      <w:r>
        <w:t>8. Politische Anschlussfähigkeit</w:t>
      </w:r>
    </w:p>
    <w:p>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Heading2"/>
      </w:pPr>
      <w:r>
        <w:t>9. SDG-/SDG+-Bezug</w:t>
      </w:r>
    </w:p>
    <w:p>
      <w:r>
        <w:t>SDG 10, SDG 16, SDG 17, SDG+ Rechtsstaatlichkeit, SDG+ digitale Selbstbestimmung</w:t>
      </w:r>
    </w:p>
    <w:p>
      <w:r>
        <w:br w:type="page"/>
      </w:r>
    </w:p>
    <w:p>
      <w:pPr>
        <w:pStyle w:val="Heading1"/>
      </w:pPr>
      <w:r>
        <w:t>10. Politische Anschlussfähigkeit und Umsetzungsoptionen</w:t>
      </w:r>
    </w:p>
    <w:p>
      <w:pPr>
        <w:pStyle w:val="Heading2"/>
      </w:pPr>
      <w:r>
        <w:t>1. Zweck und Abgrenzung</w:t>
      </w:r>
    </w:p>
    <w:p>
      <w:r>
        <w:t>Dieses Detailkonzept beschreibt den Unterbereich "Politische Anschlussfähigkeit und Umsetzungsoptionen" als eigenständigen Baustein des Portals Rente &amp; soziale Sicherung. Es grenzt den Baustein von klassischen Rentenreformen ab und zeigt, wie er in die Wirkungsökonomie eingebettet wird.</w:t>
      </w:r>
    </w:p>
    <w:p>
      <w:pPr>
        <w:pStyle w:val="Heading2"/>
      </w:pPr>
      <w:r>
        <w:t>2. Alte Logik und Problemstruktur</w:t>
      </w:r>
    </w:p>
    <w:p>
      <w:r>
        <w:t>Rentenreformen scheitern oft, wenn sie als Nullsummenspiel zwischen Generationen, Parteien oder Einkommensgruppen erscheinen.</w:t>
      </w:r>
    </w:p>
    <w:p>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Heading2"/>
      </w:pPr>
      <w:r>
        <w:t>3. Wirkungsökonomischer Perspektivwechsel</w:t>
      </w:r>
    </w:p>
    <w:p>
      <w:r>
        <w:t>Die Wirkungsrente formuliert einen Rahmen, aber keinen fertigen Parteibeschluss. Parteien können unterschiedliche Wege wählen: stärker umlageorientiert, stärker fondsorientiert, stärker kommunal, stärker marktwirtschaftlich oder stärker sozialstaatlich - solange Wirkung sichtbar, überprüfbar und korrigierbar bleibt.</w:t>
      </w:r>
    </w:p>
    <w:p>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Heading2"/>
      </w:pPr>
      <w:r>
        <w:t>4. Unterkapitel und Struktur</w:t>
      </w:r>
    </w:p>
    <w:p>
      <w:pPr>
        <w:pStyle w:val="Heading3"/>
      </w:pPr>
      <w:r>
        <w:t>Parteipolitischer Ausgestaltungsspielraum</w:t>
      </w:r>
    </w:p>
    <w:p>
      <w:r>
        <w:t>Dieser Abschnitt untersucht parteipolitischer ausgestaltungsspielraum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Pilotierung und Revisionszyklen</w:t>
      </w:r>
    </w:p>
    <w:p>
      <w:r>
        <w:t>Dieser Abschnitt untersucht pilotierung und revisionszyklen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Bund, Länder, Kommunen, EU</w:t>
      </w:r>
    </w:p>
    <w:p>
      <w:r>
        <w:t>Dieser Abschnitt untersucht bund, länder, kommunen, eu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Sozialer Schutz im Übergang</w:t>
      </w:r>
    </w:p>
    <w:p>
      <w:r>
        <w:t>Dieser Abschnitt untersucht sozialer schutz im übergang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3"/>
      </w:pPr>
      <w:r>
        <w:t>Evaluation und demokratische Korrektur</w:t>
      </w:r>
    </w:p>
    <w:p>
      <w:r>
        <w:t>Dieser Abschnitt untersucht evaluation und demokratische korrektur im Zusammenhang mit Rente, sozialer Sicherung und positiver Netto-Wirkung. Er beschreibt, welche Informationen benötigt werden, welche Akteure betroffen sind, welche rechtlichen Grenzen bestehen und welche Gestaltungsspielräume politisch offen bleiben.</w:t>
      </w:r>
    </w:p>
    <w:p>
      <w:pPr>
        <w:pStyle w:val="Heading2"/>
      </w:pPr>
      <w:r>
        <w:t>5. Daten, Indikatoren und WÖk-ID-Anschluss</w:t>
      </w:r>
    </w:p>
    <w:p>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Heading2"/>
      </w:pPr>
      <w:r>
        <w:t>6. Berechnungs- oder Bewertungslogik</w:t>
      </w:r>
    </w:p>
    <w:p>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Heading2"/>
      </w:pPr>
      <w:r>
        <w:t>7. Schutzlinien</w:t>
      </w:r>
    </w:p>
    <w:p>
      <w:pPr>
        <w:pStyle w:val="ListBullet"/>
      </w:pPr>
      <w:r>
        <w:t>Keine automatische Letztentscheidung.</w:t>
      </w:r>
    </w:p>
    <w:p>
      <w:pPr>
        <w:pStyle w:val="ListBullet"/>
      </w:pPr>
      <w:r>
        <w:t>Keine Absenkung unter die Würde- und Teilhabeebene.</w:t>
      </w:r>
    </w:p>
    <w:p>
      <w:pPr>
        <w:pStyle w:val="ListBullet"/>
      </w:pPr>
      <w:r>
        <w:t>Keine pauschale Bewertung von Personen nach Branchenzugehörigkeit.</w:t>
      </w:r>
    </w:p>
    <w:p>
      <w:pPr>
        <w:pStyle w:val="ListBullet"/>
      </w:pPr>
      <w:r>
        <w:t>Datensparsamkeit und Zweckbindung.</w:t>
      </w:r>
    </w:p>
    <w:p>
      <w:pPr>
        <w:pStyle w:val="ListBullet"/>
      </w:pPr>
      <w:r>
        <w:t>Recht auf Auskunft, Korrektur und Widerspruch.</w:t>
      </w:r>
    </w:p>
    <w:p>
      <w:pPr>
        <w:pStyle w:val="ListBullet"/>
      </w:pPr>
      <w:r>
        <w:t>Parlamentarische und gerichtliche Kontrolle.</w:t>
      </w:r>
    </w:p>
    <w:p>
      <w:pPr>
        <w:pStyle w:val="Heading2"/>
      </w:pPr>
      <w:r>
        <w:t>8. Politische Anschlussfähigkeit</w:t>
      </w:r>
    </w:p>
    <w:p>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Heading2"/>
      </w:pPr>
      <w:r>
        <w:t>9. SDG-/SDG+-Bezug</w:t>
      </w:r>
    </w:p>
    <w:p>
      <w:r>
        <w:t>SDG 16, SDG 17, SDG+ Demokratie, SDG+ Diskursfähigkeit</w:t>
      </w:r>
    </w:p>
    <w:p>
      <w:r>
        <w:br w:type="page"/>
      </w:r>
    </w:p>
    <w:p>
      <w:pPr>
        <w:pStyle w:val="Heading1"/>
      </w:pPr>
      <w:r>
        <w:t>Quellen und Referenzen</w:t>
      </w:r>
    </w:p>
    <w:p>
      <w:r>
        <w:t>Die folgenden Quellen dienen als öffentliche und methodische Referenzpunkte. Externe Links sind als Informationsquellen angegeben; die wirkungsökonomische Einordnung erfolgt im Rahmen der Wirkungsökonomie.</w:t>
      </w:r>
    </w:p>
    <w:p>
      <w:pPr>
        <w:pStyle w:val="ListBullet"/>
      </w:pPr>
      <w:r>
        <w:rPr>
          <w:b/>
        </w:rPr>
        <w:t xml:space="preserve">WÖk-Arbeitspapier Rentensystem: </w:t>
      </w:r>
      <w:r>
        <w:t>WP_Rente.pdf, Natalie Weber, 2025</w:t>
      </w:r>
    </w:p>
    <w:p>
      <w:pPr>
        <w:pStyle w:val="ListBullet"/>
      </w:pPr>
      <w:r>
        <w:rPr>
          <w:b/>
        </w:rPr>
        <w:t xml:space="preserve">Wenn Maschinen arbeiten: </w:t>
      </w:r>
      <w:r>
        <w:t>Natalie Weber, 2025</w:t>
      </w:r>
    </w:p>
    <w:p>
      <w:pPr>
        <w:pStyle w:val="ListBullet"/>
      </w:pPr>
      <w:r>
        <w:rPr>
          <w:b/>
        </w:rPr>
        <w:t xml:space="preserve">Die neue Ordnung des Wohlstands: </w:t>
      </w:r>
      <w:r>
        <w:t>Natalie Weber, 2026, Kapitel 56-58 und Exkurs SDGs</w:t>
      </w:r>
    </w:p>
    <w:p>
      <w:pPr>
        <w:pStyle w:val="ListBullet"/>
      </w:pPr>
      <w:r>
        <w:rPr>
          <w:b/>
        </w:rPr>
        <w:t xml:space="preserve">Systemmodell der Wirkungsökonomie: </w:t>
      </w:r>
      <w:r>
        <w:t>Natalie Weber, 2025, Finanzsystem &amp; Kapital / Gesellschaft &amp; Soziales</w:t>
      </w:r>
    </w:p>
    <w:p>
      <w:pPr>
        <w:pStyle w:val="ListBullet"/>
      </w:pPr>
      <w:r>
        <w:rPr>
          <w:b/>
        </w:rPr>
        <w:t xml:space="preserve">Führender Begriffsleitfaden: </w:t>
      </w:r>
      <w:r>
        <w:t>Wirkung ist neutral und relational, SDGs/Agenda2030/SDG+ als Referenzrahmen</w:t>
      </w:r>
    </w:p>
    <w:p>
      <w:pPr>
        <w:pStyle w:val="ListBullet"/>
      </w:pPr>
      <w:r>
        <w:rPr>
          <w:b/>
        </w:rPr>
        <w:t xml:space="preserve">BMAS Rentenversicherungsbericht 2025: </w:t>
      </w:r>
      <w:hyperlink ns2:id="rId11">
        <w:r>
          <w:rPr>
            <w:color w:val="2B7D5C"/>
            <w:u w:val="single"/>
          </w:rPr>
          <w:t>https://www.bmas.de/SharedDocs/Downloads/DE/Rente/rentenversicherungsbericht-2025.html</w:t>
        </w:r>
      </w:hyperlink>
    </w:p>
    <w:p>
      <w:pPr>
        <w:pStyle w:val="ListBullet"/>
      </w:pPr>
      <w:r>
        <w:rPr>
          <w:b/>
        </w:rPr>
        <w:t xml:space="preserve">Destatis Babyboomer und Erwerbspersonen 2025: </w:t>
      </w:r>
      <w:hyperlink ns2:id="rId12">
        <w:r>
          <w:rPr>
            <w:color w:val="2B7D5C"/>
            <w:u w:val="single"/>
          </w:rPr>
          <w:t>https://www.destatis.de/DE/Presse/Pressemitteilungen/2025/08/PD25_N048_13.html</w:t>
        </w:r>
      </w:hyperlink>
    </w:p>
    <w:p>
      <w:pPr>
        <w:pStyle w:val="ListBullet"/>
      </w:pPr>
      <w:r>
        <w:rPr>
          <w:b/>
        </w:rPr>
        <w:t xml:space="preserve">Destatis Altenquotient 2025: </w:t>
      </w:r>
      <w:hyperlink ns2:id="rId13">
        <w:r>
          <w:rPr>
            <w:color w:val="2B7D5C"/>
            <w:u w:val="single"/>
          </w:rPr>
          <w:t>https://www.destatis.de/DE/Themen/Querschnitt/Demografischer-Wandel/Aspekte/demografie-altenquotient.html</w:t>
        </w:r>
      </w:hyperlink>
    </w:p>
    <w:p>
      <w:pPr>
        <w:pStyle w:val="ListBullet"/>
      </w:pPr>
      <w:r>
        <w:rPr>
          <w:b/>
        </w:rPr>
        <w:t xml:space="preserve">Deutsche Rentenversicherung in Zahlen 2025: </w:t>
      </w:r>
      <w:hyperlink ns2:id="rId14">
        <w:r>
          <w:rPr>
            <w:color w:val="2B7D5C"/>
            <w:u w:val="single"/>
          </w:rPr>
          <w:t>https://www.deutsche-rentenversicherung.de/SharedDocs/Downloads/DE/Statistiken-und-Berichte/statistikpublikationen/rv_in_zahlen.html</w:t>
        </w:r>
      </w:hyperlink>
    </w:p>
    <w:p>
      <w:pPr>
        <w:pStyle w:val="ListBullet"/>
      </w:pPr>
      <w:r>
        <w:rPr>
          <w:b/>
        </w:rPr>
        <w:t xml:space="preserve">OECD Pensions at a Glance 2025: Germany: </w:t>
      </w:r>
      <w:hyperlink ns2:id="rId15">
        <w:r>
          <w:rPr>
            <w:color w:val="2B7D5C"/>
            <w:u w:val="single"/>
          </w:rPr>
          <w:t>https://www.oecd.org/en/publications/pensions-at-a-glance-2025-country-notes_8a53ef12-en/germany_c480c8fa-en.html</w:t>
        </w:r>
      </w:hyperlink>
    </w:p>
    <w:sectPr w:rsidR="00FC693F" w:rsidRPr="0006063C" w:rsidSect="00034616">
      <w:headerReference w:type="default" ns2:id="rId9"/>
      <w:footerReference w:type="default" ns2:id="rId10"/>
      <w:pgSz w:w="12240" w:h="15840"/>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4"/>
      </w:rPr>
      <w:t>Natalie Weber · Wirkungsökonomie · Version v0.1 · Stand 24.05.2026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B7D5C"/>
        <w:sz w:val="16"/>
      </w:rPr>
      <w:t>WIRKUNGSÖKONOMIE · Detailkonzepte Rente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4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B132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B132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B13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B13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mas.de/DE/Service/Presse/Pressemitteilungen/2025/bundeskabinett-beschliesst-rentenversicherungsbericht-2025.html" TargetMode="External"/><Relationship Id="rId12" Type="http://schemas.openxmlformats.org/officeDocument/2006/relationships/hyperlink" Target="https://www.destatis.de/DE/Presse/Pressemitteilungen/2025/08/PD25_N048_13.html" TargetMode="External"/><Relationship Id="rId13" Type="http://schemas.openxmlformats.org/officeDocument/2006/relationships/hyperlink" Target="https://www.destatis.de/DE/Themen/Querschnitt/Demografischer-Wandel/Aspekte/demografie-altenquotient.html" TargetMode="External"/><Relationship Id="rId14" Type="http://schemas.openxmlformats.org/officeDocument/2006/relationships/hyperlink" Target="https://www.deutsche-rentenversicherung.de/SharedDocs/Downloads/DE/Statistiken-und-Berichte/statistikpublikationen/rv_in_zahlen.pdf" TargetMode="External"/><Relationship Id="rId15" Type="http://schemas.openxmlformats.org/officeDocument/2006/relationships/hyperlink" Target="https://www.oecd.org/en/publications/pensions-at-a-glance-2025-country-notes_8a53ef12-en/germany_c480c8fa-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