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ource Serif Pro" w:hAnsi="Source Serif Pro"/>
          <w:b/>
          <w:color w:val="001D30"/>
          <w:sz w:val="48"/>
        </w:rPr>
        <w:t>WIRKUNGSÖKONOMIE</w:t>
      </w:r>
    </w:p>
    <w:p>
      <w:pPr>
        <w:jc w:val="center"/>
      </w:pPr>
      <w:r>
        <w:rPr>
          <w:color w:val="2E7D5C"/>
          <w:sz w:val="20"/>
        </w:rPr>
        <w:t>Wirkung statt Kapital. Für Mensch, Planet und Demokratie.</w:t>
      </w:r>
    </w:p>
    <w:p>
      <w:pPr>
        <w:jc w:val="center"/>
      </w:pPr>
      <w:r>
        <w:rPr>
          <w:rFonts w:ascii="Source Serif Pro" w:hAnsi="Source Serif Pro"/>
          <w:b/>
          <w:color w:val="001D30"/>
          <w:sz w:val="48"/>
        </w:rPr>
        <w:t>Politische Anschlussfähigkeit als Standard</w:t>
      </w:r>
    </w:p>
    <w:p>
      <w:pPr>
        <w:jc w:val="center"/>
      </w:pPr>
      <w:r>
        <w:rPr>
          <w:color w:val="252A3C"/>
          <w:sz w:val="26"/>
        </w:rPr>
        <w:t>Verbindliches Modul für Portalseiten, Dossiers, Online-Volltexte und Codex-Umsetzung</w:t>
      </w:r>
    </w:p>
    <w:tbl>
      <w:tblPr>
        <w:tblW w:type="auto" w:w="0"/>
        <w:jc w:val="center"/>
        <w:tblLayout w:type="autofit"/>
        <w:tblLook w:firstColumn="1" w:firstRow="1" w:lastColumn="0" w:lastRow="0" w:noHBand="0" w:noVBand="1" w:val="04A0"/>
      </w:tblPr>
      <w:tblGrid>
        <w:gridCol w:w="5100"/>
        <w:gridCol w:w="5100"/>
      </w:tblGrid>
      <w:tr>
        <w:tc>
          <w:tcPr>
            <w:tcW w:type="dxa" w:w="5100"/>
            <w:vAlign w:val="center"/>
            <w:tcBorders>
              <w:top w:val="single" w:sz="4" w:color="D8D0C4"/>
              <w:left w:val="single" w:sz="4" w:color="D8D0C4"/>
              <w:bottom w:val="single" w:sz="4" w:color="D8D0C4"/>
              <w:right w:val="single" w:sz="4" w:color="D8D0C4"/>
            </w:tcBorders>
            <w:shd w:fill="F6F1E8"/>
          </w:tcPr>
          <w:p>
            <w:r>
              <w:rPr>
                <w:b/>
                <w:color w:val="001D30"/>
              </w:rPr>
              <w:t>Dokumenttyp</w:t>
            </w:r>
          </w:p>
        </w:tc>
        <w:tc>
          <w:tcPr>
            <w:tcW w:type="dxa" w:w="5100"/>
            <w:vAlign w:val="center"/>
            <w:tcBorders>
              <w:top w:val="single" w:sz="4" w:color="D8D0C4"/>
              <w:left w:val="single" w:sz="4" w:color="D8D0C4"/>
              <w:bottom w:val="single" w:sz="4" w:color="D8D0C4"/>
              <w:right w:val="single" w:sz="4" w:color="D8D0C4"/>
            </w:tcBorders>
          </w:tcPr>
          <w:p>
            <w:r>
              <w:t>Standardpapier</w:t>
            </w:r>
          </w:p>
        </w:tc>
      </w:tr>
      <w:tr>
        <w:tc>
          <w:tcPr>
            <w:tcW w:type="dxa" w:w="5100"/>
            <w:vAlign w:val="center"/>
            <w:tcBorders>
              <w:top w:val="single" w:sz="4" w:color="D8D0C4"/>
              <w:left w:val="single" w:sz="4" w:color="D8D0C4"/>
              <w:bottom w:val="single" w:sz="4" w:color="D8D0C4"/>
              <w:right w:val="single" w:sz="4" w:color="D8D0C4"/>
            </w:tcBorders>
            <w:shd w:fill="F6F1E8"/>
          </w:tcPr>
          <w:p>
            <w:r>
              <w:rPr>
                <w:b/>
                <w:color w:val="001D30"/>
              </w:rPr>
              <w:t>Autorin</w:t>
            </w:r>
          </w:p>
        </w:tc>
        <w:tc>
          <w:tcPr>
            <w:tcW w:type="dxa" w:w="5100"/>
            <w:vAlign w:val="center"/>
            <w:tcBorders>
              <w:top w:val="single" w:sz="4" w:color="D8D0C4"/>
              <w:left w:val="single" w:sz="4" w:color="D8D0C4"/>
              <w:bottom w:val="single" w:sz="4" w:color="D8D0C4"/>
              <w:right w:val="single" w:sz="4" w:color="D8D0C4"/>
            </w:tcBorders>
          </w:tcPr>
          <w:p>
            <w:r>
              <w:t>Natalie Weber</w:t>
            </w:r>
          </w:p>
        </w:tc>
      </w:tr>
      <w:tr>
        <w:tc>
          <w:tcPr>
            <w:tcW w:type="dxa" w:w="5100"/>
            <w:vAlign w:val="center"/>
            <w:tcBorders>
              <w:top w:val="single" w:sz="4" w:color="D8D0C4"/>
              <w:left w:val="single" w:sz="4" w:color="D8D0C4"/>
              <w:bottom w:val="single" w:sz="4" w:color="D8D0C4"/>
              <w:right w:val="single" w:sz="4" w:color="D8D0C4"/>
            </w:tcBorders>
            <w:shd w:fill="F6F1E8"/>
          </w:tcPr>
          <w:p>
            <w:r>
              <w:rPr>
                <w:b/>
                <w:color w:val="001D30"/>
              </w:rPr>
              <w:t>Referenz</w:t>
            </w:r>
          </w:p>
        </w:tc>
        <w:tc>
          <w:tcPr>
            <w:tcW w:type="dxa" w:w="5100"/>
            <w:vAlign w:val="center"/>
            <w:tcBorders>
              <w:top w:val="single" w:sz="4" w:color="D8D0C4"/>
              <w:left w:val="single" w:sz="4" w:color="D8D0C4"/>
              <w:bottom w:val="single" w:sz="4" w:color="D8D0C4"/>
              <w:right w:val="single" w:sz="4" w:color="D8D0C4"/>
            </w:tcBorders>
          </w:tcPr>
          <w:p>
            <w:r>
              <w:t>Wirkungsökonomie</w:t>
            </w:r>
          </w:p>
        </w:tc>
      </w:tr>
      <w:tr>
        <w:tc>
          <w:tcPr>
            <w:tcW w:type="dxa" w:w="5100"/>
            <w:vAlign w:val="center"/>
            <w:tcBorders>
              <w:top w:val="single" w:sz="4" w:color="D8D0C4"/>
              <w:left w:val="single" w:sz="4" w:color="D8D0C4"/>
              <w:bottom w:val="single" w:sz="4" w:color="D8D0C4"/>
              <w:right w:val="single" w:sz="4" w:color="D8D0C4"/>
            </w:tcBorders>
            <w:shd w:fill="F6F1E8"/>
          </w:tcPr>
          <w:p>
            <w:r>
              <w:rPr>
                <w:b/>
                <w:color w:val="001D30"/>
              </w:rPr>
              <w:t>Version / Status</w:t>
            </w:r>
          </w:p>
        </w:tc>
        <w:tc>
          <w:tcPr>
            <w:tcW w:type="dxa" w:w="5100"/>
            <w:vAlign w:val="center"/>
            <w:tcBorders>
              <w:top w:val="single" w:sz="4" w:color="D8D0C4"/>
              <w:left w:val="single" w:sz="4" w:color="D8D0C4"/>
              <w:bottom w:val="single" w:sz="4" w:color="D8D0C4"/>
              <w:right w:val="single" w:sz="4" w:color="D8D0C4"/>
            </w:tcBorders>
          </w:tcPr>
          <w:p>
            <w:r>
              <w:t>v0.1 / Diskussionsfassung</w:t>
            </w:r>
          </w:p>
        </w:tc>
      </w:tr>
      <w:tr>
        <w:tc>
          <w:tcPr>
            <w:tcW w:type="dxa" w:w="5100"/>
            <w:vAlign w:val="center"/>
            <w:tcBorders>
              <w:top w:val="single" w:sz="4" w:color="D8D0C4"/>
              <w:left w:val="single" w:sz="4" w:color="D8D0C4"/>
              <w:bottom w:val="single" w:sz="4" w:color="D8D0C4"/>
              <w:right w:val="single" w:sz="4" w:color="D8D0C4"/>
            </w:tcBorders>
            <w:shd w:fill="F6F1E8"/>
          </w:tcPr>
          <w:p>
            <w:r>
              <w:rPr>
                <w:b/>
                <w:color w:val="001D30"/>
              </w:rPr>
              <w:t>Stand</w:t>
            </w:r>
          </w:p>
        </w:tc>
        <w:tc>
          <w:tcPr>
            <w:tcW w:type="dxa" w:w="5100"/>
            <w:vAlign w:val="center"/>
            <w:tcBorders>
              <w:top w:val="single" w:sz="4" w:color="D8D0C4"/>
              <w:left w:val="single" w:sz="4" w:color="D8D0C4"/>
              <w:bottom w:val="single" w:sz="4" w:color="D8D0C4"/>
              <w:right w:val="single" w:sz="4" w:color="D8D0C4"/>
            </w:tcBorders>
          </w:tcPr>
          <w:p>
            <w:r>
              <w:t>24.05.2026</w:t>
            </w:r>
          </w:p>
        </w:tc>
      </w:tr>
    </w:tbl>
    <w:p>
      <w:pPr>
        <w:jc w:val="center"/>
      </w:pPr>
      <w:r>
        <w:rPr>
          <w:i/>
          <w:color w:val="666666"/>
          <w:sz w:val="18"/>
        </w:rPr>
        <w:t>Arbeitsfassung zur öffentlichen Online-Lesefassung, Dossier- und Portalarchitektur.</w:t>
      </w:r>
    </w:p>
    <w:p>
      <w:r>
        <w:br w:type="page"/>
      </w:r>
    </w:p>
    <w:p>
      <w:pPr>
        <w:pStyle w:val="Heading1"/>
        <w:pBdr>
          <w:bottom w:val="single" w:sz="12" w:color="2E7D5C"/>
        </w:pBdr>
      </w:pPr>
      <w:r>
        <w:t>Executive Summary</w:t>
      </w:r>
    </w:p>
    <w:p>
      <w:r>
        <w:t>Jede Themenseite der Wirkungsökonomie braucht einen politischen Anschluss. Nicht als parteipolitische Festlegung, sondern als demokratische Übersetzung: Welche Aufgaben entstehen für Politik? Welche Rahmenbedingungen müssen geschaffen werden? Wo gibt es legitime Ausgestaltungsspielräume? Welche Zielkonflikte bleiben politisch zu entscheiden?</w:t>
      </w:r>
    </w:p>
    <w:p>
      <w:r>
        <w:t>Die Wirkungsökonomie soll keine Einheitslösung erzwingen. Sie liefert einen Wirkungsrahmen, in dem unterschiedliche politische Lager, Parteien und Institutionen ihre Ausgestaltung verantworten können. Dadurch bleibt politischer Diskurs erhalten, während die Bewertungsfrage präziser wird: Welche Wirkung entsteht für Mensch, Planet und Demokratie?</w:t>
      </w:r>
    </w:p>
    <w:tbl>
      <w:tblPr>
        <w:tblW w:type="auto" w:w="0"/>
        <w:jc w:val="center"/>
        <w:tblLook w:firstColumn="1" w:firstRow="1" w:lastColumn="0" w:lastRow="0" w:noHBand="0" w:noVBand="1" w:val="04A0"/>
      </w:tblPr>
      <w:tblGrid>
        <w:gridCol w:w="10200"/>
      </w:tblGrid>
      <w:tr>
        <w:tc>
          <w:tcPr>
            <w:tcW w:type="dxa" w:w="10200"/>
            <w:shd w:fill="F6F1E8"/>
            <w:tcBorders>
              <w:top w:val="single" w:sz="6" w:color="2E7D5C"/>
              <w:left w:val="single" w:sz="6" w:color="2E7D5C"/>
              <w:bottom w:val="single" w:sz="6" w:color="2E7D5C"/>
              <w:right w:val="single" w:sz="6" w:color="2E7D5C"/>
            </w:tcBorders>
          </w:tcPr>
          <w:p>
            <w:r>
              <w:rPr>
                <w:b/>
                <w:color w:val="001D30"/>
                <w:sz w:val="22"/>
              </w:rPr>
              <w:t>Leitsatz</w:t>
            </w:r>
          </w:p>
          <w:p>
            <w:pPr>
              <w:spacing w:after="80"/>
            </w:pPr>
            <w:r>
              <w:t>Die Wirkungsökonomie ersetzt demokratische Aushandlung nicht. Sie macht ihre Wirkungsfolgen sichtbar und schafft dadurch bessere, transparentere und korrekturfähigere Politik.</w:t>
            </w:r>
          </w:p>
        </w:tc>
      </w:tr>
    </w:tbl>
    <w:p/>
    <w:p>
      <w:pPr>
        <w:pStyle w:val="Heading1"/>
        <w:pBdr>
          <w:bottom w:val="single" w:sz="12" w:color="2E7D5C"/>
        </w:pBdr>
      </w:pPr>
      <w:r>
        <w:t>1. Warum ein politisches Anschlussmodul notwendig ist</w:t>
      </w:r>
    </w:p>
    <w:p>
      <w:r>
        <w:t>Jedes Wirkungsfeld berührt politische Entscheidungen: Gesetze, Haushalte, Steuern, Förderlogiken, Institutionen, Datenzugänge, Standards, Verwaltung und Beteiligung. Wenn diese Ebene fehlt, bleibt das Konzept fachlich stark, aber politisch unvollständig. Es fehlt dann der Übergang von Idee zu Umsetzung.</w:t>
      </w:r>
    </w:p>
    <w:p>
      <w:r>
        <w:t>Gleichzeitig darf die Wirkungsökonomie nicht den Eindruck erzeugen, für jedes Problem gebe es nur eine einzig richtige politische Lösung. Eine solche Darstellung würde demokratischen Streit ersetzen und die WÖk in eine technokratische oder autoritäre Richtung verschieben. Der politische Rahmen muss deshalb doppelt arbeiten: Er muss notwendige Voraussetzungen benennen und zugleich legitime Ausgestaltung offenlassen.</w:t>
      </w:r>
    </w:p>
    <w:p>
      <w:pPr>
        <w:pStyle w:val="Heading1"/>
        <w:pBdr>
          <w:bottom w:val="single" w:sz="12" w:color="2E7D5C"/>
        </w:pBdr>
      </w:pPr>
      <w:r>
        <w:t>2. Grundprinzipien</w:t>
      </w:r>
    </w:p>
    <w:tbl>
      <w:tblPr>
        <w:tblStyle w:val="TableGrid"/>
        <w:tblW w:type="auto" w:w="0"/>
        <w:jc w:val="center"/>
        <w:tblLook w:firstColumn="1" w:firstRow="1" w:lastColumn="0" w:lastRow="0" w:noHBand="0" w:noVBand="1" w:val="04A0"/>
      </w:tblPr>
      <w:tblGrid>
        <w:gridCol w:w="5100"/>
        <w:gridCol w:w="5100"/>
      </w:tblGrid>
      <w:tr>
        <w:tc>
          <w:tcPr>
            <w:tcW w:type="dxa" w:w="5100"/>
            <w:shd w:fill="001D30"/>
          </w:tcPr>
          <w:p>
            <w:r>
              <w:rPr>
                <w:b/>
                <w:color w:val="FFFFFF"/>
                <w:sz w:val="17"/>
              </w:rPr>
              <w:t>Prinzip</w:t>
            </w:r>
          </w:p>
        </w:tc>
        <w:tc>
          <w:tcPr>
            <w:tcW w:type="dxa" w:w="5100"/>
            <w:shd w:fill="001D30"/>
          </w:tcPr>
          <w:p>
            <w:r>
              <w:rPr>
                <w:b/>
                <w:color w:val="FFFFFF"/>
                <w:sz w:val="17"/>
              </w:rPr>
              <w:t>Bedeutung für die Website und Dossiers</w:t>
            </w:r>
          </w:p>
        </w:tc>
      </w:tr>
      <w:tr>
        <w:tc>
          <w:tcPr>
            <w:tcW w:type="dxa" w:w="5100"/>
            <w:shd w:fill="F6F1E8"/>
          </w:tcPr>
          <w:p>
            <w:r>
              <w:rPr>
                <w:sz w:val="17"/>
              </w:rPr>
              <w:t>Wirkung vor Ideologie</w:t>
            </w:r>
          </w:p>
        </w:tc>
        <w:tc>
          <w:tcPr>
            <w:tcW w:type="dxa" w:w="5100"/>
          </w:tcPr>
          <w:p>
            <w:r>
              <w:rPr>
                <w:sz w:val="17"/>
              </w:rPr>
              <w:t>Nicht die Parteifarbe entscheidet, sondern die erwartbare und überprüfbare Wirkung einer Maßnahme.</w:t>
            </w:r>
          </w:p>
        </w:tc>
      </w:tr>
      <w:tr>
        <w:tc>
          <w:tcPr>
            <w:tcW w:type="dxa" w:w="5100"/>
            <w:shd w:fill="F6F1E8"/>
          </w:tcPr>
          <w:p>
            <w:r>
              <w:rPr>
                <w:sz w:val="17"/>
              </w:rPr>
              <w:t>Demokratischer Spielraum</w:t>
            </w:r>
          </w:p>
        </w:tc>
        <w:tc>
          <w:tcPr>
            <w:tcW w:type="dxa" w:w="5100"/>
          </w:tcPr>
          <w:p>
            <w:r>
              <w:rPr>
                <w:sz w:val="17"/>
              </w:rPr>
              <w:t>Die Website benennt Ziel, Aufgaben und Schutzplanken, aber lässt Wege, Prioritäten, Instrumentenmix und Tempo politisch gestaltbar.</w:t>
            </w:r>
          </w:p>
        </w:tc>
      </w:tr>
      <w:tr>
        <w:tc>
          <w:tcPr>
            <w:tcW w:type="dxa" w:w="5100"/>
            <w:shd w:fill="F6F1E8"/>
          </w:tcPr>
          <w:p>
            <w:r>
              <w:rPr>
                <w:sz w:val="17"/>
              </w:rPr>
              <w:t>Rechtsstaatliche Begrenzung</w:t>
            </w:r>
          </w:p>
        </w:tc>
        <w:tc>
          <w:tcPr>
            <w:tcW w:type="dxa" w:w="5100"/>
          </w:tcPr>
          <w:p>
            <w:r>
              <w:rPr>
                <w:sz w:val="17"/>
              </w:rPr>
              <w:t>Wirkungsdaten dürfen Entscheidungen vorbereiten, aber nicht Grundrechte, Verfahren, Begründungspflichten und Rechtsschutz ersetzen.</w:t>
            </w:r>
          </w:p>
        </w:tc>
      </w:tr>
      <w:tr>
        <w:tc>
          <w:tcPr>
            <w:tcW w:type="dxa" w:w="5100"/>
            <w:shd w:fill="F6F1E8"/>
          </w:tcPr>
          <w:p>
            <w:r>
              <w:rPr>
                <w:sz w:val="17"/>
              </w:rPr>
              <w:t>Korrekturfähigkeit</w:t>
            </w:r>
          </w:p>
        </w:tc>
        <w:tc>
          <w:tcPr>
            <w:tcW w:type="dxa" w:w="5100"/>
          </w:tcPr>
          <w:p>
            <w:r>
              <w:rPr>
                <w:sz w:val="17"/>
              </w:rPr>
              <w:t>Politische Umsetzung muss Evaluation, Widerspruch, Lernschleifen und Anpassung enthalten.</w:t>
            </w:r>
          </w:p>
        </w:tc>
      </w:tr>
      <w:tr>
        <w:tc>
          <w:tcPr>
            <w:tcW w:type="dxa" w:w="5100"/>
            <w:shd w:fill="F6F1E8"/>
          </w:tcPr>
          <w:p>
            <w:r>
              <w:rPr>
                <w:sz w:val="17"/>
              </w:rPr>
              <w:t>Pluralität</w:t>
            </w:r>
          </w:p>
        </w:tc>
        <w:tc>
          <w:tcPr>
            <w:tcW w:type="dxa" w:w="5100"/>
          </w:tcPr>
          <w:p>
            <w:r>
              <w:rPr>
                <w:sz w:val="17"/>
              </w:rPr>
              <w:t>Parteien, Verbände, Länder, Kommunen und Zivilgesellschaft müssen unterschiedliche Umsetzungsvorschläge entwickeln können.</w:t>
            </w:r>
          </w:p>
        </w:tc>
      </w:tr>
      <w:tr>
        <w:tc>
          <w:tcPr>
            <w:tcW w:type="dxa" w:w="5100"/>
            <w:shd w:fill="F6F1E8"/>
          </w:tcPr>
          <w:p>
            <w:r>
              <w:rPr>
                <w:sz w:val="17"/>
              </w:rPr>
              <w:t>Keine Personenbewertung</w:t>
            </w:r>
          </w:p>
        </w:tc>
        <w:tc>
          <w:tcPr>
            <w:tcW w:type="dxa" w:w="5100"/>
          </w:tcPr>
          <w:p>
            <w:r>
              <w:rPr>
                <w:sz w:val="17"/>
              </w:rPr>
              <w:t>Bewertet werden Maßnahmen, Strukturen, Produkte, Haushalte, Institutionen und Wirkungsräume, nicht Menschen als solche.</w:t>
            </w:r>
          </w:p>
        </w:tc>
      </w:tr>
    </w:tbl>
    <w:p/>
    <w:p>
      <w:pPr>
        <w:pStyle w:val="Heading1"/>
        <w:pBdr>
          <w:bottom w:val="single" w:sz="12" w:color="2E7D5C"/>
        </w:pBdr>
      </w:pPr>
      <w:r>
        <w:t>3. Das verbindliche Modul für jede Portalseite</w:t>
      </w:r>
    </w:p>
    <w:p>
      <w:pPr>
        <w:pStyle w:val="ListNumber"/>
      </w:pPr>
      <w:r>
        <w:t>Aufgabe der Politik: Welche politischen Aufgaben entstehen aus diesem Wirkungsfeld?</w:t>
      </w:r>
    </w:p>
    <w:p>
      <w:pPr>
        <w:pStyle w:val="ListNumber"/>
      </w:pPr>
      <w:r>
        <w:t>Rahmenbedingungen: Welche Regeln, Institutionen, Daten, Standards oder Haushaltslogiken sind erforderlich?</w:t>
      </w:r>
    </w:p>
    <w:p>
      <w:pPr>
        <w:pStyle w:val="ListNumber"/>
      </w:pPr>
      <w:r>
        <w:t>Ausgestaltungsspielraum: Welche Varianten sind demokratisch möglich, ohne die Wirkungslogik zu verlassen?</w:t>
      </w:r>
    </w:p>
    <w:p>
      <w:pPr>
        <w:pStyle w:val="ListNumber"/>
      </w:pPr>
      <w:r>
        <w:t>Zielkonflikte: Welche Konflikte müssen politisch ausgetragen werden, statt technisch versteckt zu werden?</w:t>
      </w:r>
    </w:p>
    <w:p>
      <w:pPr>
        <w:pStyle w:val="ListNumber"/>
      </w:pPr>
      <w:r>
        <w:t>Rollenverteilung: Was muss Bund, Land, Kommune, EU, Verwaltung, Wirtschaft oder Zivilgesellschaft leisten?</w:t>
      </w:r>
    </w:p>
    <w:p>
      <w:pPr>
        <w:pStyle w:val="ListNumber"/>
      </w:pPr>
      <w:r>
        <w:t>Übergang und Schutz: Welche Gruppen brauchen Übergang, Entlastung, Rechtsschutz oder Beteiligung?</w:t>
      </w:r>
    </w:p>
    <w:p>
      <w:pPr>
        <w:pStyle w:val="ListNumber"/>
      </w:pPr>
      <w:r>
        <w:t>Evaluation: Welche Wirkungsdaten zeigen, ob die Politik wirkt, nicht nur ob sie umgesetzt wurde?</w:t>
      </w:r>
    </w:p>
    <w:p>
      <w:pPr>
        <w:pStyle w:val="ListNumber"/>
      </w:pPr>
      <w:r>
        <w:t>Parteipolitische Anschlussfähigkeit: Welche konservativen, liberalen, sozialdemokratischen, grünen, linken, kommunalen oder wirtschaftsnahen Lesarten sind möglich?</w:t>
      </w:r>
    </w:p>
    <w:p>
      <w:pPr>
        <w:pStyle w:val="Heading1"/>
        <w:pBdr>
          <w:bottom w:val="single" w:sz="12" w:color="2E7D5C"/>
        </w:pBdr>
      </w:pPr>
      <w:r>
        <w:t>4. Politische Optionenmatrix</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fill="001D30"/>
          </w:tcPr>
          <w:p>
            <w:r>
              <w:rPr>
                <w:b/>
                <w:color w:val="FFFFFF"/>
                <w:sz w:val="17"/>
              </w:rPr>
              <w:t>Achse</w:t>
            </w:r>
          </w:p>
        </w:tc>
        <w:tc>
          <w:tcPr>
            <w:tcW w:type="dxa" w:w="3400"/>
            <w:shd w:fill="001D30"/>
          </w:tcPr>
          <w:p>
            <w:r>
              <w:rPr>
                <w:b/>
                <w:color w:val="FFFFFF"/>
                <w:sz w:val="17"/>
              </w:rPr>
              <w:t>Mögliche Ausgestaltung</w:t>
            </w:r>
          </w:p>
        </w:tc>
        <w:tc>
          <w:tcPr>
            <w:tcW w:type="dxa" w:w="3400"/>
            <w:shd w:fill="001D30"/>
          </w:tcPr>
          <w:p>
            <w:r>
              <w:rPr>
                <w:b/>
                <w:color w:val="FFFFFF"/>
                <w:sz w:val="17"/>
              </w:rPr>
              <w:t>Was offen bleibt</w:t>
            </w:r>
          </w:p>
        </w:tc>
      </w:tr>
      <w:tr>
        <w:tc>
          <w:tcPr>
            <w:tcW w:type="dxa" w:w="3400"/>
            <w:shd w:fill="F6F1E8"/>
          </w:tcPr>
          <w:p>
            <w:r>
              <w:rPr>
                <w:sz w:val="17"/>
              </w:rPr>
              <w:t>Regulierung</w:t>
            </w:r>
          </w:p>
        </w:tc>
        <w:tc>
          <w:tcPr>
            <w:tcW w:type="dxa" w:w="3400"/>
          </w:tcPr>
          <w:p>
            <w:r>
              <w:rPr>
                <w:sz w:val="17"/>
              </w:rPr>
              <w:t>verbindliche Mindeststandards, Verbote, Prüfpflichten, Transparenzpflichten</w:t>
            </w:r>
          </w:p>
        </w:tc>
        <w:tc>
          <w:tcPr>
            <w:tcW w:type="dxa" w:w="3400"/>
          </w:tcPr>
          <w:p>
            <w:r>
              <w:rPr>
                <w:sz w:val="17"/>
              </w:rPr>
              <w:t>Strenge, Übergangsfristen, Ausnahmen, Kontrolltiefe</w:t>
            </w:r>
          </w:p>
        </w:tc>
      </w:tr>
      <w:tr>
        <w:tc>
          <w:tcPr>
            <w:tcW w:type="dxa" w:w="3400"/>
            <w:shd w:fill="F6F1E8"/>
          </w:tcPr>
          <w:p>
            <w:r>
              <w:rPr>
                <w:sz w:val="17"/>
              </w:rPr>
              <w:t>Steuerung über Preise</w:t>
            </w:r>
          </w:p>
        </w:tc>
        <w:tc>
          <w:tcPr>
            <w:tcW w:type="dxa" w:w="3400"/>
          </w:tcPr>
          <w:p>
            <w:r>
              <w:rPr>
                <w:sz w:val="17"/>
              </w:rPr>
              <w:t>Bonus-Malus, Steuerklassen, Entlastung positiver Wirkung</w:t>
            </w:r>
          </w:p>
        </w:tc>
        <w:tc>
          <w:tcPr>
            <w:tcW w:type="dxa" w:w="3400"/>
          </w:tcPr>
          <w:p>
            <w:r>
              <w:rPr>
                <w:sz w:val="17"/>
              </w:rPr>
              <w:t>Satzhöhe, sozialer Ausgleich, Branchenpfade</w:t>
            </w:r>
          </w:p>
        </w:tc>
      </w:tr>
      <w:tr>
        <w:tc>
          <w:tcPr>
            <w:tcW w:type="dxa" w:w="3400"/>
            <w:shd w:fill="F6F1E8"/>
          </w:tcPr>
          <w:p>
            <w:r>
              <w:rPr>
                <w:sz w:val="17"/>
              </w:rPr>
              <w:t>Förderung</w:t>
            </w:r>
          </w:p>
        </w:tc>
        <w:tc>
          <w:tcPr>
            <w:tcW w:type="dxa" w:w="3400"/>
          </w:tcPr>
          <w:p>
            <w:r>
              <w:rPr>
                <w:sz w:val="17"/>
              </w:rPr>
              <w:t>Wirkungsfonds, Zuschüsse, Transformationskredite</w:t>
            </w:r>
          </w:p>
        </w:tc>
        <w:tc>
          <w:tcPr>
            <w:tcW w:type="dxa" w:w="3400"/>
          </w:tcPr>
          <w:p>
            <w:r>
              <w:rPr>
                <w:sz w:val="17"/>
              </w:rPr>
              <w:t>Zielgruppen, Konditionen, regionale Prioritäten</w:t>
            </w:r>
          </w:p>
        </w:tc>
      </w:tr>
      <w:tr>
        <w:tc>
          <w:tcPr>
            <w:tcW w:type="dxa" w:w="3400"/>
            <w:shd w:fill="F6F1E8"/>
          </w:tcPr>
          <w:p>
            <w:r>
              <w:rPr>
                <w:sz w:val="17"/>
              </w:rPr>
              <w:t>Öffentliche Beschaffung</w:t>
            </w:r>
          </w:p>
        </w:tc>
        <w:tc>
          <w:tcPr>
            <w:tcW w:type="dxa" w:w="3400"/>
          </w:tcPr>
          <w:p>
            <w:r>
              <w:rPr>
                <w:sz w:val="17"/>
              </w:rPr>
              <w:t>Wirkung als Vergabekriterium</w:t>
            </w:r>
          </w:p>
        </w:tc>
        <w:tc>
          <w:tcPr>
            <w:tcW w:type="dxa" w:w="3400"/>
          </w:tcPr>
          <w:p>
            <w:r>
              <w:rPr>
                <w:sz w:val="17"/>
              </w:rPr>
              <w:t>Schwellenwerte, lokale Gewichtung, Innovationsfenster</w:t>
            </w:r>
          </w:p>
        </w:tc>
      </w:tr>
      <w:tr>
        <w:tc>
          <w:tcPr>
            <w:tcW w:type="dxa" w:w="3400"/>
            <w:shd w:fill="F6F1E8"/>
          </w:tcPr>
          <w:p>
            <w:r>
              <w:rPr>
                <w:sz w:val="17"/>
              </w:rPr>
              <w:t>Information</w:t>
            </w:r>
          </w:p>
        </w:tc>
        <w:tc>
          <w:tcPr>
            <w:tcW w:type="dxa" w:w="3400"/>
          </w:tcPr>
          <w:p>
            <w:r>
              <w:rPr>
                <w:sz w:val="17"/>
              </w:rPr>
              <w:t>Labels, Scorecards, Datenportale, Dossiers</w:t>
            </w:r>
          </w:p>
        </w:tc>
        <w:tc>
          <w:tcPr>
            <w:tcW w:type="dxa" w:w="3400"/>
          </w:tcPr>
          <w:p>
            <w:r>
              <w:rPr>
                <w:sz w:val="17"/>
              </w:rPr>
              <w:t>Tiefe der Transparenz, Verbraucherschutz, Geschäftsgeheimnisse</w:t>
            </w:r>
          </w:p>
        </w:tc>
      </w:tr>
      <w:tr>
        <w:tc>
          <w:tcPr>
            <w:tcW w:type="dxa" w:w="3400"/>
            <w:shd w:fill="F6F1E8"/>
          </w:tcPr>
          <w:p>
            <w:r>
              <w:rPr>
                <w:sz w:val="17"/>
              </w:rPr>
              <w:t>Partizipation</w:t>
            </w:r>
          </w:p>
        </w:tc>
        <w:tc>
          <w:tcPr>
            <w:tcW w:type="dxa" w:w="3400"/>
          </w:tcPr>
          <w:p>
            <w:r>
              <w:rPr>
                <w:sz w:val="17"/>
              </w:rPr>
              <w:t>Bürger:innenräte, Konsultationen, kommunale Wirkungsbudgets</w:t>
            </w:r>
          </w:p>
        </w:tc>
        <w:tc>
          <w:tcPr>
            <w:tcW w:type="dxa" w:w="3400"/>
          </w:tcPr>
          <w:p>
            <w:r>
              <w:rPr>
                <w:sz w:val="17"/>
              </w:rPr>
              <w:t>Formate, Verbindlichkeit, Beteiligungsquoten</w:t>
            </w:r>
          </w:p>
        </w:tc>
      </w:tr>
    </w:tbl>
    <w:p/>
    <w:p>
      <w:pPr>
        <w:pStyle w:val="Heading1"/>
        <w:pBdr>
          <w:bottom w:val="single" w:sz="12" w:color="2E7D5C"/>
        </w:pBdr>
      </w:pPr>
      <w:r>
        <w:t>5. Rückwirkende Anwendung</w:t>
      </w:r>
    </w:p>
    <w:p>
      <w:r>
        <w:t>Der Standard gilt rückwirkend für bereits erstellte Bereiche, insbesondere Produkte &amp; Konsum / Wirkungsumsatzsteuer sowie Impact Controlling / T-SROI / WÖk-IDs / Scorecards. Auf diesen Seiten und in den zugehörigen Dossiers ist ein Abschnitt „Politische Anschlussfähigkeit und Umsetzungsoptionen“ nachzuziehen.</w:t>
      </w:r>
    </w:p>
    <w:p>
      <w:pPr>
        <w:pStyle w:val="Heading1"/>
        <w:pBdr>
          <w:bottom w:val="single" w:sz="12" w:color="2E7D5C"/>
        </w:pBdr>
      </w:pPr>
      <w:r>
        <w:t>6. Textbaustein für Portalseiten</w:t>
      </w:r>
    </w:p>
    <w:tbl>
      <w:tblPr>
        <w:tblW w:type="auto" w:w="0"/>
        <w:jc w:val="center"/>
        <w:tblLook w:firstColumn="1" w:firstRow="1" w:lastColumn="0" w:lastRow="0" w:noHBand="0" w:noVBand="1" w:val="04A0"/>
      </w:tblPr>
      <w:tblGrid>
        <w:gridCol w:w="10200"/>
      </w:tblGrid>
      <w:tr>
        <w:tc>
          <w:tcPr>
            <w:tcW w:type="dxa" w:w="10200"/>
            <w:shd w:fill="F6F1E8"/>
            <w:tcBorders>
              <w:top w:val="single" w:sz="6" w:color="2E7D5C"/>
              <w:left w:val="single" w:sz="6" w:color="2E7D5C"/>
              <w:bottom w:val="single" w:sz="6" w:color="2E7D5C"/>
              <w:right w:val="single" w:sz="6" w:color="2E7D5C"/>
            </w:tcBorders>
          </w:tcPr>
          <w:p>
            <w:r>
              <w:rPr>
                <w:b/>
                <w:color w:val="001D30"/>
                <w:sz w:val="22"/>
              </w:rPr>
              <w:t>Website-Baustein</w:t>
            </w:r>
          </w:p>
          <w:p>
            <w:pPr>
              <w:spacing w:after="80"/>
            </w:pPr>
            <w:r>
              <w:t>Die folgenden politischen Anforderungen beschreiben keinen fertigen Parteibeschluss. Sie markieren den notwendigen Rahmen, damit dieses Wirkungsfeld demokratisch, rechtsstaatlich und praktisch umgesetzt werden kann. Unterschiedliche Parteien können innerhalb dieses Rahmens verschiedene Wege wählen. Entscheidend ist, dass die Wirkung sichtbar, überprüfbar und korrigierbar bleibt.</w:t>
            </w:r>
          </w:p>
        </w:tc>
      </w:tr>
    </w:tbl>
    <w:p/>
    <w:p>
      <w:pPr>
        <w:pStyle w:val="Heading1"/>
        <w:pBdr>
          <w:bottom w:val="single" w:sz="12" w:color="2E7D5C"/>
        </w:pBdr>
      </w:pPr>
      <w:r>
        <w:t>7. Mindestanforderungen in Codex</w:t>
      </w:r>
    </w:p>
    <w:p>
      <w:pPr>
        <w:pStyle w:val="ListBullet"/>
      </w:pPr>
      <w:r>
        <w:t>Jede neue Portal-, Werkzeug-, Dossier- und Volltextseite erhält den Abschnitt „Politische Anschlussfähigkeit und Umsetzungsoptionen“.</w:t>
      </w:r>
    </w:p>
    <w:p>
      <w:pPr>
        <w:pStyle w:val="ListBullet"/>
      </w:pPr>
      <w:r>
        <w:t>Jede Seite enthält mindestens eine Optionenmatrix, Rollenverteilung, Umsetzungsstufen und offene politische Fragen.</w:t>
      </w:r>
    </w:p>
    <w:p>
      <w:pPr>
        <w:pStyle w:val="ListBullet"/>
      </w:pPr>
      <w:r>
        <w:t>Bereits erstellte Seiten aus Rang 1 und Rang 2 werden nachträglich ergänzt.</w:t>
      </w:r>
    </w:p>
    <w:p>
      <w:pPr>
        <w:pStyle w:val="ListBullet"/>
      </w:pPr>
      <w:r>
        <w:t>Die Sprache bleibt plural, demokratisch und nicht parteipolitisch werbend.</w:t>
      </w:r>
    </w:p>
    <w:p>
      <w:pPr>
        <w:pStyle w:val="ListBullet"/>
      </w:pPr>
      <w:r>
        <w:t>Keine Seite darf suggerieren, die WÖk ersetze demokratische Entscheidung durch automatische Scores.</w:t>
      </w:r>
    </w:p>
    <w:p>
      <w:pPr>
        <w:pStyle w:val="Heading1"/>
        <w:pBdr>
          <w:bottom w:val="single" w:sz="12" w:color="2E7D5C"/>
        </w:pBdr>
      </w:pPr>
      <w:r>
        <w:t>Quellen und interne Referenzen</w:t>
      </w:r>
    </w:p>
    <w:p>
      <w:pPr>
        <w:pStyle w:val="ListBullet"/>
      </w:pPr>
      <w:r>
        <w:t>Weber, Natalie: Die neue Ordnung des Wohlstands. Arbeitsfassung 2026. Besonders: Kapitel 10–23, 28, 31–40, 61–66.</w:t>
      </w:r>
    </w:p>
    <w:p>
      <w:pPr>
        <w:pStyle w:val="ListBullet"/>
      </w:pPr>
      <w:r>
        <w:t>Weber, Natalie: Führender Begriffsleitfaden der Wirkungsökonomie, Version 1.0, 21. Mai 2026.</w:t>
      </w:r>
    </w:p>
    <w:p>
      <w:pPr>
        <w:pStyle w:val="ListBullet"/>
      </w:pPr>
      <w:r>
        <w:t>Weber, Natalie: Working-Paper Wirkungssteuergesetz (WStG), Stand 8.10.2025.</w:t>
      </w:r>
    </w:p>
    <w:p>
      <w:pPr>
        <w:pStyle w:val="ListBullet"/>
      </w:pPr>
      <w:r>
        <w:t>Weber, Natalie: Der Wirkungsrat – Institutionelle Verankerung der Wirkungsökonomie, September 2025.</w:t>
      </w:r>
    </w:p>
    <w:p>
      <w:pPr>
        <w:pStyle w:val="ListBullet"/>
      </w:pPr>
      <w:r>
        <w:t>Weber, Natalie: Technische Leitlinien zum Wirkungssteuergesetz (WUStG), Vollversion Extended, August 2025.</w:t>
      </w:r>
    </w:p>
    <w:p>
      <w:pPr>
        <w:pStyle w:val="ListBullet"/>
      </w:pPr>
      <w:r>
        <w:t>Weber, Natalie: Whitepaper T-SROI – Der neue Standard für Impact-Controlling in der Wirkungsökonomie, 2025.</w:t>
      </w:r>
    </w:p>
    <w:p>
      <w:pPr>
        <w:pStyle w:val="ListBullet"/>
      </w:pPr>
      <w:r>
        <w:t>Weber, Natalie: Systemmodell der Wirkungsökonomie, 2025.</w:t>
      </w:r>
    </w:p>
    <w:sectPr w:rsidR="00FC693F" w:rsidRPr="0006063C" w:rsidSect="00034616">
      <w:headerReference w:type="default" r:id="rId9"/>
      <w:footerReference w:type="default" r:id="rId10"/>
      <w:pgSz w:w="12240" w:h="15840"/>
      <w:pgMar w:top="964"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6"/>
      </w:rPr>
      <w:t>© 2026 Natalie Weber · Wirkungsökonomie · Standardpapier · v0.1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ource Sans Pro" w:hAnsi="Source Sans Pro"/>
        <w:b/>
        <w:color w:val="2E7D5C"/>
        <w:sz w:val="16"/>
      </w:rPr>
      <w:t>WIRKUNGSÖKONOMIE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ource Sans Pro" w:hAnsi="Source Sans Pro" w:eastAsia="Source Sans Pro"/>
      <w:color w:val="252A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ource Serif Pro" w:hAnsi="Source Serif Pro" w:eastAsia="Source Serif Pro"/>
      <w:b/>
      <w:bCs/>
      <w:color w:val="001D30"/>
      <w:sz w:val="4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ource Serif Pro" w:hAnsi="Source Serif Pro" w:eastAsia="Source Serif Pro"/>
      <w:b/>
      <w:bCs/>
      <w:color w:val="001D3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ource Serif Pro" w:hAnsi="Source Serif Pro" w:eastAsia="Source Serif Pro"/>
      <w:b/>
      <w:bCs/>
      <w:color w:val="001D3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