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V28 Modul/Abschnitt: G3.2 Titel: CSRD, ESRS, GRI, EU-Taxonomie, NACE und DPP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V28 Empfohlene Dauer: ~50 Min · Videolänge: ~16 Min Voraussetzung: V27 „Kernfelder, Wirkungsgrenzen und rote Linien"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9. Quellen / Vertiefung</w:t>
      </w:r>
    </w:p>
    <w:p>
      <w:pPr>
        <w:pStyle w:val="ListBullet"/>
      </w:pPr>
      <w:r>
        <w:t>Die neue Ordnung des Wohlstands (https://wirkungsoekonomie.de/buch.html) – Daten, Produktpässe, Wirkungsmessung</w:t>
      </w:r>
    </w:p>
    <w:p>
      <w:pPr>
        <w:pStyle w:val="ListBullet"/>
      </w:pPr>
      <w:r>
        <w:t>Glossar der Wirkungsökonomie (https://wirkungsoekonomie.de/glossar.html)</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CSRD, ESRS, GRI, EU-Taxonomie, NACE und DPP liefern keine fertige WÖk-Bewertung. Sie liefern Daten-, Berichts-, Klassifikations- und Produktinfrastruktur, die erst durch Wirkpfad, Datenqualität, Scorecard und Rückkopplung steuerungsfähig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CSRD/ESRS</w:t>
            </w:r>
          </w:p>
        </w:tc>
        <w:tc>
          <w:tcPr>
            <w:tcW w:type="dxa" w:w="2340"/>
            <w:vAlign w:val="center"/>
          </w:tcPr>
          <w:p>
            <w:r>
              <w:t>europäische Nachhaltigkeitsberichterstattung</w:t>
            </w:r>
          </w:p>
        </w:tc>
        <w:tc>
          <w:tcPr>
            <w:tcW w:type="dxa" w:w="2340"/>
            <w:vAlign w:val="center"/>
          </w:tcPr>
          <w:p>
            <w:r>
              <w:t>Berichtspflicht als Wirkung behandeln</w:t>
            </w:r>
          </w:p>
        </w:tc>
        <w:tc>
          <w:tcPr>
            <w:tcW w:type="dxa" w:w="2340"/>
            <w:vAlign w:val="center"/>
          </w:tcPr>
          <w:p>
            <w:r>
              <w:t>Datenquelle für Wesentlichkeit, Indikatoren und Audit nutzen</w:t>
            </w:r>
          </w:p>
        </w:tc>
      </w:tr>
      <w:tr>
        <w:tc>
          <w:tcPr>
            <w:tcW w:type="dxa" w:w="2340"/>
            <w:vAlign w:val="center"/>
          </w:tcPr>
          <w:p>
            <w:r>
              <w:t>GRI</w:t>
            </w:r>
          </w:p>
        </w:tc>
        <w:tc>
          <w:tcPr>
            <w:tcW w:type="dxa" w:w="2340"/>
            <w:vAlign w:val="center"/>
          </w:tcPr>
          <w:p>
            <w:r>
              <w:t>international verbreitete Impact-Reporting-Standards</w:t>
            </w:r>
          </w:p>
        </w:tc>
        <w:tc>
          <w:tcPr>
            <w:tcW w:type="dxa" w:w="2340"/>
            <w:vAlign w:val="center"/>
          </w:tcPr>
          <w:p>
            <w:r>
              <w:t>GRI-Offenlegung als WÖk-Score ausgeben</w:t>
            </w:r>
          </w:p>
        </w:tc>
        <w:tc>
          <w:tcPr>
            <w:tcW w:type="dxa" w:w="2340"/>
            <w:vAlign w:val="center"/>
          </w:tcPr>
          <w:p>
            <w:r>
              <w:t>Offenlegungen als Evidenzbaustein einordnen</w:t>
            </w:r>
          </w:p>
        </w:tc>
      </w:tr>
      <w:tr>
        <w:tc>
          <w:tcPr>
            <w:tcW w:type="dxa" w:w="2340"/>
            <w:vAlign w:val="center"/>
          </w:tcPr>
          <w:p>
            <w:r>
              <w:t>EU-Taxonomie</w:t>
            </w:r>
          </w:p>
        </w:tc>
        <w:tc>
          <w:tcPr>
            <w:tcW w:type="dxa" w:w="2340"/>
            <w:vAlign w:val="center"/>
          </w:tcPr>
          <w:p>
            <w:r>
              <w:t>Klassifikation ökologisch nachhaltiger Wirtschaftstätigkeiten</w:t>
            </w:r>
          </w:p>
        </w:tc>
        <w:tc>
          <w:tcPr>
            <w:tcW w:type="dxa" w:w="2340"/>
            <w:vAlign w:val="center"/>
          </w:tcPr>
          <w:p>
            <w:r>
              <w:t>Taxonomie-Konformität als positive Netto-Wirkung setzen</w:t>
            </w:r>
          </w:p>
        </w:tc>
        <w:tc>
          <w:tcPr>
            <w:tcW w:type="dxa" w:w="2340"/>
            <w:vAlign w:val="center"/>
          </w:tcPr>
          <w:p>
            <w:r>
              <w:t>ökologischen Hinweis mit Mensch/Demokratie und Risiken verbinden</w:t>
            </w:r>
          </w:p>
        </w:tc>
      </w:tr>
      <w:tr>
        <w:tc>
          <w:tcPr>
            <w:tcW w:type="dxa" w:w="2340"/>
            <w:vAlign w:val="center"/>
          </w:tcPr>
          <w:p>
            <w:r>
              <w:t>NACE</w:t>
            </w:r>
          </w:p>
        </w:tc>
        <w:tc>
          <w:tcPr>
            <w:tcW w:type="dxa" w:w="2340"/>
            <w:vAlign w:val="center"/>
          </w:tcPr>
          <w:p>
            <w:r>
              <w:t>statistische Klassifikation wirtschaftlicher Tätigkeiten</w:t>
            </w:r>
          </w:p>
        </w:tc>
        <w:tc>
          <w:tcPr>
            <w:tcW w:type="dxa" w:w="2340"/>
            <w:vAlign w:val="center"/>
          </w:tcPr>
          <w:p>
            <w:r>
              <w:t>Branche mit Wirkung gleichsetzen</w:t>
            </w:r>
          </w:p>
        </w:tc>
        <w:tc>
          <w:tcPr>
            <w:tcW w:type="dxa" w:w="2340"/>
            <w:vAlign w:val="center"/>
          </w:tcPr>
          <w:p>
            <w:r>
              <w:t>Benchmark- und Archetypenlogik branchenspezifisch aufbauen</w:t>
            </w:r>
          </w:p>
        </w:tc>
      </w:tr>
      <w:tr>
        <w:tc>
          <w:tcPr>
            <w:tcW w:type="dxa" w:w="2340"/>
            <w:vAlign w:val="center"/>
          </w:tcPr>
          <w:p>
            <w:r>
              <w:t>DPP</w:t>
            </w:r>
          </w:p>
        </w:tc>
        <w:tc>
          <w:tcPr>
            <w:tcW w:type="dxa" w:w="2340"/>
            <w:vAlign w:val="center"/>
          </w:tcPr>
          <w:p>
            <w:r>
              <w:t>Produktdatencontainer über Lebenszyklus</w:t>
            </w:r>
          </w:p>
        </w:tc>
        <w:tc>
          <w:tcPr>
            <w:tcW w:type="dxa" w:w="2340"/>
            <w:vAlign w:val="center"/>
          </w:tcPr>
          <w:p>
            <w:r>
              <w:t>Datenpass als Bewertung verwechseln</w:t>
            </w:r>
          </w:p>
        </w:tc>
        <w:tc>
          <w:tcPr>
            <w:tcW w:type="dxa" w:w="2340"/>
            <w:vAlign w:val="center"/>
          </w:tcPr>
          <w:p>
            <w:r>
              <w:t>Daten mit WÖk-ID, Scorecard, Prüfung und Rückkopplung verbinden</w:t>
            </w:r>
          </w:p>
        </w:tc>
      </w:tr>
    </w:tbl>
    <w:p/>
    <w:p>
      <w:pPr>
        <w:pStyle w:val="Heading3"/>
      </w:pPr>
      <w:r>
        <w:t>7.4 Modellformel</w:t>
      </w:r>
    </w:p>
    <w:p>
      <w:r>
        <w:t>Die folgende Formel ist ein didaktisches Denkmodell, kein amtlicher Bewertungsstandard:</w:t>
      </w:r>
    </w:p>
    <w:p>
      <w:r>
        <w:t>WÖktext-Bewertung = Reportingdaten + Klassifikation + Produktdaten + Wirkpfad + Datenqualitaet + Rueckkopplung</w:t>
      </w:r>
    </w:p>
    <w:p>
      <w:r>
        <w:t>Die Formel macht die WÖk-Übersetzung sichtbar: vorhandene Rahmenwerke sind Eingänge, nicht der Ausgang des Bewertungsprozesses.</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Chemieunternehmen berichtet nach ESRS Emissionen, Wasser, Arbeitsbedingungen und Lieferkettenrisiken. Die WÖk nutzt diese Daten nicht als fertiges Urteil, sondern ordnet sie WÖk-IDs, Benchmarks, Datenqualität und Wirkungsgrenzen zu.</w:t>
      </w:r>
    </w:p>
    <w:p>
      <w:r>
        <w:t>Fall 2. Ein Textil-DPP kann Material, Herkunft und Kreislauffähigkeit enthalten. Für positive Netto-Wirkung fehlen dennoch Arbeitsbedingungen, Wasserstress, Nutzungsdauer, Reparierbarkeit, Entsorgung und Nichtkompensation bei schweren Schäden.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7.8 Extern geprüfte Primärquellen und aktueller Stand</w:t>
      </w:r>
    </w:p>
    <w:p>
      <w:pPr>
        <w:pStyle w:val="ListBullet"/>
      </w:pPr>
      <w:r>
        <w:t>European Commission CSRD: Unternehmen im CSRD-Anwendungsbereich berichten nach European Sustainability Reporting Standards; EFRAG entwickelt Entwürfe für die Standards. Quelle: https://finance.ec.europa.eu/financial-markets/company-reporting-and-auditing/company-reporting/corporate-sustainability-reporting_en</w:t>
      </w:r>
    </w:p>
    <w:p>
      <w:pPr>
        <w:pStyle w:val="ListBullet"/>
      </w:pPr>
      <w:r>
        <w:t>EFRAG ESRS: Set 1 wurde als Delegated Act im Amtsblatt vom 22. Dezember 2023 übernommen; vereinfachte ESRS-Entwürfe werden als separater Reformstand geführt. Quelle: https://www.efrag.org/en/draft-simplified-esrs</w:t>
      </w:r>
    </w:p>
    <w:p>
      <w:pPr>
        <w:pStyle w:val="ListBullet"/>
      </w:pPr>
      <w:r>
        <w:t>European Commission EU Taxonomy: Die Taxonomie schafft eine gemeinsame Definition wirtschaftlicher Tätigkeiten, die als ökologisch nachhaltig gelten können. Quelle: https://finance.ec.europa.eu/sustainable-finance/tools-and-standards/eu-taxonomy-sustainable-activities_en</w:t>
      </w:r>
    </w:p>
    <w:p>
      <w:pPr>
        <w:pStyle w:val="ListBullet"/>
      </w:pPr>
      <w:r>
        <w:t>Eurostat NACE Rev. 2.1: Die 2025er Ausgabe beschreibt die statistische Klassifikation wirtschaftlicher Tätigkeiten in der EU. Quelle: https://ec.europa.eu/eurostat/web/nace</w:t>
      </w:r>
    </w:p>
    <w:p>
      <w:pPr>
        <w:pStyle w:val="ListBullet"/>
      </w:pPr>
      <w:r>
        <w:t>European data portal / ESPR-DPP: Der Digitale Produktpass ist Teil der Ecodesign-for-Sustainable-Products-Regulation-Logik und soll Produktinformationen entlang der Wertschöpfung zugänglich machen. Quelle: https://data.europa.eu/en/news-events/news/eus-digital-product-passport-advancing-transparency-and-sustainability</w:t>
      </w:r>
    </w:p>
    <w:p>
      <w:pPr>
        <w:pStyle w:val="ListBullet"/>
      </w:pPr>
      <w:r>
        <w:t>GRI: Die GRI Standards unterstützen Organisationen dabei, Auswirkungen auf Umwelt, Menschen und Wirtschaft zu verstehen und zu berichten. Quelle: https://www.globalreporting.org/</w:t>
      </w:r>
    </w:p>
    <w:p>
      <w:pPr>
        <w:pStyle w:val="Heading3"/>
      </w:pPr>
      <w:r>
        <w:t>7.9 Konsequenzen für die WÖk-Architektur</w:t>
      </w:r>
    </w:p>
    <w:p>
      <w:r>
        <w:t>Aus dieser Vorlesung fließen drei Punkte zurück in den WÖk-Korpus:</w:t>
      </w:r>
    </w:p>
    <w:p>
      <w:pPr>
        <w:pStyle w:val="ListBullet"/>
      </w:pPr>
      <w:r>
        <w:t>V28 muss laufend mit EU-/EFRAG-Stand abgeglichen werden; Omnibus-/ESRS-Simplifizierung nicht statisch behandeln.</w:t>
      </w:r>
    </w:p>
    <w:p>
      <w:pPr>
        <w:pStyle w:val="ListBullet"/>
      </w:pPr>
      <w:r>
        <w:t>DPP-Seiten stärker mit WÖk-ID, Produktwirkung, Scorecards und Beschaffung verknüpfen.</w:t>
      </w:r>
    </w:p>
    <w:p>
      <w:pPr>
        <w:pStyle w:val="ListBullet"/>
      </w:pPr>
      <w:r>
        <w:t>NACE/Branchenlogik als Grundlage für Archetypen und Benchmarks in G3.2/G3.3 konsistent halten.</w:t>
      </w:r>
    </w:p>
    <w:p>
      <w:pPr>
        <w:pStyle w:val="Heading3"/>
      </w:pPr>
      <w:r>
        <w:t>7.10 Kurzfazit</w:t>
      </w:r>
    </w:p>
    <w:p>
      <w:r>
        <w:t>CSRD, ESRS, GRI, EU-Taxonomie, NACE und DPP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V28 CSRD, ESRS, GRI, EU-Taxonomie, NACE und DPP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CSRD, ESRS, GRI, EU-Taxonomie, NACE und DPP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CSRD, ESRS, GRI, EU-Taxonomie, NACE und DPP im Anwendungsfall</w:t>
      </w:r>
    </w:p>
    <w:p>
      <w:r>
        <w:t>Die folgenden Abschnitte sind keine neue Pruefungsloesung. Sie verdichten die vorhandenen Kapitel zu einer Lesart, mit der Studierende einen Fall selbststaendig analysieren koennen. Im Mittelpunkt stehen Berichtsstandards, Regulierung, Produktdaten und interoperable Nachweisraeume, nicht moralische Personenbewertung.</w:t>
      </w:r>
    </w:p>
    <w:p>
      <w:r>
        <w:t>Begriffliche Schlussklaerung. Einleitung / Wirkungsfrage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CSRD, ESRS, GRI, EU-Taxonomie, NACE und DPP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V28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CSRD, ESRS, GRI, EU-Taxonomie, NACE und DPP im Anwendungsfall</w:t>
      </w:r>
    </w:p>
    <w:p>
      <w:r>
        <w:t>Die folgenden Abschnitte sind keine neue Pruefungsloesung. Sie verdichten die vorhandenen Kapitel zu einer Lesart, mit der Studierende einen Fall selbststaendig analysieren koennen. Im Mittelpunkt stehen Berichtsstandards, Regulierung, Produktdaten und interoperable Nachweisraeume,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V28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CSRD, ESRS, GRI, EU-Taxonomie, NACE und DPP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CSRD, ESRS, GRI, EU-Taxonomie, NACE und DPP im Anwendungsfall</w:t>
      </w:r>
    </w:p>
    <w:p>
      <w:r>
        <w:t>Die folgenden Abschnitte sind keine neue Pruefungsloesung. Sie verdichten die vorhandenen Kapitel zu einer Lesart, mit der Studierende einen Fall selbststaendig analysieren koennen. Im Mittelpunkt stehen Berichtsstandards, Regulierung, Produktdaten und interoperable Nachweisraeume, nicht moralische Personenbewertung.</w:t>
      </w:r>
    </w:p>
    <w:p>
      <w:r>
        <w:t>Begriffliche Schlussklaerung. In V28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Messbarkeit ohne Reduktionismus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CSRD, ESRS, GRI, EU-Taxonomie, NACE und DPP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Empirische, systemische und normative Ebene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Empirische, systemische und normative Ebene wird diese Fehlstelle konkret: Ein scheinbar plausibler Befund darf nicht zur Abkuerzung werden. Quellen, Systemgrenzen, Unsicherheit und Rueckkopplung bleiben sichtbar.</w:t>
      </w:r>
    </w:p>
    <w:p>
      <w:r>
        <w:t>Bewertung und rote Linien. Die Grenze gegen Scheingenauigkeit verlaeuft bei Messgrenzen, Schätzungen und Unsicherheit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Messgrenzen, Schätzungen und Unsicherheit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Warum Messung Rückkopplung vorbereitet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V28 muss Funktion der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Funktion der WÖk-ID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Kernaussage wird diese Fehlstelle konkret: Ein scheinbar plausibler Befund darf nicht zur Abkuerzung werden. Quellen, Systemgrenzen, Unsicherheit und Rueckkopplung bleiben sichtbar.</w:t>
      </w:r>
    </w:p>
    <w:p>
      <w:r>
        <w:t>Kontrollfrage. Welche Entscheidung waere falsch, wenn Kernaussage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CSRD, ESRS, GRI, EU-Taxonomie, NACE und DPP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CSRD, ESRS, GRI, EU-Taxonomie, NACE und DPP im Anwendungsfall</w:t>
      </w:r>
    </w:p>
    <w:p>
      <w:r>
        <w:t>Die folgenden Abschnitte sind keine neue Pruefungsloesung. Sie verdichten die vorhandenen Kapitel zu einer Lesart, mit der Studierende einen Fall selbststaendig analysieren koennen. Im Mittelpunkt stehen Berichtsstandards, Regulierung, Produktdaten und interoperable Nachweisraeume,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V28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CSRD, ESRS, GRI, EU-Taxonomie, NACE und DPP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V28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CSRD, ESRS, GRI, EU-Taxonomie, NACE und DPP im Anwendungsfall</w:t>
      </w:r>
    </w:p>
    <w:p>
      <w:r>
        <w:t>Die folgenden Abschnitte sind keine neue Pruefungsloesung. Sie verdichten die vorhandenen Kapitel zu einer Lesart, mit der Studierende einen Fall selbststaendig analysieren koennen. Im Mittelpunkt stehen Berichtsstandards, Regulierung, Produktdaten und interoperable Nachweisraeume, nicht moralische Personenbewertung.</w:t>
      </w:r>
    </w:p>
    <w:p>
      <w:r>
        <w:t>Begriffliche Schlussklaerung. Wissenschaftliche Anschlussfaehigkeit entsteht hier durch Quellenklarheit. Bei Leitthese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V28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CSRD, ESRS, GRI, EU-Taxonomie, NACE und DPP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V28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pPr>
        <w:pStyle w:val="Heading3"/>
      </w:pPr>
      <w:r>
        <w:t>V1-Abschlussnotiz</w:t>
      </w:r>
    </w:p>
    <w:p>
      <w:r>
        <w:t>Diese Finalisierung schliesst die Codex-Inhaltsproduktion fuer V28.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