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V33 Modul/Abschnitt: G3.3 Titel: NWI und T-SROI unterscheiden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9. Quellen / Vertiefung</w:t>
      </w:r>
    </w:p>
    <w:p>
      <w:pPr>
        <w:pStyle w:val="ListBullet"/>
      </w:pPr>
      <w:r>
        <w:t>Die neue Ordnung des Wohlstands (https://wirkungsoekonomie.de/buch.html) – NWI, T-SROI, Transformationswirkung</w:t>
      </w:r>
    </w:p>
    <w:p>
      <w:pPr>
        <w:pStyle w:val="ListBullet"/>
      </w:pPr>
      <w:r>
        <w:t>Glossar der Wirkungsökonomie (https://wirkungsoekonomie.de/glossar.html)</w:t>
      </w:r>
    </w:p>
    <w:p>
      <w:pPr>
        <w:pStyle w:val="ListBullet"/>
      </w:pPr>
      <w:r>
        <w:t>Glossar: Netto wirkungs index (https://wirkungsoekonomie.de/begriffe/netto-wirkungs-index/), T-SROI (https://wirkungsoekonomie.de/begriffe/t-sroi/), Transformationswirkung (https://wirkungsoekonomie.de/begriffe/transformationswirkung/)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Öffentliche Quelle: Wirkungsökonomie · Netto-Wirkungs-Index · https://wirkungsoekonomie.de/werkzeuge/netto-wirkungs-index/ · Druckdatum: 24.05.2026 (https://wirkungsoekonomie.de/werkzeuge/netto-wirkungs-index/)</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Öffentliche Quelle: Wirkungsökonomie · Detailkonzept T-SROI · https://wirkungsoekonomie.de/werkzeuge/impact-controlling/detailkonzepte/t-sroi/ · Druckdatum: 24.05.2026 (https://wirkungsoekonomie.de/werkzeuge/impact-controlling/detailkonzepte/t-sroi/)</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Öffentliche Quelle: Wirkungsökonomie · T-SROI und Impact Controlling · https://wirkungsoekonomie.de/werkzeuge/impact-controlling/methodenpapiere/t-sroi-transformationsmessung/ · Druckdatum: 24.05.2026 (https://wirkungsoekonomie.de/werkzeuge/impact-controlling/methodenpapiere/t-sroi-transformationsmessung/)</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V33 NWI und T-SROI unterscheiden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NWI und T-SROI unterscheiden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NWI und T-SROI unterscheiden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V33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NWI und T-SROI unterscheiden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V33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NWI und T-SROI unterscheiden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V33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NWI und T-SROI unterscheiden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NWI und T-SROI unterscheiden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V33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Abgrenzung zu ROI, SROI, NWI, IOI und T-SROI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Abgrenzung zu ROI, SROI, NWI, IOI und T-SROI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NWI und T-SROI unterscheiden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Die Arbeitslogik von NWI, IOI und T-SROI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Die Arbeitslogik von NWI, IOI und T-SROI wird diese Fehlstelle konkret: Ein scheinbar plausibler Befund darf nicht zur Abkuerzung werden. Quellen, Systemgrenzen, Unsicherheit und Rueckkopplung bleiben sichtbar.</w:t>
      </w:r>
    </w:p>
    <w:p>
      <w:r>
        <w:t>Bewertung und rote Linien. Die Grenze gegen Scheingenauigkeit verlaeuft bei Transformation statt bloßer Projekt-Nutzen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Transformation statt bloßer Projekt-Nutzen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Transformation statt bloßer Projekt-Nutzen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Systemische Hebelwirkung, Diffusion und Standardsetzung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Systemische Hebelwirkung, Diffusion und Standardsetzung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V33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Konsequenzen für die WÖk-Architektur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NWI und T-SROI unterscheiden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NWI und T-SROI unterscheiden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V33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NWI und T-SROI unterscheiden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V33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NWI und T-SROI unterscheiden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NWI und T-SROI unterscheiden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V33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NWI und T-SROI unterscheiden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V33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pPr>
        <w:pStyle w:val="Heading3"/>
      </w:pPr>
      <w:r>
        <w:t>V1-Abschlussnotiz</w:t>
      </w:r>
    </w:p>
    <w:p>
      <w:r>
        <w:t>Diese Finalisierung schliesst die Codex-Inhaltsproduktion fuer V33.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