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rPr>
          <w:i/>
        </w:rPr>
        <w:t>Rohfassung fuer Claude / CI-CD-Finalisierung</w:t>
      </w:r>
    </w:p>
    <w:p>
      <w:r>
        <w:t>Quelle: /Users/hagen/Documents/New project/content/studienskripte/woek-g-v11.md</w:t>
      </w:r>
    </w:p>
    <w:p>
      <w:r>
        <w:t>Track: Grundstudium Wirkungsökonomie Kurscode: woek-g Vorlesungscode: V11 Modul/Abschnitt: G1.4 Titel: Positive, negative und neutrale Wirkung Status: Tiefenskript-Sprint 7 · substanzielle Arbeitsfassung, Claude-CI/CD-Finalisierung offen Quelle: woek-akademie-app/content/lehrgaenge/woek-g-v11.md Ablage: Markdown-Master in content/studienskripte/woek-g-v11.md, Word-Rohfassung in docs/studienskripte/word-rohfassungen/woek-g-v11.docx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woek-g-v11-wirkpfad type: wirkpfad reuse_first: true preferred_asset: content/studienskripte/assets/woek-g-v11/woek-g-v11-wirkpfad.svg message: Positive, negative und neutrale Wirkung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Positive, negative und neutrale Wirkung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Positive, negative und neutrale Wirkung überzeugend kommunizieren und trotzdem nur Wirkungspotenzial erzeugen. Die WÖk-Prüfung beginnt erst, wenn klar wird, welcher Zustand sich bei wem verändert.</w:t>
      </w:r>
    </w:p>
    <w:p>
      <w:r>
        <w:t>Fall 2. Eine Organisation kann im Themenfeld Positive, negative und neutrale Wirkung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Interne Quelle: referenz/kapitel-014-systemischer-wert-und-normativer-wert/index.html</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16 - Das Begriffssystem der Wirkungsökonomie</w:t>
      </w:r>
    </w:p>
    <w:p>
      <w:r>
        <w:t>Interne Quelle: referenz/kapitel-016-das-begriffssystem-der-wirkungsoekonomie/index.html</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7.9 Konsequenzen für die WÖk-Architektur</w:t>
      </w:r>
    </w:p>
    <w:p>
      <w:r>
        <w:t>Aus dieser Vorlesung fließen drei Punkte zurück in den WÖk-Korpus:</w:t>
      </w:r>
    </w:p>
    <w:p>
      <w:pPr>
        <w:pStyle w:val="ListBullet"/>
      </w:pPr>
      <w:r>
        <w:t>Glossar und Reader sollten Positive, negative und neutrale Wirkung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Positive, negative und neutrale 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woek-akademie-app/content/lehrgaenge/woek-g-v11.md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Positive, negative und neutrale Wirkung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