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WM-V4 Modul/Abschnitt: WM Titel: Wesentlichkeit &amp; Priorisierung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Whitepaper T-SROI (https://wirkungsoekonomie.de/dokumente/whitepaper-t-sroi/).)</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WM-V4 Wesentlichkeit &amp; Priorisierung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WM-V4.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§4</w:t>
      </w:r>
    </w:p>
    <w:p>
      <w:pPr>
        <w:pStyle w:val="ListBullet"/>
      </w:pPr>
      <w:r>
        <w:t>Whitepaper T-SROI (https://wirkungsoekonomie.de/dokumente/whitepaper-t-sroi/) – Reverse Merit Order</w:t>
      </w:r>
    </w:p>
    <w:p>
      <w:pPr>
        <w:pStyle w:val="ListBullet"/>
      </w:pPr>
      <w:r>
        <w:t>Glossar: Reverse merit order (https://wirkungsoekonomie.de/begriffe/reverse-merit-order/),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Nichtkompensationsprinzip (https://wirkungsoekonomie.de/begriffe/nichtkompensationsprinzip/)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Öffentliche Quelle: Arbeitspapier · Stand 04. Juni 2026 (https://wirkungsoekonomie.de/dokumente/arbeitspapier-doppelte-wesentlichkeit-impact-controlling/)</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