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WM-V9 Modul/Abschnitt: WM Titel: Kommunikation ohne Impact-Washing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WM-V9 Kommunikation ohne Impact-Washing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§4 (Reichweite ≠ Wirkung)</w:t>
      </w:r>
    </w:p>
    <w:p>
      <w:pPr>
        <w:pStyle w:val="ListBullet"/>
      </w:pPr>
      <w:r>
        <w:t>Glossar: Impact washing (https://wirkungsoekonomie.de/begriffe/impact-washing/), Greenwashing (https://wirkungsoekonomie.de/begriffe/greenwashing/), Wirkungspotenzial (https://wirkungsoekonomie.de/begriffe/wirkungspotenzial/)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Impact washing (https://wirkungsoekonomie.de/begriffe/impact-washing/)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Greenwashing (https://wirkungsoekonomie.de/begriffe/greenwashing/)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Wirkungspotenzial (https://wirkungsoekonomie.de/begriffe/wirkungspotenzial/)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Öffentliche Quelle: Kapitel 104 - Wirkungsmessung, Manipulation und Wirkungssimulation (https://wirkungsoekonomie.de/referenz/kapitel-104-wirkungsmessung-manipulation-und-wirkungssimulation/)</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Öffentliche Quelle: WÖk-Präzisierungsbegriff / Risiko- und Washingbegriff (https://wirkungsoekonomie.de/begriffe/impact-washing/)</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Öffentliche Quelle: WÖk-Prägungsbegriff / Schutzbegriff (https://wirkungsoekonomie.de/begriffe/wirkungswahrheit/)</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