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V23 Modul/Abschnitt: G2.4 Titel: Unsicherheit, Ambivalenz und transparente Bewertung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V23 Empfohlene Dauer: ~45 Min · Videolänge: ~14 Min Voraussetzung: V22 „Wirkungssprache und Quellenklarheit"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Zielkonflikt (https://wirkungsoekonomie.de/begriffe/zielkonflikt/)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Datenqualitaet (https://wirkungsoekonomie.de/begriffe/datenqualitaet/)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Nichtkompensation (https://wirkungsoekonomie.de/begriffe/nichtkompensation/)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Wirkungsrueckkopplung (https://wirkungsoekonomie.de/begriffe/wirkungsrueckkopplung/)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V23 Unsicherheit, Ambivalenz und transparente Bewertung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Unsicherheit, Ambivalenz und transparente Bewertung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Unsicherheit, Ambivalenz und transparente Bewertung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Unsicherheit, Ambivalenz und transparente Bewertung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Unsicherheit, Ambivalenz und transparente Bewertung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Unsicherheit, Ambivalenz und transparente Bewertung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Unsicherheit, Ambivalenz und transparente Bewertung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Unsicherheit, Ambivalenz und transparente Bewertung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Unsicherheit, Ambivalenz und transparente Bewertung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Unsicherheit, Ambivalenz und transparente Bewertung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Unsicherheit, Ambivalenz und transparente Bewertung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Unsicherheit, Ambivalenz und transparente Bewertung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Unsicherheit, Ambivalenz und transparente Bewertung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Unsicherheit, Ambivalenz und transparente Bewertung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Unsicherheit, Ambivalenz und transparente Bewertung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Unsicherheit, Ambivalenz und transparente Bewertung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Unsicherheit, Ambivalenz und transparente Bewertung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Unsicherheit, Ambivalenz und transparente Bewertung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Unsicherheit, Ambivalenz und transparente Bewertung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Unsicherheit, Ambivalenz und transparente Bewertung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Unsicherheit, Ambivalenz und transparente Bewertung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Unsicherheit, Ambivalenz und transparente Bewertung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Unsicherheit, Ambivalenz und transparente Bewertung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Unsicherheit, Ambivalenz und transparente Bewertung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Unsicherheit, Ambivalenz und transparente Bewertung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Unsicherheit, Ambivalenz und transparente Bewertung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Messung, Bewertung, Rückkopplung</w:t>
      </w:r>
    </w:p>
    <w:p>
      <w:pPr>
        <w:pStyle w:val="ListBullet"/>
      </w:pPr>
      <w:r>
        <w:t>Glossar der Wirkungsökonomie (https://wirkungsoekonomie.de/glossar.html)</w:t>
      </w:r>
    </w:p>
    <w:p>
      <w:pPr>
        <w:pStyle w:val="ListBullet"/>
      </w:pPr>
      <w:r>
        <w:t>Glossar: Zielkonflikt (https://wirkungsoekonomie.de/begriffe/zielkonflikt/), Datenqualitaet (https://wirkungsoekonomie.de/begriffe/datenqualitaet/),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Zielkonflikt (https://wirkungsoekonomie.de/begriffe/zielkonflikt/)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Datenqualitaet (https://wirkungsoekonomie.de/begriffe/datenqualitaet/)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Nichtkompensation (https://wirkungsoekonomie.de/begriffe/nichtkompensation/)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Wirkungsrueckkopplung (https://wirkungsoekonomie.de/begriffe/wirkungsrueckkopplung/)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Ambivalenz ist kein Defekt der Wirkungsbewertung. Sie ist der Normalfall komplexer Systeme und muss durch Profile, Datenqualitätsklassen, Nichtkompensation und Rückkopplung entscheidungsfähig werden.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Datenunsicherheit</w:t>
            </w:r>
          </w:p>
        </w:tc>
        <w:tc>
          <w:tcPr>
            <w:tcW w:type="dxa" w:w="2340"/>
            <w:vAlign w:val="center"/>
          </w:tcPr>
          <w:p>
            <w:r>
              <w:t>Daten fehlen, sind alt, indirekt oder schwer vergleichbar</w:t>
            </w:r>
          </w:p>
        </w:tc>
        <w:tc>
          <w:tcPr>
            <w:tcW w:type="dxa" w:w="2340"/>
            <w:vAlign w:val="center"/>
          </w:tcPr>
          <w:p>
            <w:r>
              <w:t>Score als exakte Wahrheit ausgeben</w:t>
            </w:r>
          </w:p>
        </w:tc>
        <w:tc>
          <w:tcPr>
            <w:tcW w:type="dxa" w:w="2340"/>
            <w:vAlign w:val="center"/>
          </w:tcPr>
          <w:p>
            <w:r>
              <w:t>Datenqualitätsklasse und Annahmen ausweisen</w:t>
            </w:r>
          </w:p>
        </w:tc>
      </w:tr>
      <w:tr>
        <w:tc>
          <w:tcPr>
            <w:tcW w:type="dxa" w:w="2340"/>
            <w:vAlign w:val="center"/>
          </w:tcPr>
          <w:p>
            <w:r>
              <w:t>Wirkungsambivalenz</w:t>
            </w:r>
          </w:p>
        </w:tc>
        <w:tc>
          <w:tcPr>
            <w:tcW w:type="dxa" w:w="2340"/>
            <w:vAlign w:val="center"/>
          </w:tcPr>
          <w:p>
            <w:r>
              <w:t>positive und negative Zustandsveränderungen treten gleichzeitig auf</w:t>
            </w:r>
          </w:p>
        </w:tc>
        <w:tc>
          <w:tcPr>
            <w:tcW w:type="dxa" w:w="2340"/>
            <w:vAlign w:val="center"/>
          </w:tcPr>
          <w:p>
            <w:r>
              <w:t>eine Seite rhetorisch unsichtbar machen</w:t>
            </w:r>
          </w:p>
        </w:tc>
        <w:tc>
          <w:tcPr>
            <w:tcW w:type="dxa" w:w="2340"/>
            <w:vAlign w:val="center"/>
          </w:tcPr>
          <w:p>
            <w:r>
              <w:t>Profil statt Einzahlwert, Zielkonflikt offenlegen</w:t>
            </w:r>
          </w:p>
        </w:tc>
      </w:tr>
      <w:tr>
        <w:tc>
          <w:tcPr>
            <w:tcW w:type="dxa" w:w="2340"/>
            <w:vAlign w:val="center"/>
          </w:tcPr>
          <w:p>
            <w:r>
              <w:t>Modellunsicherheit</w:t>
            </w:r>
          </w:p>
        </w:tc>
        <w:tc>
          <w:tcPr>
            <w:tcW w:type="dxa" w:w="2340"/>
            <w:vAlign w:val="center"/>
          </w:tcPr>
          <w:p>
            <w:r>
              <w:t>Gewichtungen, Benchmarks und Kausalannahmen sind begründet, aber vorläufig</w:t>
            </w:r>
          </w:p>
        </w:tc>
        <w:tc>
          <w:tcPr>
            <w:tcW w:type="dxa" w:w="2340"/>
            <w:vAlign w:val="center"/>
          </w:tcPr>
          <w:p>
            <w:r>
              <w:t>Modell als Naturgesetz behandeln</w:t>
            </w:r>
          </w:p>
        </w:tc>
        <w:tc>
          <w:tcPr>
            <w:tcW w:type="dxa" w:w="2340"/>
            <w:vAlign w:val="center"/>
          </w:tcPr>
          <w:p>
            <w:r>
              <w:t>Version, Quelle und Korrekturweg nennen</w:t>
            </w:r>
          </w:p>
        </w:tc>
      </w:tr>
      <w:tr>
        <w:tc>
          <w:tcPr>
            <w:tcW w:type="dxa" w:w="2340"/>
            <w:vAlign w:val="center"/>
          </w:tcPr>
          <w:p>
            <w:r>
              <w:t>Entscheidungsunsicherheit</w:t>
            </w:r>
          </w:p>
        </w:tc>
        <w:tc>
          <w:tcPr>
            <w:tcW w:type="dxa" w:w="2340"/>
            <w:vAlign w:val="center"/>
          </w:tcPr>
          <w:p>
            <w:r>
              <w:t>Handeln ist nötig, obwohl Erkenntnis unvollständig bleibt</w:t>
            </w:r>
          </w:p>
        </w:tc>
        <w:tc>
          <w:tcPr>
            <w:tcW w:type="dxa" w:w="2340"/>
            <w:vAlign w:val="center"/>
          </w:tcPr>
          <w:p>
            <w:r>
              <w:t>Unsicherheit als Stillstandsargument nutzen</w:t>
            </w:r>
          </w:p>
        </w:tc>
        <w:tc>
          <w:tcPr>
            <w:tcW w:type="dxa" w:w="2340"/>
            <w:vAlign w:val="center"/>
          </w:tcPr>
          <w:p>
            <w:r>
              <w:t>Vorsorge, Pilot, Monitoring und Rückkopplung verbinden</w:t>
            </w:r>
          </w:p>
        </w:tc>
      </w:tr>
    </w:tbl>
    <w:p/>
    <w:p>
      <w:pPr>
        <w:pStyle w:val="Heading3"/>
      </w:pPr>
      <w:r>
        <w:t>7.4 Modellformel</w:t>
      </w:r>
    </w:p>
    <w:p>
      <w:r>
        <w:t>Die folgende Formel ist ein didaktisches Denkmodell, kein amtlicher Bewertungsstandard:</w:t>
      </w:r>
    </w:p>
    <w:p>
      <w:r>
        <w:t>Bewertbarkeit = Datenqualitaet + Profilklarheit + Risikotransparenz + Rueckkopplungsfaehigkeit</w:t>
      </w:r>
    </w:p>
    <w:p>
      <w:r>
        <w:t>Unsicherheit wird nicht wegaddiert. Sie wird als Eigenschaft der Bewertung sichtbar gemacht und über Lernschleifen reduziert.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Energetische Sanierung kann Klima und Gesundheit verbessern, aber Verdrängung auslösen. Eine transparente Bewertung muss Emissionsminderung, Heizkosten, Mieten, Sozialschutz, Gebäudezustand, Förderlogik und Beteiligung getrennt ausweisen. Erst dann wird der Konflikt steuerbar.</w:t>
      </w:r>
    </w:p>
    <w:p>
      <w:r>
        <w:t>Fall 2. Eine KI-Anwendung in der Verwaltung kann Wartezeiten senken, aber Fehler, Diskriminierung oder Intransparenz erzeugen. Die WÖk darf weder den Effizienzgewinn romantisieren noch die Technologie pauschal verwerfen; sie braucht Prüfpfad, Datenqualität, Beschwerdewege und Audit.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Datenqualitätsklassen und Unsicherheitsampel in Scorecard-Dokumente einheitlich übernehmen.</w:t>
      </w:r>
    </w:p>
    <w:p>
      <w:pPr>
        <w:pStyle w:val="ListBullet"/>
      </w:pPr>
      <w:r>
        <w:t>Nichtkompensation nicht nur als Bewertungsregel, sondern als Kommunikationsschutz erklären.</w:t>
      </w:r>
    </w:p>
    <w:p>
      <w:pPr>
        <w:pStyle w:val="ListBullet"/>
      </w:pPr>
      <w:r>
        <w:t>Fehlbarkeit der WÖk in Prüfungsfällen explizit abfragen: Korrektur ist Stärke, nicht Schwäche.</w:t>
      </w:r>
    </w:p>
    <w:p>
      <w:pPr>
        <w:pStyle w:val="Heading3"/>
      </w:pPr>
      <w:r>
        <w:t>7.10 Kurzfazit</w:t>
      </w:r>
    </w:p>
    <w:p>
      <w:r>
        <w:t>Unsicherheit, Ambivalenz und transparente Bewertung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