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 content/studienskripte/woek-g-v20.md</w:t>
      </w:r>
    </w:p>
    <w:p>
      <w:r>
        <w:t>Track: Grundstudium Wirkungsökonomie Kurscode: woek-g Vorlesungscode: V20 Titel: Gesellschaftliche Resonanzfaktoren Voraussetzungen: V01–V19, insbesondere V18 „Zeit, Generationen und unsichtbare Betroffene" und V19 „Wirkstoff, Wirkmechanismus und Wirkungspotenzial" Lesezeit: ca. 90–120 Minuten Status: Studienskript V1 · fachlich finale Codex-Fassung, Claude-CI/CD-Satzfreigabe offen Wissensbasis: aktuelles Grundlagenwerk, Website-Korpus, Journal/Blog, Akademie-Quelltexte und externe Literatur</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Vertiefung: Resonanz als Übergang zwischen Potenzial und Wirkung</w:t>
      </w:r>
    </w:p>
    <w:p>
      <w:r>
        <w:t>Die bisherigen Vorlesungen haben Wirkung als tatsächliche Zustandsveränderung beschrieben. Diese Definition ist absichtlich streng. Sie schützt davor, alles schon Wirkung zu nennen, was gut gemeint, laut kommuniziert, häufig geklickt oder politisch gewünscht ist. In dieser Vorlesung kommt nun ein Zwischenbegriff hinzu: Resonanz. Er erklärt, warum zwischen einer Möglichkeit und einer eingetretenen Veränderung oft ein sozialer, institutioneller und kultureller Übergang liegt.</w:t>
      </w:r>
    </w:p>
    <w:p>
      <w:r>
        <w:t>In der WÖk ist Resonanz kein romantischer Begriff. Es geht nicht darum, ob etwas „ankommt" im Sinne von Sympathie. Es geht darum, ob ein Wirkimpuls in einem Wirkungsraum so aufgenommen, verstanden, geprüft, übersetzt und getragen wird, dass er Zustände verändern kann. Resonanz ist damit eine Bedingung von Wirkung, aber nicht selbst schon die Wirkung. Diese Unterscheidung ist wichtig, weil gerade moderne Öffentlichkeiten Resonanz gerne mit Wirkung verwechseln. Ein Thema erzeugt Aufregung, also scheint es wirksam. Eine Botschaft verbreitet sich, also scheint sie bedeutsam. Eine Empörung dominiert für zwei Tage die Plattformen, also scheint sie gesellschaftlich relevant. Aus wirkungsökonomischer Sicht ist das höchstens ein Anfang der Analyse.</w:t>
      </w:r>
    </w:p>
    <w:p>
      <w:r>
        <w:t>Ein Wirkimpuls kann hohe Resonanz erzeugen und trotzdem keine positive Wirkung entfalten. Er kann sogar negative Wirkung entfalten, wenn Resonanz Angst, Polarisierung, Misstrauen, falsche Prioritäten oder institutionelle Blockaden verstärkt. Umgekehrt kann ein Wirkimpuls zunächst geringe öffentliche Resonanz haben und dennoch später starke positive Wirkung erzeugen, wenn er in Trägerstrukturen übersetzt wird. Viele Sicherheitsstandards, Gesundheitsroutinen, Bildungsreformen, Produktnormen oder Verwaltungsverfahren wirken nicht, weil sie täglich Applaus bekommen, sondern weil sie in Entscheidungen eingebaut wurden.</w:t>
      </w:r>
    </w:p>
    <w:p>
      <w:r>
        <w:t>Damit entsteht eine sehr praktische Unterscheidung: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Ebene</w:t>
            </w:r>
          </w:p>
        </w:tc>
        <w:tc>
          <w:tcPr>
            <w:tcW w:type="dxa" w:w="2340"/>
            <w:vAlign w:val="center"/>
          </w:tcPr>
          <w:p>
            <w:r>
              <w:rPr>
                <w:b/>
              </w:rPr>
              <w:t>Leitfrage</w:t>
            </w:r>
          </w:p>
        </w:tc>
        <w:tc>
          <w:tcPr>
            <w:tcW w:type="dxa" w:w="2340"/>
            <w:vAlign w:val="center"/>
          </w:tcPr>
          <w:p>
            <w:r>
              <w:rPr>
                <w:b/>
              </w:rPr>
              <w:t>Typischer Nachweis</w:t>
            </w:r>
          </w:p>
        </w:tc>
        <w:tc>
          <w:tcPr>
            <w:tcW w:type="dxa" w:w="2340"/>
            <w:vAlign w:val="center"/>
          </w:tcPr>
          <w:p>
            <w:r>
              <w:rPr>
                <w:b/>
              </w:rPr>
              <w:t>Risiko der Verwechslung</w:t>
            </w:r>
          </w:p>
        </w:tc>
      </w:tr>
      <w:tr>
        <w:tc>
          <w:tcPr>
            <w:tcW w:type="dxa" w:w="2340"/>
            <w:vAlign w:val="center"/>
          </w:tcPr>
          <w:p>
            <w:r>
              <w:t>Wirkungspotenzial</w:t>
            </w:r>
          </w:p>
        </w:tc>
        <w:tc>
          <w:tcPr>
            <w:tcW w:type="dxa" w:w="2340"/>
            <w:vAlign w:val="center"/>
          </w:tcPr>
          <w:p>
            <w:r>
              <w:t>Was könnte sich verändern?</w:t>
            </w:r>
          </w:p>
        </w:tc>
        <w:tc>
          <w:tcPr>
            <w:tcW w:type="dxa" w:w="2340"/>
            <w:vAlign w:val="center"/>
          </w:tcPr>
          <w:p>
            <w:r>
              <w:t>plausible Theorie, Evidenz, Vergleichsfälle</w:t>
            </w:r>
          </w:p>
        </w:tc>
        <w:tc>
          <w:tcPr>
            <w:tcW w:type="dxa" w:w="2340"/>
            <w:vAlign w:val="center"/>
          </w:tcPr>
          <w:p>
            <w:r>
              <w:t>Möglichkeit als Ergebnis ausgeben</w:t>
            </w:r>
          </w:p>
        </w:tc>
      </w:tr>
      <w:tr>
        <w:tc>
          <w:tcPr>
            <w:tcW w:type="dxa" w:w="2340"/>
            <w:vAlign w:val="center"/>
          </w:tcPr>
          <w:p>
            <w:r>
              <w:t>Resonanz</w:t>
            </w:r>
          </w:p>
        </w:tc>
        <w:tc>
          <w:tcPr>
            <w:tcW w:type="dxa" w:w="2340"/>
            <w:vAlign w:val="center"/>
          </w:tcPr>
          <w:p>
            <w:r>
              <w:t>Wird der Impuls aufgenommen und übersetzt?</w:t>
            </w:r>
          </w:p>
        </w:tc>
        <w:tc>
          <w:tcPr>
            <w:tcW w:type="dxa" w:w="2340"/>
            <w:vAlign w:val="center"/>
          </w:tcPr>
          <w:p>
            <w:r>
              <w:t>Vertrauen, Anschluss, Diskussion, Routinen, Träger</w:t>
            </w:r>
          </w:p>
        </w:tc>
        <w:tc>
          <w:tcPr>
            <w:tcW w:type="dxa" w:w="2340"/>
            <w:vAlign w:val="center"/>
          </w:tcPr>
          <w:p>
            <w:r>
              <w:t>Aufmerksamkeit als Wirkung ausgeben</w:t>
            </w:r>
          </w:p>
        </w:tc>
      </w:tr>
      <w:tr>
        <w:tc>
          <w:tcPr>
            <w:tcW w:type="dxa" w:w="2340"/>
            <w:vAlign w:val="center"/>
          </w:tcPr>
          <w:p>
            <w:r>
              <w:t>Wirkung</w:t>
            </w:r>
          </w:p>
        </w:tc>
        <w:tc>
          <w:tcPr>
            <w:tcW w:type="dxa" w:w="2340"/>
            <w:vAlign w:val="center"/>
          </w:tcPr>
          <w:p>
            <w:r>
              <w:t>Was hat sich tatsächlich verändert?</w:t>
            </w:r>
          </w:p>
        </w:tc>
        <w:tc>
          <w:tcPr>
            <w:tcW w:type="dxa" w:w="2340"/>
            <w:vAlign w:val="center"/>
          </w:tcPr>
          <w:p>
            <w:r>
              <w:t>Zustandsdaten, qualitative Evidenz, Rückkopplung</w:t>
            </w:r>
          </w:p>
        </w:tc>
        <w:tc>
          <w:tcPr>
            <w:tcW w:type="dxa" w:w="2340"/>
            <w:vAlign w:val="center"/>
          </w:tcPr>
          <w:p>
            <w:r>
              <w:t>Output als Zustandsveränderung ausgeben</w:t>
            </w:r>
          </w:p>
        </w:tc>
      </w:tr>
      <w:tr>
        <w:tc>
          <w:tcPr>
            <w:tcW w:type="dxa" w:w="2340"/>
            <w:vAlign w:val="center"/>
          </w:tcPr>
          <w:p>
            <w:r>
              <w:t>Bewertung</w:t>
            </w:r>
          </w:p>
        </w:tc>
        <w:tc>
          <w:tcPr>
            <w:tcW w:type="dxa" w:w="2340"/>
            <w:vAlign w:val="center"/>
          </w:tcPr>
          <w:p>
            <w:r>
              <w:t>Ist die Veränderung positiv, negativ oder ambivalent?</w:t>
            </w:r>
          </w:p>
        </w:tc>
        <w:tc>
          <w:tcPr>
            <w:tcW w:type="dxa" w:w="2340"/>
            <w:vAlign w:val="center"/>
          </w:tcPr>
          <w:p>
            <w:r>
              <w:t>Referenzrahmen SDGs, Agenda 2030, SDG+, WÖk-Schutzlinien</w:t>
            </w:r>
          </w:p>
        </w:tc>
        <w:tc>
          <w:tcPr>
            <w:tcW w:type="dxa" w:w="2340"/>
            <w:vAlign w:val="center"/>
          </w:tcPr>
          <w:p>
            <w:r>
              <w:t>einzelne Vorteile mit Gesamtnutzen verwechseln</w:t>
            </w:r>
          </w:p>
        </w:tc>
      </w:tr>
    </w:tbl>
    <w:p/>
    <w:p>
      <w:r>
        <w:t>Diese Tabelle ist kein bürokratisches Schema. Sie ist ein Schutz vor Übertreibung. Wer Wirkung behauptet, obwohl nur Resonanz beobachtet wurde, erzeugt Scheinwissen. Wer Resonanz ignoriert, obwohl Wirkungspotenzial vorhanden ist, plant an der sozialen Wirklichkeit vorbei. Wer Bewertung ohne Wirkung vornimmt, moralisiert. Wer Wirkung ohne Bewertung beschreibt, bleibt blind für Richtung und Nebenwirkungen.</w:t>
      </w:r>
    </w:p>
    <w:p>
      <w:pPr>
        <w:pStyle w:val="Heading2"/>
      </w:pPr>
      <w:r>
        <w:t>9. Anschluss an bekannte sozialwissenschaftliche Modelle</w:t>
      </w:r>
    </w:p>
    <w:p>
      <w:r>
        <w:t>Die WÖk muss Resonanz nicht aus dem Nichts erfinden. Sie kann an mehrere wissenschaftliche Traditionen anschließen, ohne sich mit einer einzelnen Theorie zu verwechseln.</w:t>
      </w:r>
    </w:p>
    <w:p>
      <w:pPr>
        <w:pStyle w:val="Heading3"/>
      </w:pPr>
      <w:r>
        <w:t>9.1 Diffusion: Warum sich Neues nicht automatisch verbreitet</w:t>
      </w:r>
    </w:p>
    <w:p>
      <w:r>
        <w:t>Everett Rogers hat mit der Diffusionsforschung gezeigt, dass Innovationen nicht einfach deshalb übernommen werden, weil sie technisch besser sind. Entscheidend sind unter anderem wahrgenommener Nutzen, Kompatibilität mit bestehenden Praktiken, Komplexität, Erprobbarkeit und Beobachtbarkeit. Für die WÖk ist daran besonders wichtig: Ein Wirkimpuls muss an bestehende Handlungslogiken anschließen. Ein neues Produkt, eine neue Regel oder ein neues Verfahren wird nicht nur nach objektiver Qualität aufgenommen, sondern nach wahrgenommener Passung.</w:t>
      </w:r>
    </w:p>
    <w:p>
      <w:r>
        <w:t>Das bedeutet nicht, dass die WÖk sich nach Bequemlichkeit richten soll. Manche Wirkungslogiken müssen Zumutungen benennen: Nichtkompensation, harte rote Linien, Schutz vor Greenwashing, Schutz künftiger Generationen oder Rückkopplungspflichten. Aber auch Zumutungen brauchen Übersetzungsarbeit. Eine Kommune versteht eine andere Sprache als ein Finanzinstitut, eine Schule eine andere als ein Lieferant, ein Pflegeheim eine andere als ein Produktentwicklungsteam. Anschlussfähigkeit bedeutet, diese Sprachen zu kennen, ohne den Maßstab zu verwässern.</w:t>
      </w:r>
    </w:p>
    <w:p>
      <w:pPr>
        <w:pStyle w:val="Heading3"/>
      </w:pPr>
      <w:r>
        <w:t>9.2 Agenda-Setting: Warum manche Themen in Entscheidungen kommen</w:t>
      </w:r>
    </w:p>
    <w:p>
      <w:r>
        <w:t>John Kingdon beschreibt politische Aufmerksamkeit als Zusammenspiel von Problemen, Lösungen und Gelegenheitsfenstern. Ein Problem muss als Problem erkannt werden, eine Lösung muss verfügbar erscheinen, und ein politischer Moment muss Handlung möglich machen. Für die WÖk ist diese Perspektive nützlich, weil viele Wirkungsfragen nicht an fehlender Erkenntnis scheitern, sondern an fehlender Entscheidungsfähigkeit.</w:t>
      </w:r>
    </w:p>
    <w:p>
      <w:r>
        <w:t>Klimarisiken, Pflegenotstand, Desinformation, Bildungsungleichheit oder Wohnkosten sind selten völlig unbekannt. Trotzdem werden sie oft spät bearbeitet. Resonanzanalyse fragt deshalb: Ist das Problem sichtbar? Gibt es verständliche Handlungsoptionen? Gibt es Zuständigkeiten? Gibt es eine Gelegenheit, in der Entscheidungsträgerinnen das Thema aufnehmen können? Ohne diese Fragen bleibt Wirkungspolitik leicht bei Appellen stehen.</w:t>
      </w:r>
    </w:p>
    <w:p>
      <w:pPr>
        <w:pStyle w:val="Heading3"/>
      </w:pPr>
      <w:r>
        <w:t>9.3 Vertrauen: Warum Verfahren wichtiger sind als Behauptungen</w:t>
      </w:r>
    </w:p>
    <w:p>
      <w:r>
        <w:t>Niklas Luhmann beschreibt Vertrauen als Mechanismus zur Reduktion sozialer Komplexität. Menschen können nicht jede Information vollständig selbst prüfen. Sie verlassen sich auf Quellen, Verfahren, Rollen, Institutionen und Erfahrungen. Für die WÖk ist Vertrauen deshalb keine Gefühlsfrage am Rand, sondern eine infrastrukturelle Bedingung von Wirkung.</w:t>
      </w:r>
    </w:p>
    <w:p>
      <w:r>
        <w:t>Wenn Institutionen Daten veröffentlichen, aber Fehler nicht korrigieren, sinkt Vertrauen. Wenn Unternehmen Nachhaltigkeit behaupten, aber Lieferkettenrisiken verschleiern, sinkt Vertrauen. Wenn Medien Zuspitzung mit Einordnung verwechseln, sinkt Vertrauen. Und wenn Politik Wirkung verspricht, aber nur Output berichtet, sinkt Vertrauen ebenfalls. Vertrauen entsteht nicht durch die Behauptung, vertrauenswürdig zu sein. Es entsteht durch prüfbare Verfahren, Quellenklarheit, Fehlertoleranz, Korrektur und konsistente Begriffe.</w:t>
      </w:r>
    </w:p>
    <w:p>
      <w:pPr>
        <w:pStyle w:val="Heading3"/>
      </w:pPr>
      <w:r>
        <w:t>9.4 Framing und Öffentlichkeit: Warum dieselbe Tatsache unterschiedlich wirkt</w:t>
      </w:r>
    </w:p>
    <w:p>
      <w:r>
        <w:t>Framing-Forschung zeigt, dass Informationen immer in Deutungsrahmen auftreten. Ein Hitzeschutzplan kann als Gesundheitsschutz, Bürokratie, Klimaanpassung, Freiheitsbeschränkung, kommunale Fürsorge oder Kostenproblem gerahmt werden. Die Fakten ändern sich dadurch nicht vollständig, aber ihre Wahrnehmung, Anschlussfähigkeit und Handlungswahrscheinlichkeit verändern sich.</w:t>
      </w:r>
    </w:p>
    <w:p>
      <w:r>
        <w:t>Die WÖk muss hier sehr präzise sein: Framing ist nicht automatisch Manipulation. Jede Erklärung setzt Akzente. Manipulativ wird Kommunikation, wenn sie relevante Wirkungen verschweigt, Unsicherheit verdeckt, Gegner entmenschlicht, Angst absichtlich übersteuert oder Menschen in eine gewünschte Reaktion drückt. Gute Wirkungssprache dagegen macht Wirkpfade sichtbar, nennt Quellen, zeigt Unsicherheit, trennt Wirkungspotenzial von Wirkung und ermöglicht eigene Prüfung. Das ist der Unterschied zwischen Resonanzarbeit und Überwältigung.</w:t>
      </w:r>
    </w:p>
    <w:p>
      <w:pPr>
        <w:pStyle w:val="Heading2"/>
      </w:pPr>
      <w:r>
        <w:t>10. Die fünf Resonanzfaktoren als Analyseinstrument</w:t>
      </w:r>
    </w:p>
    <w:p>
      <w:r>
        <w:t>Die fünf Faktoren Vertrauen, Relevanz, Verständlichkeit, Anschlussfähigkeit und Trägerstruktur lassen sich als Analysewerkzeug nutzen. Sie sind nicht vollständig, aber robust genug für erste Diagnosen.</w:t>
      </w:r>
    </w:p>
    <w:p>
      <w:pPr>
        <w:pStyle w:val="Heading3"/>
      </w:pPr>
      <w:r>
        <w:t>10.1 Vertrauen als Quellen- und Verfahrensfrage</w:t>
      </w:r>
    </w:p>
    <w:p>
      <w:r>
        <w:t>Vertrauen hat mindestens vier Ebenen:</w:t>
      </w:r>
    </w:p>
    <w:p>
      <w:r>
        <w:t>1. Quellenvertrauen: Wer spricht, und warum sollte die Quelle verlässlich sein?</w:t>
      </w:r>
    </w:p>
    <w:p>
      <w:r>
        <w:t>2. Verfahrensvertrauen: Wie wurden Daten, Einschätzungen oder Empfehlungen gewonnen?</w:t>
      </w:r>
    </w:p>
    <w:p>
      <w:r>
        <w:t>3. Absichtsvertrauen: Welche Interessen sind sichtbar, welche bleiben verdeckt?</w:t>
      </w:r>
    </w:p>
    <w:p>
      <w:r>
        <w:t>4. Korrekturvertrauen: Was passiert, wenn eine Aussage falsch, unvollständig oder überholt ist?</w:t>
      </w:r>
    </w:p>
    <w:p>
      <w:r>
        <w:t>Für die WÖk ist besonders die vierte Ebene wichtig. Eine lernende Wirkungsökonomie kann Fehler nicht vermeiden, aber sie muss Fehler sichtbar und korrigierbar machen. Ein System, das nur perfekte Sicherheit behauptet, verliert Vertrauen, sobald Unsicherheit sichtbar wird. Ein System, das Unsicherheit offenlegt und Rückkopplung organisiert, kann Vertrauen sogar durch Korrektur stärken.</w:t>
      </w:r>
    </w:p>
    <w:p>
      <w:pPr>
        <w:pStyle w:val="Heading3"/>
      </w:pPr>
      <w:r>
        <w:t>10.2 Relevanz als Betroffenheitsbrücke</w:t>
      </w:r>
    </w:p>
    <w:p>
      <w:r>
        <w:t>Relevanz entsteht, wenn Menschen oder Institutionen erkennen, dass ein Thema einen Zustand berührt, der für sie wichtig ist. Das kann körperliche Sicherheit sein, Gesundheit, Kosten, Würde, Zeit, Autonomie, demokratische Mitsprache, Zukunftschancen oder ökologische Lebensgrundlagen.</w:t>
      </w:r>
    </w:p>
    <w:p>
      <w:r>
        <w:t>Wirkungsökonomisch ist Relevanz nicht beliebig subjektiv. Nicht alles, was jemand als relevant empfindet, ist deshalb positive Wirkung. Aber ohne erkennbare Betroffenheit bleibt ein Wirkimpuls oft abstrakt. Gerade globale Risiken brauchen Übersetzung in lokale und konkrete Wirkungsräume. Klimaanpassung wird greifbarer, wenn sie als Hitzeschutz im Pflegeheim erscheint. Datenqualität wird greifbarer, wenn sie entscheidet, ob eine Investition wirklich Risiken senkt. Demokratie wird greifbarer, wenn Menschen erleben, dass Fakten, Verfahren und Korrektur ihren Alltag schützen.</w:t>
      </w:r>
    </w:p>
    <w:p>
      <w:pPr>
        <w:pStyle w:val="Heading3"/>
      </w:pPr>
      <w:r>
        <w:t>10.3 Verständlichkeit als begriffliche Verantwortung</w:t>
      </w:r>
    </w:p>
    <w:p>
      <w:r>
        <w:t>Verständlichkeit ist nicht Vereinfachung um jeden Preis. Ein Begriff darf anspruchsvoll sein, wenn er etwas präzisiert, das sonst verschwimmt. Die WÖk braucht präzise Begriffe, weil sie sonst selbst zum unscharfen Versprechen würde. Wirkung, Wirkungspotenzial, Wirkungsrisiko, Nebenwirkung, Netto-Wirkung, Transformationswirkung, Wirkungslenkung und Wirkungsarchitektur dürfen nicht ineinanderfallen.</w:t>
      </w:r>
    </w:p>
    <w:p>
      <w:r>
        <w:t>Gute Verständlichkeit hat drei Ebenen:</w:t>
      </w:r>
    </w:p>
    <w:p>
      <w:pPr>
        <w:pStyle w:val="ListBullet"/>
      </w:pPr>
      <w:r>
        <w:t>sprachliche Klarheit: kurze, eindeutige Sätze ohne unnötige Fachschwere.</w:t>
      </w:r>
    </w:p>
    <w:p>
      <w:pPr>
        <w:pStyle w:val="ListBullet"/>
      </w:pPr>
      <w:r>
        <w:t>modellhafte Klarheit: sichtbare Wirkpfade, Tabellen, Beispiele, Falllogiken.</w:t>
      </w:r>
    </w:p>
    <w:p>
      <w:pPr>
        <w:pStyle w:val="ListBullet"/>
      </w:pPr>
      <w:r>
        <w:t>normative Klarheit: transparente Unterscheidung zwischen Beschreibung und Bewertung.</w:t>
      </w:r>
    </w:p>
    <w:p>
      <w:r>
        <w:t>Wenn diese Ebenen fehlen, entsteht Scheingenauigkeit. Dann klingen Begriffe wissenschaftlich, ohne Entscheidungen zu verbessern. Die WÖk muss deshalb wissenschaftlich anschlussfähig und zugleich alltagstauglich bleiben.</w:t>
      </w:r>
    </w:p>
    <w:p>
      <w:pPr>
        <w:pStyle w:val="Heading3"/>
      </w:pPr>
      <w:r>
        <w:t>10.4 Anschlussfähigkeit als Brücke zur Praxis</w:t>
      </w:r>
    </w:p>
    <w:p>
      <w:r>
        <w:t>Anschlussfähigkeit fragt: Wo kann der Impuls andocken? In einer Organisation kann das ein Prozess, ein Budget, eine Kennzahl, eine Führungsroutine oder ein Risikomanagementsystem sein. In einer Kommune kann es ein Haushaltsverfahren, eine Beschaffungsrichtlinie, ein Beteiligungsformat oder ein Klimaanpassungsplan sein. In Medien kann es ein Redaktionsstandard, eine Quellenprüfung, eine Korrekturpraxis oder eine Plattformregel sein.</w:t>
      </w:r>
    </w:p>
    <w:p>
      <w:r>
        <w:t>Anschlussfähigkeit ist besonders wichtig, weil viele gute Ideen an falscher Flughöhe scheitern. Sie bleiben zu abstrakt für operative Rollen und zu operativ für strategische Entscheidungen. Eine resonanzfähige WÖk-Übersetzung zeigt deshalb immer mindestens zwei Ebenen: die große Logik und den nächsten konkreten Andockpunkt.</w:t>
      </w:r>
    </w:p>
    <w:p>
      <w:pPr>
        <w:pStyle w:val="Heading3"/>
      </w:pPr>
      <w:r>
        <w:t>10.5 Trägerstruktur als Stabilisierung von Wirkung</w:t>
      </w:r>
    </w:p>
    <w:p>
      <w:r>
        <w:t>Trägerstrukturen übersetzen Einsicht in Dauer. Ohne sie bleibt Wirkung abhängig von einzelnen Personen, Kampagnen oder Stimmungen. Trägerstrukturen können institutionell, rechtlich, technisch, finanziell, kulturell oder professionell sein.</w:t>
      </w:r>
    </w:p>
    <w:p>
      <w:r>
        <w:t>Beispiele: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Wirkimpuls</w:t>
            </w:r>
          </w:p>
        </w:tc>
        <w:tc>
          <w:tcPr>
            <w:tcW w:type="dxa" w:w="3120"/>
            <w:vAlign w:val="center"/>
          </w:tcPr>
          <w:p>
            <w:r>
              <w:rPr>
                <w:b/>
              </w:rPr>
              <w:t>schwache Trägerstruktur</w:t>
            </w:r>
          </w:p>
        </w:tc>
        <w:tc>
          <w:tcPr>
            <w:tcW w:type="dxa" w:w="3120"/>
            <w:vAlign w:val="center"/>
          </w:tcPr>
          <w:p>
            <w:r>
              <w:rPr>
                <w:b/>
              </w:rPr>
              <w:t>starke Trägerstruktur</w:t>
            </w:r>
          </w:p>
        </w:tc>
      </w:tr>
      <w:tr>
        <w:tc>
          <w:tcPr>
            <w:tcW w:type="dxa" w:w="3120"/>
            <w:vAlign w:val="center"/>
          </w:tcPr>
          <w:p>
            <w:r>
              <w:t>Hitzeschutz</w:t>
            </w:r>
          </w:p>
        </w:tc>
        <w:tc>
          <w:tcPr>
            <w:tcW w:type="dxa" w:w="3120"/>
            <w:vAlign w:val="center"/>
          </w:tcPr>
          <w:p>
            <w:r>
              <w:t>einmalige Informationskampagne</w:t>
            </w:r>
          </w:p>
        </w:tc>
        <w:tc>
          <w:tcPr>
            <w:tcW w:type="dxa" w:w="3120"/>
            <w:vAlign w:val="center"/>
          </w:tcPr>
          <w:p>
            <w:r>
              <w:t>kommunaler Plan, Pflegeprotokolle, Warnketten, kühle Orte, Monitoring</w:t>
            </w:r>
          </w:p>
        </w:tc>
      </w:tr>
      <w:tr>
        <w:tc>
          <w:tcPr>
            <w:tcW w:type="dxa" w:w="3120"/>
            <w:vAlign w:val="center"/>
          </w:tcPr>
          <w:p>
            <w:r>
              <w:t>Medienqualität</w:t>
            </w:r>
          </w:p>
        </w:tc>
        <w:tc>
          <w:tcPr>
            <w:tcW w:type="dxa" w:w="3120"/>
            <w:vAlign w:val="center"/>
          </w:tcPr>
          <w:p>
            <w:r>
              <w:t>Appell an Verantwortung</w:t>
            </w:r>
          </w:p>
        </w:tc>
        <w:tc>
          <w:tcPr>
            <w:tcW w:type="dxa" w:w="3120"/>
            <w:vAlign w:val="center"/>
          </w:tcPr>
          <w:p>
            <w:r>
              <w:t>Redaktionsstandards, Quellenlog, Korrekturroutine, Plattformtransparenz</w:t>
            </w:r>
          </w:p>
        </w:tc>
      </w:tr>
      <w:tr>
        <w:tc>
          <w:tcPr>
            <w:tcW w:type="dxa" w:w="3120"/>
            <w:vAlign w:val="center"/>
          </w:tcPr>
          <w:p>
            <w:r>
              <w:t>nachhaltige Beschaffung</w:t>
            </w:r>
          </w:p>
        </w:tc>
        <w:tc>
          <w:tcPr>
            <w:tcW w:type="dxa" w:w="3120"/>
            <w:vAlign w:val="center"/>
          </w:tcPr>
          <w:p>
            <w:r>
              <w:t>freiwilliger Hinweis</w:t>
            </w:r>
          </w:p>
        </w:tc>
        <w:tc>
          <w:tcPr>
            <w:tcW w:type="dxa" w:w="3120"/>
            <w:vAlign w:val="center"/>
          </w:tcPr>
          <w:p>
            <w:r>
              <w:t>Vergabekriterien, Datenpflicht, Schulung, Audit, Rückkopplung</w:t>
            </w:r>
          </w:p>
        </w:tc>
      </w:tr>
      <w:tr>
        <w:tc>
          <w:tcPr>
            <w:tcW w:type="dxa" w:w="3120"/>
            <w:vAlign w:val="center"/>
          </w:tcPr>
          <w:p>
            <w:r>
              <w:t>Wirkungskompetenz in Schulen</w:t>
            </w:r>
          </w:p>
        </w:tc>
        <w:tc>
          <w:tcPr>
            <w:tcW w:type="dxa" w:w="3120"/>
            <w:vAlign w:val="center"/>
          </w:tcPr>
          <w:p>
            <w:r>
              <w:t>Projektwoche</w:t>
            </w:r>
          </w:p>
        </w:tc>
        <w:tc>
          <w:tcPr>
            <w:tcW w:type="dxa" w:w="3120"/>
            <w:vAlign w:val="center"/>
          </w:tcPr>
          <w:p>
            <w:r>
              <w:t>Curriculum, Lehrkräftefortbildung, Aufgabenformate, Schulentwicklung</w:t>
            </w:r>
          </w:p>
        </w:tc>
      </w:tr>
      <w:tr>
        <w:tc>
          <w:tcPr>
            <w:tcW w:type="dxa" w:w="3120"/>
            <w:vAlign w:val="center"/>
          </w:tcPr>
          <w:p>
            <w:r>
              <w:t>Produktwirkung</w:t>
            </w:r>
          </w:p>
        </w:tc>
        <w:tc>
          <w:tcPr>
            <w:tcW w:type="dxa" w:w="3120"/>
            <w:vAlign w:val="center"/>
          </w:tcPr>
          <w:p>
            <w:r>
              <w:t>Labelversprechen</w:t>
            </w:r>
          </w:p>
        </w:tc>
        <w:tc>
          <w:tcPr>
            <w:tcW w:type="dxa" w:w="3120"/>
            <w:vAlign w:val="center"/>
          </w:tcPr>
          <w:p>
            <w:r>
              <w:t>digitale Produktpässe, WÖk-IDs, Scorecards, Beschaffungswirkung</w:t>
            </w:r>
          </w:p>
        </w:tc>
      </w:tr>
    </w:tbl>
    <w:p/>
    <w:p>
      <w:r>
        <w:t>Trägerstrukturen sind kein Ersatz für Wirkung. Sie sind Bedingungen, unter denen Wirkung wahrscheinlicher und prüfbarer wird. Auch eine starke Struktur kann falsch wirken, wenn sie schlechte Ziele stabilisiert. Deshalb müssen Trägerstrukturen selbst rückkopplungsfähig bleiben.</w:t>
      </w:r>
    </w:p>
    <w:p>
      <w:pPr>
        <w:pStyle w:val="Heading2"/>
      </w:pPr>
      <w:r>
        <w:t>11. Resonanzdiagnose: Ein Arbeitsverfahren in sieben Schritten</w:t>
      </w:r>
    </w:p>
    <w:p>
      <w:r>
        <w:t>Für die Praxis reicht es nicht, die fünf Faktoren zu kennen. Man muss sie anwenden können. Die folgende Diagnose ist für Projekte, Kommunikation, politische Programme, Produkte, interne Organisationsentscheidungen und Bildungsformate geeignet.</w:t>
      </w:r>
    </w:p>
    <w:p>
      <w:pPr>
        <w:pStyle w:val="Heading3"/>
      </w:pPr>
      <w:r>
        <w:t>Schritt 1: Wirkimpuls und behauptetes Potenzial trennen</w:t>
      </w:r>
    </w:p>
    <w:p>
      <w:r>
        <w:t>Zunächst wird der Wirkimpuls benannt. Das kann eine Maßnahme, ein Produkt, eine Regel, eine Aussage, ein Tool, ein Preis, eine Förderung oder ein institutionelles Verfahren sein. Danach wird das behauptete Wirkungspotenzial notiert. Wichtig ist die Trennung: Der Auslöser ist nicht die Wirkung. Das Potenzial ist nicht der Nachweis.</w:t>
      </w:r>
    </w:p>
    <w:p>
      <w:pPr>
        <w:pStyle w:val="Heading3"/>
      </w:pPr>
      <w:r>
        <w:t>Schritt 2: Wirkungsempfänger bestimmen</w:t>
      </w:r>
    </w:p>
    <w:p>
      <w:r>
        <w:t>Wer ist direkt betroffen? Wer indirekt? Wer hat keine Stimme im Verfahren, ist aber betroffen? Künftige Generationen, Ökosysteme, Kinder, pflegebedürftige Menschen, nicht organisierte Verbraucherinnen oder lokale Gemeinschaften werden oft zu spät einbezogen. Resonanzanalyse darf deshalb nicht nur fragen, wer laut reagiert. Sie muss auch fragen, wer nicht reagieren kann.</w:t>
      </w:r>
    </w:p>
    <w:p>
      <w:pPr>
        <w:pStyle w:val="Heading3"/>
      </w:pPr>
      <w:r>
        <w:t>Schritt 3: Resonanzraum beschreiben</w:t>
      </w:r>
    </w:p>
    <w:p>
      <w:r>
        <w:t>Ein Resonanzraum ist der soziale, institutionelle oder kommunikative Raum, in dem ein Impuls aufgenommen wird. Das kann ein Markt, eine Schule, eine Verwaltung, eine Plattformöffentlichkeit, ein kommunaler Beteiligungsprozess, ein Team, eine Branche oder eine Lieferkette sein. Jeder Resonanzraum hat eigene Regeln: Sprache, Macht, Vertrauen, Routinen, Konflikte, Zeitdruck und Datenlage.</w:t>
      </w:r>
    </w:p>
    <w:p>
      <w:pPr>
        <w:pStyle w:val="Heading3"/>
      </w:pPr>
      <w:r>
        <w:t>Schritt 4: Fünf Faktoren bewerten</w:t>
      </w:r>
    </w:p>
    <w:p>
      <w:r>
        <w:t>Die fünf Resonanzfaktoren werden nicht als Score absolut gemessen, sondern zunächst qualitativ eingeschätzt. Eine einfache Ampel reicht für die erste Diagnose: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Grün</w:t>
            </w:r>
          </w:p>
        </w:tc>
        <w:tc>
          <w:tcPr>
            <w:tcW w:type="dxa" w:w="2340"/>
            <w:vAlign w:val="center"/>
          </w:tcPr>
          <w:p>
            <w:r>
              <w:rPr>
                <w:b/>
              </w:rPr>
              <w:t>Gelb</w:t>
            </w:r>
          </w:p>
        </w:tc>
        <w:tc>
          <w:tcPr>
            <w:tcW w:type="dxa" w:w="2340"/>
            <w:vAlign w:val="center"/>
          </w:tcPr>
          <w:p>
            <w:r>
              <w:rPr>
                <w:b/>
              </w:rPr>
              <w:t>Rot</w:t>
            </w:r>
          </w:p>
        </w:tc>
      </w:tr>
      <w:tr>
        <w:tc>
          <w:tcPr>
            <w:tcW w:type="dxa" w:w="2340"/>
            <w:vAlign w:val="center"/>
          </w:tcPr>
          <w:p>
            <w:r>
              <w:t>Vertrauen</w:t>
            </w:r>
          </w:p>
        </w:tc>
        <w:tc>
          <w:tcPr>
            <w:tcW w:type="dxa" w:w="2340"/>
            <w:vAlign w:val="center"/>
          </w:tcPr>
          <w:p>
            <w:r>
              <w:t>Quelle und Verfahren sind nachvollziehbar</w:t>
            </w:r>
          </w:p>
        </w:tc>
        <w:tc>
          <w:tcPr>
            <w:tcW w:type="dxa" w:w="2340"/>
            <w:vAlign w:val="center"/>
          </w:tcPr>
          <w:p>
            <w:r>
              <w:t>einzelne Zweifel oder fehlende Korrekturroutine</w:t>
            </w:r>
          </w:p>
        </w:tc>
        <w:tc>
          <w:tcPr>
            <w:tcW w:type="dxa" w:w="2340"/>
            <w:vAlign w:val="center"/>
          </w:tcPr>
          <w:p>
            <w:r>
              <w:t>Misstrauen, verdeckte Interessen, frühere Täuschung</w:t>
            </w:r>
          </w:p>
        </w:tc>
      </w:tr>
      <w:tr>
        <w:tc>
          <w:tcPr>
            <w:tcW w:type="dxa" w:w="2340"/>
            <w:vAlign w:val="center"/>
          </w:tcPr>
          <w:p>
            <w:r>
              <w:t>Relevanz</w:t>
            </w:r>
          </w:p>
        </w:tc>
        <w:tc>
          <w:tcPr>
            <w:tcW w:type="dxa" w:w="2340"/>
            <w:vAlign w:val="center"/>
          </w:tcPr>
          <w:p>
            <w:r>
              <w:t>Betroffenheit ist konkret erkennbar</w:t>
            </w:r>
          </w:p>
        </w:tc>
        <w:tc>
          <w:tcPr>
            <w:tcW w:type="dxa" w:w="2340"/>
            <w:vAlign w:val="center"/>
          </w:tcPr>
          <w:p>
            <w:r>
              <w:t>Relevanz muss noch übersetzt werden</w:t>
            </w:r>
          </w:p>
        </w:tc>
        <w:tc>
          <w:tcPr>
            <w:tcW w:type="dxa" w:w="2340"/>
            <w:vAlign w:val="center"/>
          </w:tcPr>
          <w:p>
            <w:r>
              <w:t>Thema wirkt fern oder folgenlos</w:t>
            </w:r>
          </w:p>
        </w:tc>
      </w:tr>
      <w:tr>
        <w:tc>
          <w:tcPr>
            <w:tcW w:type="dxa" w:w="2340"/>
            <w:vAlign w:val="center"/>
          </w:tcPr>
          <w:p>
            <w:r>
              <w:t>Verständlichkeit</w:t>
            </w:r>
          </w:p>
        </w:tc>
        <w:tc>
          <w:tcPr>
            <w:tcW w:type="dxa" w:w="2340"/>
            <w:vAlign w:val="center"/>
          </w:tcPr>
          <w:p>
            <w:r>
              <w:t>Wirkpfad und Begriffe sind klar</w:t>
            </w:r>
          </w:p>
        </w:tc>
        <w:tc>
          <w:tcPr>
            <w:tcW w:type="dxa" w:w="2340"/>
            <w:vAlign w:val="center"/>
          </w:tcPr>
          <w:p>
            <w:r>
              <w:t>Fachsprache oder Unschärfen bleiben</w:t>
            </w:r>
          </w:p>
        </w:tc>
        <w:tc>
          <w:tcPr>
            <w:tcW w:type="dxa" w:w="2340"/>
            <w:vAlign w:val="center"/>
          </w:tcPr>
          <w:p>
            <w:r>
              <w:t>zentrale Begriffe werden vermischt</w:t>
            </w:r>
          </w:p>
        </w:tc>
      </w:tr>
      <w:tr>
        <w:tc>
          <w:tcPr>
            <w:tcW w:type="dxa" w:w="2340"/>
            <w:vAlign w:val="center"/>
          </w:tcPr>
          <w:p>
            <w:r>
              <w:t>Anschlussfähigkeit</w:t>
            </w:r>
          </w:p>
        </w:tc>
        <w:tc>
          <w:tcPr>
            <w:tcW w:type="dxa" w:w="2340"/>
            <w:vAlign w:val="center"/>
          </w:tcPr>
          <w:p>
            <w:r>
              <w:t>konkrete Andockpunkte existieren</w:t>
            </w:r>
          </w:p>
        </w:tc>
        <w:tc>
          <w:tcPr>
            <w:tcW w:type="dxa" w:w="2340"/>
            <w:vAlign w:val="center"/>
          </w:tcPr>
          <w:p>
            <w:r>
              <w:t>Andockpunkte sind möglich, aber ungeklärt</w:t>
            </w:r>
          </w:p>
        </w:tc>
        <w:tc>
          <w:tcPr>
            <w:tcW w:type="dxa" w:w="2340"/>
            <w:vAlign w:val="center"/>
          </w:tcPr>
          <w:p>
            <w:r>
              <w:t>keine Rolle, kein Prozess, keine institutionelle Passung</w:t>
            </w:r>
          </w:p>
        </w:tc>
      </w:tr>
      <w:tr>
        <w:tc>
          <w:tcPr>
            <w:tcW w:type="dxa" w:w="2340"/>
            <w:vAlign w:val="center"/>
          </w:tcPr>
          <w:p>
            <w:r>
              <w:t>Trägerstruktur</w:t>
            </w:r>
          </w:p>
        </w:tc>
        <w:tc>
          <w:tcPr>
            <w:tcW w:type="dxa" w:w="2340"/>
            <w:vAlign w:val="center"/>
          </w:tcPr>
          <w:p>
            <w:r>
              <w:t>Zuständigkeit, Ressourcen und Lernschleifen vorhanden</w:t>
            </w:r>
          </w:p>
        </w:tc>
        <w:tc>
          <w:tcPr>
            <w:tcW w:type="dxa" w:w="2340"/>
            <w:vAlign w:val="center"/>
          </w:tcPr>
          <w:p>
            <w:r>
              <w:t>teilweise vorhanden</w:t>
            </w:r>
          </w:p>
        </w:tc>
        <w:tc>
          <w:tcPr>
            <w:tcW w:type="dxa" w:w="2340"/>
            <w:vAlign w:val="center"/>
          </w:tcPr>
          <w:p>
            <w:r>
              <w:t>keine dauerhafte Struktur</w:t>
            </w:r>
          </w:p>
        </w:tc>
      </w:tr>
    </w:tbl>
    <w:p/>
    <w:p>
      <w:pPr>
        <w:pStyle w:val="Heading3"/>
      </w:pPr>
      <w:r>
        <w:t>Schritt 5: Wirkungsrisiken prüfen</w:t>
      </w:r>
    </w:p>
    <w:p>
      <w:r>
        <w:t>Resonanz kann Schäden verstärken. Eine Kommunikation kann Aufmerksamkeit erzeugen und gleichzeitig Polarisierung erhöhen. Eine Technologie kann Akzeptanz finden und zugleich Abhängigkeiten vertiefen. Eine Regel kann Vertrauen in einer Gruppe erhöhen und eine andere ausschließen. Deshalb gehört zu jeder Resonanzdiagnose eine Risikospalte: Welche negative Zustandsveränderung könnte durch denselben Resonanzpfad entstehen?</w:t>
      </w:r>
    </w:p>
    <w:p>
      <w:pPr>
        <w:pStyle w:val="Heading3"/>
      </w:pPr>
      <w:r>
        <w:t>Schritt 6: Rückkopplung festlegen</w:t>
      </w:r>
    </w:p>
    <w:p>
      <w:r>
        <w:t>Ohne Rückkopplung bleibt Resonanzdiagnose eine Momentaufnahme. Rückkopplung bedeutet: Es wird festgelegt, welche Beobachtung später entscheidet, ob der Impuls angepasst, verstärkt, beendet oder anders übersetzt wird. Das kann ein quantitativer Indikator sein, aber auch qualitative Evidenz: Beschwerden, Interviews, Nutzungsdaten, Beobachtungen in Einrichtungen, Fallanalysen oder Auditbefunde.</w:t>
      </w:r>
    </w:p>
    <w:p>
      <w:pPr>
        <w:pStyle w:val="Heading3"/>
      </w:pPr>
      <w:r>
        <w:t>Schritt 7: Entscheidung ableiten</w:t>
      </w:r>
    </w:p>
    <w:p>
      <w:r>
        <w:t>Am Ende steht keine moralische Gesamtwertung von Menschen, sondern eine Entscheidung über den Wirkimpuls: weiterführen, anders kommunizieren, anders strukturieren, begrenzen, testen, stoppen oder in einen anderen Resonanzraum übersetzen. Genau hier wird Resonanzanalyse zur Wirkungslenkung.</w:t>
      </w:r>
    </w:p>
    <w:p>
      <w:pPr>
        <w:pStyle w:val="Heading2"/>
      </w:pPr>
      <w:r>
        <w:t>12. Fallstudie 2: Öffentliche Kommunikation über Fakten</w:t>
      </w:r>
    </w:p>
    <w:p>
      <w:r>
        <w:t>Viele demokratische Konflikte zeigen, dass Fakten allein nicht automatisch wirken. Das bedeutet nicht, dass Wahrheit unwichtig wäre. Im Gegenteil: Ohne belastbare Fakten verliert öffentliche Steuerung ihre Grundlage. Aber Fakten entfalten Wirkung nur, wenn sie in einem Resonanzraum verstanden, geprüft und handlungsrelevant werden.</w:t>
      </w:r>
    </w:p>
    <w:p>
      <w:r>
        <w:t>Nehmen wir eine Kampagne gegen Desinformation. Sie veröffentlicht korrekte Faktenchecks, zeigt Quellen und widerlegt falsche Behauptungen. Das Wirkungspotenzial ist hoch: Bürgerinnen könnten besser informiert entscheiden, Manipulation könnte sinken, Vertrauen in demokratische Verfahren könnte steigen. Trotzdem kann die Kampagne scheitern, wenn die Resonanzbedingungen ungünstig sind.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Resonanzfaktor</w:t>
            </w:r>
          </w:p>
        </w:tc>
        <w:tc>
          <w:tcPr>
            <w:tcW w:type="dxa" w:w="3120"/>
            <w:vAlign w:val="center"/>
          </w:tcPr>
          <w:p>
            <w:r>
              <w:rPr>
                <w:b/>
              </w:rPr>
              <w:t>mögliche Stärke</w:t>
            </w:r>
          </w:p>
        </w:tc>
        <w:tc>
          <w:tcPr>
            <w:tcW w:type="dxa" w:w="3120"/>
            <w:vAlign w:val="center"/>
          </w:tcPr>
          <w:p>
            <w:r>
              <w:rPr>
                <w:b/>
              </w:rPr>
              <w:t>mögliche Schwäche</w:t>
            </w:r>
          </w:p>
        </w:tc>
      </w:tr>
      <w:tr>
        <w:tc>
          <w:tcPr>
            <w:tcW w:type="dxa" w:w="3120"/>
            <w:vAlign w:val="center"/>
          </w:tcPr>
          <w:p>
            <w:r>
              <w:t>Vertrauen</w:t>
            </w:r>
          </w:p>
        </w:tc>
        <w:tc>
          <w:tcPr>
            <w:tcW w:type="dxa" w:w="3120"/>
            <w:vAlign w:val="center"/>
          </w:tcPr>
          <w:p>
            <w:r>
              <w:t>unabhängige Quellen, transparente Methode</w:t>
            </w:r>
          </w:p>
        </w:tc>
        <w:tc>
          <w:tcPr>
            <w:tcW w:type="dxa" w:w="3120"/>
            <w:vAlign w:val="center"/>
          </w:tcPr>
          <w:p>
            <w:r>
              <w:t>Faktencheck wird als parteiisch wahrgenommen</w:t>
            </w:r>
          </w:p>
        </w:tc>
      </w:tr>
      <w:tr>
        <w:tc>
          <w:tcPr>
            <w:tcW w:type="dxa" w:w="3120"/>
            <w:vAlign w:val="center"/>
          </w:tcPr>
          <w:p>
            <w:r>
              <w:t>Relevanz</w:t>
            </w:r>
          </w:p>
        </w:tc>
        <w:tc>
          <w:tcPr>
            <w:tcW w:type="dxa" w:w="3120"/>
            <w:vAlign w:val="center"/>
          </w:tcPr>
          <w:p>
            <w:r>
              <w:t>Bezug zu Alltag, Wahlentscheidung, Sicherheit</w:t>
            </w:r>
          </w:p>
        </w:tc>
        <w:tc>
          <w:tcPr>
            <w:tcW w:type="dxa" w:w="3120"/>
            <w:vAlign w:val="center"/>
          </w:tcPr>
          <w:p>
            <w:r>
              <w:t>Thema wirkt abstrakt oder belehrend</w:t>
            </w:r>
          </w:p>
        </w:tc>
      </w:tr>
      <w:tr>
        <w:tc>
          <w:tcPr>
            <w:tcW w:type="dxa" w:w="3120"/>
            <w:vAlign w:val="center"/>
          </w:tcPr>
          <w:p>
            <w:r>
              <w:t>Verständlichkeit</w:t>
            </w:r>
          </w:p>
        </w:tc>
        <w:tc>
          <w:tcPr>
            <w:tcW w:type="dxa" w:w="3120"/>
            <w:vAlign w:val="center"/>
          </w:tcPr>
          <w:p>
            <w:r>
              <w:t>klare Darstellung von Behauptung, Quelle, Wirkpfad</w:t>
            </w:r>
          </w:p>
        </w:tc>
        <w:tc>
          <w:tcPr>
            <w:tcW w:type="dxa" w:w="3120"/>
            <w:vAlign w:val="center"/>
          </w:tcPr>
          <w:p>
            <w:r>
              <w:t>zu technische Sprache, zu viele Details</w:t>
            </w:r>
          </w:p>
        </w:tc>
      </w:tr>
      <w:tr>
        <w:tc>
          <w:tcPr>
            <w:tcW w:type="dxa" w:w="3120"/>
            <w:vAlign w:val="center"/>
          </w:tcPr>
          <w:p>
            <w:r>
              <w:t>Anschlussfähigkeit</w:t>
            </w:r>
          </w:p>
        </w:tc>
        <w:tc>
          <w:tcPr>
            <w:tcW w:type="dxa" w:w="3120"/>
            <w:vAlign w:val="center"/>
          </w:tcPr>
          <w:p>
            <w:r>
              <w:t>Einbettung in Schulen, Medien, Plattformregeln</w:t>
            </w:r>
          </w:p>
        </w:tc>
        <w:tc>
          <w:tcPr>
            <w:tcW w:type="dxa" w:w="3120"/>
            <w:vAlign w:val="center"/>
          </w:tcPr>
          <w:p>
            <w:r>
              <w:t>isolierte Website ohne soziale Träger</w:t>
            </w:r>
          </w:p>
        </w:tc>
      </w:tr>
      <w:tr>
        <w:tc>
          <w:tcPr>
            <w:tcW w:type="dxa" w:w="3120"/>
            <w:vAlign w:val="center"/>
          </w:tcPr>
          <w:p>
            <w:r>
              <w:t>Trägerstruktur</w:t>
            </w:r>
          </w:p>
        </w:tc>
        <w:tc>
          <w:tcPr>
            <w:tcW w:type="dxa" w:w="3120"/>
            <w:vAlign w:val="center"/>
          </w:tcPr>
          <w:p>
            <w:r>
              <w:t>Redaktionen, Bildungsformate, Korrekturroutinen</w:t>
            </w:r>
          </w:p>
        </w:tc>
        <w:tc>
          <w:tcPr>
            <w:tcW w:type="dxa" w:w="3120"/>
            <w:vAlign w:val="center"/>
          </w:tcPr>
          <w:p>
            <w:r>
              <w:t>einmalige Kampagne ohne Fortsetzung</w:t>
            </w:r>
          </w:p>
        </w:tc>
      </w:tr>
    </w:tbl>
    <w:p/>
    <w:p>
      <w:r>
        <w:t>Die WÖk-Pointe lautet: Ein Faktencheck ist ein Auslöser mit Wirkungspotenzial. Wirkung entsteht erst, wenn sich Zustände verändern: Menschen erkennen manipulative Muster, Medien korrigieren schneller, Plattformen begrenzen Verstärkungslogiken, Bildungsformate stärken Urteilskraft, demokratische Diskussion bleibt korrigierbar. Reichweite des Faktenchecks ist dafür höchstens ein Hinweis, kein Nachweis.</w:t>
      </w:r>
    </w:p>
    <w:p>
      <w:r>
        <w:t>Diese Fallstudie zeigt auch die rote Linie. Eine demokratische Resonanzstrategie darf Menschen nicht manipulieren, beschämen oder sortieren. Sie soll Räume schaffen, in denen Prüfung möglich wird. Das ist anspruchsvoller als Gegenpropaganda. Es braucht Geduld, Fehlerkultur, verständliche Sprache und Institutionen, die Korrektur nicht als Gesichtsverlust behandeln.</w:t>
      </w:r>
    </w:p>
    <w:p>
      <w:pPr>
        <w:pStyle w:val="Heading2"/>
      </w:pPr>
      <w:r>
        <w:t>13. Fallstudie 3: Produktwirkung und Verbraucherinformation</w:t>
      </w:r>
    </w:p>
    <w:p>
      <w:r>
        <w:t>Ein Produkt kann ein hoher Resonanzträger sein, weil Menschen es sehen, kaufen, nutzen und vergleichen. Darin liegt eine Chance für die Wirkungsökonomie. Produktinformationen können Wirkung alltagsnah machen. Gleichzeitig sind Produkte anfällig für Vereinfachung: Ein Label, ein Score oder ein grünes Versprechen kann den Eindruck erwecken, die Wirkung sei vollständig geklärt.</w:t>
      </w:r>
    </w:p>
    <w:p>
      <w:r>
        <w:t>Nehmen wir ein Lebensmittelprodukt. Die Wirkung kann Boden, Wasser, Klima, Biodiversität, Arbeitsbedingungen, Gesundheit, Verpackung, Transport, regionale Wertschöpfung und Abfall betreffen. Verbraucherinnen können nicht all diese Wirkpfade selbst prüfen. Sie brauchen verständliche, vertrauenswürdige und anschlussfähige Information.</w:t>
      </w:r>
    </w:p>
    <w:p>
      <w:r>
        <w:t>Resonanz entsteht hier, wenn drei Bedingungen zusammenkommen:</w:t>
      </w:r>
    </w:p>
    <w:p>
      <w:r>
        <w:t>1. Die Information ist verständlich genug, um in Kaufentscheidungen einzufließen.</w:t>
      </w:r>
    </w:p>
    <w:p>
      <w:r>
        <w:t>2. Die Datenbasis ist vertrauenswürdig genug, um nicht als Labelmarketing abgetan zu werden.</w:t>
      </w:r>
    </w:p>
    <w:p>
      <w:r>
        <w:t>3. Die Struktur ist tragfähig genug, um Unternehmen, Handel, Beschaffung und Politik einzubeziehen.</w:t>
      </w:r>
    </w:p>
    <w:p>
      <w:r>
        <w:t>Ein Produktlabel ohne Datenqualität erzeugt Scheinresonanz. Ein perfektes Datenmodell ohne verständliche Darstellung erzeugt keine Verbraucherwirkung. Eine gute Verbraucherinformation ohne Preis-, Beschaffungs- oder Kapitalrückkopplung bleibt oft zu schwach. Deshalb verbindet die WÖk Produktwirkung mit WÖk-IDs, digitalen Produktpässen, Scorecards, Nichtkompensation und Rückkopplung in Märkte.</w:t>
      </w:r>
    </w:p>
    <w:p>
      <w:pPr>
        <w:pStyle w:val="Heading2"/>
      </w:pPr>
      <w:r>
        <w:t>14. Daten, Indikatoren und qualitative Evidenz</w:t>
      </w:r>
    </w:p>
    <w:p>
      <w:r>
        <w:t>Resonanzfaktoren sind schwerer zu messen als Emissionen, Preise oder Stückzahlen. Das heißt aber nicht, dass sie beliebig sind. Man kann Resonanz über Indikatoren, Beobachtungen und qualitative Evidenz erschließen.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mögliche quantitative Hinweise</w:t>
            </w:r>
          </w:p>
        </w:tc>
        <w:tc>
          <w:tcPr>
            <w:tcW w:type="dxa" w:w="2340"/>
            <w:vAlign w:val="center"/>
          </w:tcPr>
          <w:p>
            <w:r>
              <w:rPr>
                <w:b/>
              </w:rPr>
              <w:t>qualitative Evidenz</w:t>
            </w:r>
          </w:p>
        </w:tc>
        <w:tc>
          <w:tcPr>
            <w:tcW w:type="dxa" w:w="2340"/>
            <w:vAlign w:val="center"/>
          </w:tcPr>
          <w:p>
            <w:r>
              <w:rPr>
                <w:b/>
              </w:rPr>
              <w:t>Vorsicht</w:t>
            </w:r>
          </w:p>
        </w:tc>
      </w:tr>
      <w:tr>
        <w:tc>
          <w:tcPr>
            <w:tcW w:type="dxa" w:w="2340"/>
            <w:vAlign w:val="center"/>
          </w:tcPr>
          <w:p>
            <w:r>
              <w:t>Vertrauen</w:t>
            </w:r>
          </w:p>
        </w:tc>
        <w:tc>
          <w:tcPr>
            <w:tcW w:type="dxa" w:w="2340"/>
            <w:vAlign w:val="center"/>
          </w:tcPr>
          <w:p>
            <w:r>
              <w:t>Wiederholungsnutzung, Beschwerdequote, Korrekturannahme</w:t>
            </w:r>
          </w:p>
        </w:tc>
        <w:tc>
          <w:tcPr>
            <w:tcW w:type="dxa" w:w="2340"/>
            <w:vAlign w:val="center"/>
          </w:tcPr>
          <w:p>
            <w:r>
              <w:t>Interviews, Fokusgruppen, Vertrauensbegründungen</w:t>
            </w:r>
          </w:p>
        </w:tc>
        <w:tc>
          <w:tcPr>
            <w:tcW w:type="dxa" w:w="2340"/>
            <w:vAlign w:val="center"/>
          </w:tcPr>
          <w:p>
            <w:r>
              <w:t>Zustimmung ist nicht Vertrauen</w:t>
            </w:r>
          </w:p>
        </w:tc>
      </w:tr>
      <w:tr>
        <w:tc>
          <w:tcPr>
            <w:tcW w:type="dxa" w:w="2340"/>
            <w:vAlign w:val="center"/>
          </w:tcPr>
          <w:p>
            <w:r>
              <w:t>Relevanz</w:t>
            </w:r>
          </w:p>
        </w:tc>
        <w:tc>
          <w:tcPr>
            <w:tcW w:type="dxa" w:w="2340"/>
            <w:vAlign w:val="center"/>
          </w:tcPr>
          <w:p>
            <w:r>
              <w:t>Beteiligungsrate betroffener Gruppen, Nutzung in Risikosituationen</w:t>
            </w:r>
          </w:p>
        </w:tc>
        <w:tc>
          <w:tcPr>
            <w:tcW w:type="dxa" w:w="2340"/>
            <w:vAlign w:val="center"/>
          </w:tcPr>
          <w:p>
            <w:r>
              <w:t>Erzählungen über Betroffenheit</w:t>
            </w:r>
          </w:p>
        </w:tc>
        <w:tc>
          <w:tcPr>
            <w:tcW w:type="dxa" w:w="2340"/>
            <w:vAlign w:val="center"/>
          </w:tcPr>
          <w:p>
            <w:r>
              <w:t>Aufregung ist nicht Relevanz</w:t>
            </w:r>
          </w:p>
        </w:tc>
      </w:tr>
      <w:tr>
        <w:tc>
          <w:tcPr>
            <w:tcW w:type="dxa" w:w="2340"/>
            <w:vAlign w:val="center"/>
          </w:tcPr>
          <w:p>
            <w:r>
              <w:t>Verständlichkeit</w:t>
            </w:r>
          </w:p>
        </w:tc>
        <w:tc>
          <w:tcPr>
            <w:tcW w:type="dxa" w:w="2340"/>
            <w:vAlign w:val="center"/>
          </w:tcPr>
          <w:p>
            <w:r>
              <w:t>Fehlerquote in Anwendung, Quiz-/Testantworten</w:t>
            </w:r>
          </w:p>
        </w:tc>
        <w:tc>
          <w:tcPr>
            <w:tcW w:type="dxa" w:w="2340"/>
            <w:vAlign w:val="center"/>
          </w:tcPr>
          <w:p>
            <w:r>
              <w:t>Nachfragen, Missverständnisse, Begriffsverwechslungen</w:t>
            </w:r>
          </w:p>
        </w:tc>
        <w:tc>
          <w:tcPr>
            <w:tcW w:type="dxa" w:w="2340"/>
            <w:vAlign w:val="center"/>
          </w:tcPr>
          <w:p>
            <w:r>
              <w:t>einfache Sprache kann unpräzise werden</w:t>
            </w:r>
          </w:p>
        </w:tc>
      </w:tr>
      <w:tr>
        <w:tc>
          <w:tcPr>
            <w:tcW w:type="dxa" w:w="2340"/>
            <w:vAlign w:val="center"/>
          </w:tcPr>
          <w:p>
            <w:r>
              <w:t>Anschlussfähigkeit</w:t>
            </w:r>
          </w:p>
        </w:tc>
        <w:tc>
          <w:tcPr>
            <w:tcW w:type="dxa" w:w="2340"/>
            <w:vAlign w:val="center"/>
          </w:tcPr>
          <w:p>
            <w:r>
              <w:t>Übernahme in Prozesse, Budgets, Richtlinien</w:t>
            </w:r>
          </w:p>
        </w:tc>
        <w:tc>
          <w:tcPr>
            <w:tcW w:type="dxa" w:w="2340"/>
            <w:vAlign w:val="center"/>
          </w:tcPr>
          <w:p>
            <w:r>
              <w:t>Rollenklärung, praktische Hürden</w:t>
            </w:r>
          </w:p>
        </w:tc>
        <w:tc>
          <w:tcPr>
            <w:tcW w:type="dxa" w:w="2340"/>
            <w:vAlign w:val="center"/>
          </w:tcPr>
          <w:p>
            <w:r>
              <w:t>formale Übernahme ist noch keine Wirkung</w:t>
            </w:r>
          </w:p>
        </w:tc>
      </w:tr>
      <w:tr>
        <w:tc>
          <w:tcPr>
            <w:tcW w:type="dxa" w:w="2340"/>
            <w:vAlign w:val="center"/>
          </w:tcPr>
          <w:p>
            <w:r>
              <w:t>Trägerstruktur</w:t>
            </w:r>
          </w:p>
        </w:tc>
        <w:tc>
          <w:tcPr>
            <w:tcW w:type="dxa" w:w="2340"/>
            <w:vAlign w:val="center"/>
          </w:tcPr>
          <w:p>
            <w:r>
              <w:t>Zuständigkeiten, Ressourcen, Wiederholung, Audit</w:t>
            </w:r>
          </w:p>
        </w:tc>
        <w:tc>
          <w:tcPr>
            <w:tcW w:type="dxa" w:w="2340"/>
            <w:vAlign w:val="center"/>
          </w:tcPr>
          <w:p>
            <w:r>
              <w:t>institutionelle Lernfähigkeit</w:t>
            </w:r>
          </w:p>
        </w:tc>
        <w:tc>
          <w:tcPr>
            <w:tcW w:type="dxa" w:w="2340"/>
            <w:vAlign w:val="center"/>
          </w:tcPr>
          <w:p>
            <w:r>
              <w:t>Struktur kann falsche Ziele stabilisieren</w:t>
            </w:r>
          </w:p>
        </w:tc>
      </w:tr>
    </w:tbl>
    <w:p/>
    <w:p>
      <w:r>
        <w:t>Die Datenqualität muss offen markiert werden. Bei Resonanz ist oft eine Kombination aus quantitativen und qualitativen Daten angemessen. Interviews, Beobachtungen, Fallstudien und Prozessdaten sind nicht minderwertig, wenn sie sauber erhoben und begrenzt interpretiert werden. Umgekehrt sind Zahlen nicht automatisch besser, wenn sie nur Reichweite, Klicks oder Teilnahme zählen.</w:t>
      </w:r>
    </w:p>
    <w:p>
      <w:r>
        <w:t>Eine gute Resonanzanalyse sagt deshalb nicht: „Der Score beträgt 83, also wirkt es." Sie sagt: „Es gibt starke Hinweise auf Vertrauen und Verständlichkeit, aber eine schwache Trägerstruktur. Deshalb besteht Wirkungspotenzial, aber die tatsächliche Wirkung hängt von Zuständigkeiten und Rückkopplung ab." Genau diese Art von begrenzter, ehrlicher Aussage ist wissenschaftlich anschlussfähiger als Scheingenauigkeit.</w:t>
      </w:r>
    </w:p>
    <w:p>
      <w:pPr>
        <w:pStyle w:val="Heading2"/>
      </w:pPr>
      <w:r>
        <w:t>15. Rote Linien: Resonanz ohne Manipulation</w:t>
      </w:r>
    </w:p>
    <w:p>
      <w:r>
        <w:t>Weil Resonanz mit Wahrnehmung, Vertrauen und Anschlussfähigkeit arbeitet, ist der Missbrauch naheliegend. Wer Resonanz erzeugen kann, kann Menschen auch überfordern, emotionalisieren, ablenken oder steuern. Deshalb braucht die WÖk klare rote Linien.</w:t>
      </w:r>
    </w:p>
    <w:p>
      <w:r>
        <w:t>Erstens: Keine Personenbewertung. Die WÖk bewertet Wirkpfade, Produkte, Strukturen, Entscheidungen und Zustandsveränderungen. Sie bewertet nicht den moralischen Wert einzelner Menschen. Resonanzanalyse darf nicht dazu dienen, Bürgerinnen, Mitarbeitende, Kundinnen oder Gruppen nach „guter" oder „schlechter" Wirkung zu sortieren.</w:t>
      </w:r>
    </w:p>
    <w:p>
      <w:r>
        <w:t>Zweitens: Keine manipulative Überwältigung. Verständlichkeit ist nicht gleich emotionale Steuerung. Es ist legitim, Risiken klar zu benennen. Es ist nicht legitim, Angst so einzusetzen, dass Prüfung unmöglich wird.</w:t>
      </w:r>
    </w:p>
    <w:p>
      <w:r>
        <w:t>Drittens: Keine Sprachpolizei. Die WÖk verlangt präzise Begriffe, aber sie kontrolliert nicht legitime Meinungen. Menschen dürfen unterschiedliche politische Schlüsse ziehen. Der gemeinsame Maßstab liegt in der Prüfbarkeit von Wirkungsbehauptungen.</w:t>
      </w:r>
    </w:p>
    <w:p>
      <w:r>
        <w:t>Viertens: Keine Verwechslung von Resonanz und Wahrheit. Eine Aussage wird nicht wahr, weil sie resoniert. Und eine wahre Aussage wird nicht wirksam, nur weil sie wahr ist. Demokratische Öffentlichkeit braucht beides: Wahrheitsorientierung und Resonanzbedingungen, die Prüfung ermöglichen.</w:t>
      </w:r>
    </w:p>
    <w:p>
      <w:r>
        <w:t>Fünftens: Keine Ausblendung von Nebenwirkungen. Eine Resonanzstrategie kann kurzfristig Aufmerksamkeit gewinnen und langfristig Vertrauen zerstören. In der WÖk zählt die Netto-Wirkung, nicht der kommunikative Kurzzeiterfolg.</w:t>
      </w:r>
    </w:p>
    <w:p>
      <w:pPr>
        <w:pStyle w:val="Heading2"/>
      </w:pPr>
      <w:r>
        <w:t>16. Zwischenfazit: Was diese Vorlesung in die WÖk einführt</w:t>
      </w:r>
    </w:p>
    <w:p>
      <w:r>
        <w:t>Diese Vorlesung ergänzt die bisherige Wirkungslogik um eine soziale Bedingungsschicht. Wirkung entsteht nicht allein aus Auslöser, Mechanismus und Empfänger. Sie braucht oft Resonanzräume, in denen der Impuls aufgenommen, verstanden, geprüft und getragen wird. Daraus ergeben sich vier zentrale Einsichten:</w:t>
      </w:r>
    </w:p>
    <w:p>
      <w:r>
        <w:t>1. Potenzial ist noch keine Wirkung. Resonanz kann der Übergang sein, aber sie ersetzt den Wirkungsnachweis nicht.</w:t>
      </w:r>
    </w:p>
    <w:p>
      <w:r>
        <w:t>2. Reichweite ist noch keine Resonanz. Viele Kontakte können oberflächlich bleiben.</w:t>
      </w:r>
    </w:p>
    <w:p>
      <w:r>
        <w:t>3. Resonanz ist nicht automatisch positiv. Auch schädliche Impulse können Resonanz erzeugen.</w:t>
      </w:r>
    </w:p>
    <w:p>
      <w:r>
        <w:t>4. Trägerstrukturen entscheiden über Dauer. Wirkung muss in Routinen, Rollen, Daten, Budgets und Verfahren</w:t>
      </w:r>
    </w:p>
    <w:p>
      <w:r>
        <w:t>rückgekoppelt werden.</w:t>
      </w:r>
    </w:p>
    <w:p>
      <w:r>
        <w:t>Für spätere Vorlesungen ist das grundlegend. V21 wird Produkte, Technologien und Institutionen als Auslöser betrachten. V22 bis V24 vertiefen Wirkungssprache, Unsicherheit und demokratiestärkende Kommunikation. Ohne die Resonanzlogik dieser Vorlesung würden diese Themen leicht missverstanden: Es geht nicht um bessere Werbung für die WÖk. Es geht um die Bedingungen, unter denen Wirkungspotenzial verantwortbar in tatsächliche Zustandsveränderung übersetzt werden kann.</w:t>
      </w:r>
    </w:p>
    <w:p>
      <w:pPr>
        <w:pStyle w:val="Heading2"/>
      </w:pPr>
      <w:r>
        <w:t>17.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18.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19. Quellen</w:t>
      </w:r>
    </w:p>
    <w:p>
      <w:pPr>
        <w:pStyle w:val="Heading3"/>
      </w:pPr>
      <w:r>
        <w:t>Interne Quellen</w:t>
      </w:r>
    </w:p>
    <w:p>
      <w:pPr>
        <w:pStyle w:val="ListBullet"/>
      </w:pPr>
      <w:r>
        <w:t>docs/lehrgaenge/woek-g-v20-gesellschaftliche-resonanzfaktoren.md — Quell-Dokument für diese Vorlesung.</w:t>
      </w:r>
    </w:p>
    <w:p>
      <w:pPr>
        <w:pStyle w:val="ListBullet"/>
      </w:pPr>
      <w:r>
        <w:t>docs/CODEX-HANDOFF-studienskripte.md — Format- und Produktionsvorgabe für ausführliche Studienskripte.</w:t>
      </w:r>
    </w:p>
    <w:p>
      <w:pPr>
        <w:pStyle w:val="ListBullet"/>
      </w:pPr>
      <w:r>
        <w:t>docs/unternehmenslehrgaenge-konzept.md — didaktischer Rahmen der WÖk-Akademie.</w:t>
      </w:r>
    </w:p>
    <w:p>
      <w:pPr>
        <w:pStyle w:val="ListBullet"/>
      </w:pPr>
      <w:r>
        <w:t>docs/lehrgaenge/sprechertexte/woek-g-v19.md — Anschluss an Wirkstoff, Wirkmechanismus und Wirkungspotenzial.</w:t>
      </w:r>
    </w:p>
    <w:p>
      <w:pPr>
        <w:pStyle w:val="ListBullet"/>
      </w:pPr>
      <w:r>
        <w:t>Website-Root ../buch.html und ../assets/pdf/die-neue-ordnung-des-wohlstands.pdf — aktuelles Grundlagenwerk der Wirkungsökonomie.</w:t>
      </w:r>
    </w:p>
    <w:p>
      <w:pPr>
        <w:pStyle w:val="ListBullet"/>
      </w:pPr>
      <w:r>
        <w:t>Website-Root ../feeds/journal.xml, ../blog/wirkstoff-narrative-rechte-frames-wirkungspotenzial.html, ../blog/wirkungspotenzial-warum-fakten-allein-nicht-wirken.html, ../blog/von-der-wissensgesellschaft-zur-wirkungsgesellschaft.html — Journalbeispiele zu Narrativen, Resonanz, Faktenwirkung und Rückkopplung.</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UN General Assembly Resolution A/RES/70/1.</w:t>
      </w:r>
    </w:p>
    <w:p>
      <w:pPr>
        <w:pStyle w:val="Heading2"/>
      </w:pPr>
      <w:r>
        <w:t>20.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21.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V20 Gesellschaftliche Resonanzfaktoren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Gesellschaftliche Resonanzfaktoren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Gesellschaftliche Resonanzfaktoren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Gesellschaftliche Resonanzfaktoren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Gesellschaftliche Resonanzfaktoren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Gesellschaftliche Resonanzfaktoren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Gesellschaftliche Resonanzfaktoren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Gesellschaftliche Resonanzfaktoren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Gesellschaftliche Resonanzfaktoren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Gesellschaftliche Resonanzfaktoren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Gesellschaftliche Resonanzfaktoren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Gesellschaftliche Resonanzfaktoren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Gesellschaftliche Resonanzfaktoren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Gesellschaftliche Resonanzfaktoren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r>
        <w:t>Diese Finalisierung schliesst die Codex-Inhaltsproduktion fuer V20.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Gesellschaftliche Resonanzfaktoren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pPr>
        <w:pStyle w:val="IntenseQuote"/>
      </w:pPr>
      <w:r>
        <w:t>Formel: 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Gesellschaftliche Resonanzfaktoren überzeugend kommunizieren und trotzdem nur Wirkungspotenzial erzeugen. Die WÖk-Prüfung beginnt erst, wenn klar wird, welcher Zustand sich bei wem verändert.</w:t>
      </w:r>
    </w:p>
    <w:p>
      <w:r>
        <w:t>Fall 2. Eine Organisation kann im Themenfeld Gesellschaftliche Resonanzfaktoren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102 - Die SDGs zwischen globaler Kooperation und Verschwörungsnarrativ</w:t>
      </w:r>
    </w:p>
    <w:p>
      <w:r>
        <w:t>Interne Quelle: referenz/kapitel-102-die-sdgs-zwischen-globaler-kooperation-und-verschwoerungsnarrativ/index.html</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7.9 Konsequenzen für die WÖk-Architektur</w:t>
      </w:r>
    </w:p>
    <w:p>
      <w:r>
        <w:t>Aus dieser Vorlesung fließen drei Punkte zurück in den WÖk-Korpus:</w:t>
      </w:r>
    </w:p>
    <w:p>
      <w:pPr>
        <w:pStyle w:val="ListBullet"/>
      </w:pPr>
      <w:r>
        <w:t>Glossar und Reader sollten Gesellschaftliche Resonanzfaktoren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Gesellschaftliche Resonanzfaktoren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