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2E7D5C"/>
          <w:sz w:val="20"/>
        </w:rPr>
        <w:t>Wirkungsökonomie · Natalie Weber</w:t>
      </w:r>
    </w:p>
    <w:p>
      <w:pPr>
        <w:spacing w:before="800"/>
      </w:pPr>
      <w:r>
        <w:rPr>
          <w:rFonts w:ascii="Arial" w:hAnsi="Arial"/>
          <w:b/>
          <w:color w:val="2E7D5C"/>
          <w:sz w:val="26"/>
        </w:rPr>
        <w:t>STANDARD</w:t>
      </w:r>
    </w:p>
    <w:p>
      <w:r>
        <w:rPr>
          <w:rFonts w:ascii="Georgia" w:hAnsi="Georgia"/>
          <w:b/>
          <w:color w:val="080E20"/>
          <w:sz w:val="60"/>
        </w:rPr>
        <w:t>Umfangreiche Detailkonzepte und Dossiers</w:t>
      </w:r>
    </w:p>
    <w:p>
      <w:r>
        <w:rPr>
          <w:color w:val="2F343C"/>
          <w:sz w:val="28"/>
        </w:rPr>
        <w:t>Verbindlicher Korrekturstandard für alle Wirkungsfelder, Werkzeuge, Unterbereiche und Online-Volltexte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F2EFE8"/>
          </w:tcPr>
          <w:p>
            <w:pPr>
              <w:spacing w:after="0"/>
            </w:pPr>
            <w:r/>
            <w:r>
              <w:rPr>
                <w:b/>
                <w:color w:val="080E20"/>
                <w:sz w:val="16"/>
              </w:rPr>
              <w:t>Autorin</w:t>
            </w:r>
          </w:p>
        </w:tc>
        <w:tc>
          <w:tcPr>
            <w:tcW w:type="dxa" w:w="5040"/>
            <w:vAlign w:val="center"/>
          </w:tcPr>
          <w:p>
            <w:pPr>
              <w:spacing w:after="0"/>
            </w:pPr>
            <w:r/>
            <w:r>
              <w:rPr>
                <w:b w:val="0"/>
                <w:color w:val="2F343C"/>
                <w:sz w:val="16"/>
              </w:rPr>
              <w:t>Natalie Weber</w:t>
            </w:r>
          </w:p>
        </w:tc>
      </w:tr>
      <w:tr>
        <w:tc>
          <w:tcPr>
            <w:tcW w:type="dxa" w:w="5040"/>
            <w:vAlign w:val="center"/>
            <w:shd w:fill="F2EFE8"/>
          </w:tcPr>
          <w:p>
            <w:pPr>
              <w:spacing w:after="0"/>
            </w:pPr>
            <w:r/>
            <w:r>
              <w:rPr>
                <w:b/>
                <w:color w:val="080E20"/>
                <w:sz w:val="16"/>
              </w:rPr>
              <w:t>Referenz</w:t>
            </w:r>
          </w:p>
        </w:tc>
        <w:tc>
          <w:tcPr>
            <w:tcW w:type="dxa" w:w="5040"/>
            <w:vAlign w:val="center"/>
          </w:tcPr>
          <w:p>
            <w:pPr>
              <w:spacing w:after="0"/>
            </w:pPr>
            <w:r/>
            <w:r>
              <w:rPr>
                <w:b w:val="0"/>
                <w:color w:val="2F343C"/>
                <w:sz w:val="16"/>
              </w:rPr>
              <w:t>Wirkungsökonomie</w:t>
            </w:r>
          </w:p>
        </w:tc>
      </w:tr>
      <w:tr>
        <w:tc>
          <w:tcPr>
            <w:tcW w:type="dxa" w:w="5040"/>
            <w:vAlign w:val="center"/>
            <w:shd w:fill="F2EFE8"/>
          </w:tcPr>
          <w:p>
            <w:pPr>
              <w:spacing w:after="0"/>
            </w:pPr>
            <w:r/>
            <w:r>
              <w:rPr>
                <w:b/>
                <w:color w:val="080E20"/>
                <w:sz w:val="16"/>
              </w:rPr>
              <w:t>Version</w:t>
            </w:r>
          </w:p>
        </w:tc>
        <w:tc>
          <w:tcPr>
            <w:tcW w:type="dxa" w:w="5040"/>
            <w:vAlign w:val="center"/>
          </w:tcPr>
          <w:p>
            <w:pPr>
              <w:spacing w:after="0"/>
            </w:pPr>
            <w:r/>
            <w:r>
              <w:rPr>
                <w:b w:val="0"/>
                <w:color w:val="2F343C"/>
                <w:sz w:val="16"/>
              </w:rPr>
              <w:t>v1.0</w:t>
            </w:r>
          </w:p>
        </w:tc>
      </w:tr>
      <w:tr>
        <w:tc>
          <w:tcPr>
            <w:tcW w:type="dxa" w:w="5040"/>
            <w:vAlign w:val="center"/>
            <w:shd w:fill="F2EFE8"/>
          </w:tcPr>
          <w:p>
            <w:pPr>
              <w:spacing w:after="0"/>
            </w:pPr>
            <w:r/>
            <w:r>
              <w:rPr>
                <w:b/>
                <w:color w:val="080E20"/>
                <w:sz w:val="16"/>
              </w:rPr>
              <w:t>Status</w:t>
            </w:r>
          </w:p>
        </w:tc>
        <w:tc>
          <w:tcPr>
            <w:tcW w:type="dxa" w:w="5040"/>
            <w:vAlign w:val="center"/>
          </w:tcPr>
          <w:p>
            <w:pPr>
              <w:spacing w:after="0"/>
            </w:pPr>
            <w:r/>
            <w:r>
              <w:rPr>
                <w:b w:val="0"/>
                <w:color w:val="2F343C"/>
                <w:sz w:val="16"/>
              </w:rPr>
              <w:t>verbindlicher Sanierungsstandard</w:t>
            </w:r>
          </w:p>
        </w:tc>
      </w:tr>
      <w:tr>
        <w:tc>
          <w:tcPr>
            <w:tcW w:type="dxa" w:w="5040"/>
            <w:vAlign w:val="center"/>
            <w:shd w:fill="F2EFE8"/>
          </w:tcPr>
          <w:p>
            <w:pPr>
              <w:spacing w:after="0"/>
            </w:pPr>
            <w:r/>
            <w:r>
              <w:rPr>
                <w:b/>
                <w:color w:val="080E20"/>
                <w:sz w:val="16"/>
              </w:rPr>
              <w:t>Stand</w:t>
            </w:r>
          </w:p>
        </w:tc>
        <w:tc>
          <w:tcPr>
            <w:tcW w:type="dxa" w:w="5040"/>
            <w:vAlign w:val="center"/>
          </w:tcPr>
          <w:p>
            <w:pPr>
              <w:spacing w:after="0"/>
            </w:pPr>
            <w:r/>
            <w:r>
              <w:rPr>
                <w:b w:val="0"/>
                <w:color w:val="2F343C"/>
                <w:sz w:val="16"/>
              </w:rPr>
              <w:t>24. Mai 2026</w:t>
            </w:r>
          </w:p>
        </w:tc>
      </w:tr>
      <w:tr>
        <w:tc>
          <w:tcPr>
            <w:tcW w:type="dxa" w:w="5040"/>
            <w:vAlign w:val="center"/>
            <w:shd w:fill="F2EFE8"/>
          </w:tcPr>
          <w:p>
            <w:pPr>
              <w:spacing w:after="0"/>
            </w:pPr>
            <w:r/>
            <w:r>
              <w:rPr>
                <w:b/>
                <w:color w:val="080E20"/>
                <w:sz w:val="16"/>
              </w:rPr>
              <w:t>Geltung</w:t>
            </w:r>
          </w:p>
        </w:tc>
        <w:tc>
          <w:tcPr>
            <w:tcW w:type="dxa" w:w="5040"/>
            <w:vAlign w:val="center"/>
          </w:tcPr>
          <w:p>
            <w:pPr>
              <w:spacing w:after="0"/>
            </w:pPr>
            <w:r/>
            <w:r>
              <w:rPr>
                <w:b w:val="0"/>
                <w:color w:val="2F343C"/>
                <w:sz w:val="16"/>
              </w:rPr>
              <w:t>Rang 0 bis Rang 13 sowie alle künftigen Ränge</w:t>
            </w:r>
          </w:p>
        </w:tc>
      </w:tr>
    </w:tbl>
    <w:p>
      <w:pPr>
        <w:spacing w:before="360"/>
      </w:pPr>
      <w:r>
        <w:rPr>
          <w:i/>
          <w:color w:val="080E20"/>
          <w:sz w:val="26"/>
        </w:rPr>
        <w:t>„Ein Dokument heißt nur dann Detailkonzept oder Dossier, wenn es wirklich die fachliche Tiefe eines Detailkonzepts oder Dossiers hat.“</w:t>
      </w:r>
    </w:p>
    <w:p>
      <w:r>
        <w:br w:type="page"/>
      </w:r>
    </w:p>
    <w:p>
      <w:pPr>
        <w:pStyle w:val="Heading1"/>
      </w:pPr>
      <w:r>
        <w:rPr>
          <w:rFonts w:ascii="Georgia" w:hAnsi="Georgia"/>
          <w:color w:val="080E20"/>
          <w:sz w:val="40"/>
        </w:rPr>
        <w:t>1. Korrekturentscheidung</w:t>
      </w:r>
    </w:p>
    <w:p>
      <w:pPr>
        <w:spacing w:after="120" w:line="269" w:lineRule="auto"/>
      </w:pPr>
      <w:r>
        <w:rPr>
          <w:color w:val="2F343C"/>
          <w:sz w:val="20"/>
        </w:rPr>
        <w:t>Die bisher erzeugten kurzen Detailkonzepte und Einzeldossiers vieler Ränge erfüllen nicht den vereinbarten Standard. Sie dürfen nicht als Detailkonzept oder Dossier gelten, wenn sie nur zwei Seiten oder kurze Stichpunkte enthalten.</w:t>
      </w:r>
    </w:p>
    <w:p>
      <w:pPr>
        <w:spacing w:after="120" w:line="269" w:lineRule="auto"/>
      </w:pPr>
      <w:r>
        <w:rPr>
          <w:color w:val="2F343C"/>
          <w:sz w:val="20"/>
        </w:rPr>
        <w:t>Verbindliche Referenz ist das bereits erstellte Detailkonzept „Investor:innen und Vermieter:innen im wirkungsökonomischen Wohnungsmarkt“. Dieses Dokument zeigt die erwartete Richtung: ausführliche Ausgangsdiagnose, Akteursgruppen, Tabellen, rechtliche Anschlussstellen, Anreizlogik, Spekulationsschutz, politische Anschlussfähigkeit, Website-Integration und Fazit.</w:t>
      </w:r>
    </w:p>
    <w:p>
      <w:pPr>
        <w:spacing w:after="120" w:line="269" w:lineRule="auto"/>
      </w:pPr>
      <w:r>
        <w:rPr>
          <w:color w:val="2F343C"/>
          <w:sz w:val="20"/>
        </w:rPr>
        <w:t>Die Konsequenz: Alle bisherigen Kurzfassungen werden rückwirkend saniert. Sie werden entweder zu umfangreichen Detailkonzepten und Dossiers ausgebaut oder klar als Kurzüberblick, Intro oder Entwurf gekennzeichnet.</w:t>
      </w:r>
    </w:p>
    <w:p>
      <w:pPr>
        <w:pStyle w:val="Heading1"/>
      </w:pPr>
      <w:r>
        <w:rPr>
          <w:rFonts w:ascii="Georgia" w:hAnsi="Georgia"/>
          <w:color w:val="080E20"/>
          <w:sz w:val="40"/>
        </w:rPr>
        <w:t>2. Unterschied zwischen Portaltext, Detailkonzept und Dossier</w:t>
      </w:r>
    </w:p>
    <w:tbl>
      <w:tblPr>
        <w:tblStyle w:val="TableGrid"/>
        <w:tblW w:type="auto" w:w="0"/>
        <w:tblLook w:firstColumn="1" w:firstRow="1" w:lastColumn="0" w:lastRow="0" w:noHBand="0" w:noVBand="1" w:val="04A0"/>
      </w:tblPr>
      <w:tblGrid>
        <w:gridCol w:w="5040"/>
        <w:gridCol w:w="5040"/>
      </w:tblGrid>
      <w:tr>
        <w:tc>
          <w:tcPr>
            <w:tcW w:type="dxa" w:w="5040"/>
            <w:shd w:fill="080E20"/>
            <w:vAlign w:val="center"/>
          </w:tcPr>
          <w:p>
            <w:pPr>
              <w:spacing w:after="0"/>
            </w:pPr>
            <w:r/>
            <w:r>
              <w:rPr>
                <w:b/>
                <w:color w:val="FFFFFF"/>
                <w:sz w:val="18"/>
              </w:rPr>
              <w:t>Ebene</w:t>
            </w:r>
          </w:p>
        </w:tc>
        <w:tc>
          <w:tcPr>
            <w:tcW w:type="dxa" w:w="5040"/>
            <w:shd w:fill="080E20"/>
            <w:vAlign w:val="center"/>
          </w:tcPr>
          <w:p>
            <w:pPr>
              <w:spacing w:after="0"/>
            </w:pPr>
            <w:r/>
            <w:r>
              <w:rPr>
                <w:b/>
                <w:color w:val="FFFFFF"/>
                <w:sz w:val="18"/>
              </w:rPr>
              <w:t>Funktion</w:t>
            </w:r>
          </w:p>
        </w:tc>
      </w:tr>
      <w:tr>
        <w:tc>
          <w:tcPr>
            <w:tcW w:type="dxa" w:w="5040"/>
            <w:vAlign w:val="center"/>
          </w:tcPr>
          <w:p>
            <w:pPr>
              <w:spacing w:after="0"/>
            </w:pPr>
            <w:r/>
            <w:r>
              <w:rPr>
                <w:b/>
                <w:color w:val="080E20"/>
                <w:sz w:val="18"/>
              </w:rPr>
              <w:t>Portaltext</w:t>
            </w:r>
          </w:p>
        </w:tc>
        <w:tc>
          <w:tcPr>
            <w:tcW w:type="dxa" w:w="5040"/>
            <w:vAlign w:val="center"/>
          </w:tcPr>
          <w:p>
            <w:pPr>
              <w:spacing w:after="0"/>
            </w:pPr>
            <w:r/>
            <w:r>
              <w:rPr>
                <w:b w:val="0"/>
                <w:color w:val="2F343C"/>
                <w:sz w:val="18"/>
              </w:rPr>
              <w:t>öffentlicher Einstieg, Orientierung, Karten, Verlinkung, Übersicht; nicht die fachliche Vollausarbeitung</w:t>
            </w:r>
          </w:p>
        </w:tc>
      </w:tr>
      <w:tr>
        <w:tc>
          <w:tcPr>
            <w:tcW w:type="dxa" w:w="5040"/>
            <w:vAlign w:val="center"/>
          </w:tcPr>
          <w:p>
            <w:pPr>
              <w:spacing w:after="0"/>
            </w:pPr>
            <w:r/>
            <w:r>
              <w:rPr>
                <w:b/>
                <w:color w:val="080E20"/>
                <w:sz w:val="18"/>
              </w:rPr>
              <w:t>Detailkonzept</w:t>
            </w:r>
          </w:p>
        </w:tc>
        <w:tc>
          <w:tcPr>
            <w:tcW w:type="dxa" w:w="5040"/>
            <w:vAlign w:val="center"/>
          </w:tcPr>
          <w:p>
            <w:pPr>
              <w:spacing w:after="0"/>
            </w:pPr>
            <w:r/>
            <w:r>
              <w:rPr>
                <w:b w:val="0"/>
                <w:color w:val="2F343C"/>
                <w:sz w:val="18"/>
              </w:rPr>
              <w:t>systematische fachliche Ausarbeitung eines Unterbereichs mit Theorie, Definitionen, Akteurslogik, Daten, Bewertung, Recht, Politik und Website-Integration</w:t>
            </w:r>
          </w:p>
        </w:tc>
      </w:tr>
      <w:tr>
        <w:tc>
          <w:tcPr>
            <w:tcW w:type="dxa" w:w="5040"/>
            <w:vAlign w:val="center"/>
          </w:tcPr>
          <w:p>
            <w:pPr>
              <w:spacing w:after="0"/>
            </w:pPr>
            <w:r/>
            <w:r>
              <w:rPr>
                <w:b/>
                <w:color w:val="080E20"/>
                <w:sz w:val="18"/>
              </w:rPr>
              <w:t>Dossier</w:t>
            </w:r>
          </w:p>
        </w:tc>
        <w:tc>
          <w:tcPr>
            <w:tcW w:type="dxa" w:w="5040"/>
            <w:vAlign w:val="center"/>
          </w:tcPr>
          <w:p>
            <w:pPr>
              <w:spacing w:after="0"/>
            </w:pPr>
            <w:r/>
            <w:r>
              <w:rPr>
                <w:b w:val="0"/>
                <w:color w:val="2F343C"/>
                <w:sz w:val="18"/>
              </w:rPr>
              <w:t>praxisnahe Anwendung mit Beispielen, Datenquellen, Berechnungslogik, Umsetzungspfaden, Einwänden und Toolbezug</w:t>
            </w:r>
          </w:p>
        </w:tc>
      </w:tr>
      <w:tr>
        <w:tc>
          <w:tcPr>
            <w:tcW w:type="dxa" w:w="5040"/>
            <w:vAlign w:val="center"/>
          </w:tcPr>
          <w:p>
            <w:pPr>
              <w:spacing w:after="0"/>
            </w:pPr>
            <w:r/>
            <w:r>
              <w:rPr>
                <w:b/>
                <w:color w:val="080E20"/>
                <w:sz w:val="18"/>
              </w:rPr>
              <w:t>Online-Volltext</w:t>
            </w:r>
          </w:p>
        </w:tc>
        <w:tc>
          <w:tcPr>
            <w:tcW w:type="dxa" w:w="5040"/>
            <w:vAlign w:val="center"/>
          </w:tcPr>
          <w:p>
            <w:pPr>
              <w:spacing w:after="0"/>
            </w:pPr>
            <w:r/>
            <w:r>
              <w:rPr>
                <w:b w:val="0"/>
                <w:color w:val="2F343C"/>
                <w:sz w:val="18"/>
              </w:rPr>
              <w:t>vollständige lesbare HTML-/MDX-Version des Detailkonzepts oder Dossiers; Hauptzugang der Website</w:t>
            </w:r>
          </w:p>
        </w:tc>
      </w:tr>
      <w:tr>
        <w:tc>
          <w:tcPr>
            <w:tcW w:type="dxa" w:w="5040"/>
            <w:vAlign w:val="center"/>
          </w:tcPr>
          <w:p>
            <w:pPr>
              <w:spacing w:after="0"/>
            </w:pPr>
            <w:r/>
            <w:r>
              <w:rPr>
                <w:b/>
                <w:color w:val="080E20"/>
                <w:sz w:val="18"/>
              </w:rPr>
              <w:t>Download</w:t>
            </w:r>
          </w:p>
        </w:tc>
        <w:tc>
          <w:tcPr>
            <w:tcW w:type="dxa" w:w="5040"/>
            <w:vAlign w:val="center"/>
          </w:tcPr>
          <w:p>
            <w:pPr>
              <w:spacing w:after="0"/>
            </w:pPr>
            <w:r/>
            <w:r>
              <w:rPr>
                <w:b w:val="0"/>
                <w:color w:val="2F343C"/>
                <w:sz w:val="18"/>
              </w:rPr>
              <w:t>DOCX/PDF als Archiv- und Exportfassung; Ergänzung, nicht Ersatz des Online-Volltexts</w:t>
            </w:r>
          </w:p>
        </w:tc>
      </w:tr>
    </w:tbl>
    <w:p>
      <w:pPr>
        <w:pStyle w:val="Heading1"/>
      </w:pPr>
      <w:r>
        <w:rPr>
          <w:rFonts w:ascii="Georgia" w:hAnsi="Georgia"/>
          <w:color w:val="080E20"/>
          <w:sz w:val="40"/>
        </w:rPr>
        <w:t>3. Mindeststruktur eines Detailkonzepts</w:t>
      </w:r>
    </w:p>
    <w:p>
      <w:pPr>
        <w:spacing w:after="120" w:line="269" w:lineRule="auto"/>
      </w:pPr>
      <w:r>
        <w:rPr>
          <w:color w:val="2F343C"/>
          <w:sz w:val="20"/>
        </w:rPr>
        <w:t>Ein Detailkonzept muss die fachliche Tiefe eines eigenständigen öffentlichen Arbeitspapiers haben. Es ist nicht nur eine Zusammenfassung, sondern die systematische Ausarbeitung des jeweiligen Unterbereichs.</w:t>
      </w:r>
    </w:p>
    <w:p>
      <w:pPr>
        <w:pStyle w:val="ListNumber"/>
        <w:spacing w:after="60"/>
      </w:pPr>
      <w:r>
        <w:rPr>
          <w:color w:val="2F343C"/>
          <w:sz w:val="20"/>
        </w:rPr>
        <w:t>Cover mit Wirkungsökonomie-CD, Autorin Natalie Weber, Version, Status und Stand</w:t>
      </w:r>
    </w:p>
    <w:p>
      <w:pPr>
        <w:pStyle w:val="ListNumber"/>
        <w:spacing w:after="60"/>
      </w:pPr>
      <w:r>
        <w:rPr>
          <w:color w:val="2F343C"/>
          <w:sz w:val="20"/>
        </w:rPr>
        <w:t>Kurzprofil mit Dokumenttyp, Portal, Unterbereich, Öffentlichkeitshinweis und Disclaimer</w:t>
      </w:r>
    </w:p>
    <w:p>
      <w:pPr>
        <w:pStyle w:val="ListNumber"/>
        <w:spacing w:after="60"/>
      </w:pPr>
      <w:r>
        <w:rPr>
          <w:color w:val="2F343C"/>
          <w:sz w:val="20"/>
        </w:rPr>
        <w:t>Inhaltsübersicht</w:t>
      </w:r>
    </w:p>
    <w:p>
      <w:pPr>
        <w:pStyle w:val="ListNumber"/>
        <w:spacing w:after="60"/>
      </w:pPr>
      <w:r>
        <w:rPr>
          <w:color w:val="2F343C"/>
          <w:sz w:val="20"/>
        </w:rPr>
        <w:t>Executive Summary</w:t>
      </w:r>
    </w:p>
    <w:p>
      <w:pPr>
        <w:pStyle w:val="ListNumber"/>
        <w:spacing w:after="60"/>
      </w:pPr>
      <w:r>
        <w:rPr>
          <w:color w:val="2F343C"/>
          <w:sz w:val="20"/>
        </w:rPr>
        <w:t>Ausgangsdiagnose / Problemthese</w:t>
      </w:r>
    </w:p>
    <w:p>
      <w:pPr>
        <w:pStyle w:val="ListNumber"/>
        <w:spacing w:after="60"/>
      </w:pPr>
      <w:r>
        <w:rPr>
          <w:color w:val="2F343C"/>
          <w:sz w:val="20"/>
        </w:rPr>
        <w:t>Alte Logik / bisheriger Maßstab / Markt- oder Staatsversagen</w:t>
      </w:r>
    </w:p>
    <w:p>
      <w:pPr>
        <w:pStyle w:val="ListNumber"/>
        <w:spacing w:after="60"/>
      </w:pPr>
      <w:r>
        <w:rPr>
          <w:color w:val="2F343C"/>
          <w:sz w:val="20"/>
        </w:rPr>
        <w:t>Wirkungsökonomischer Perspektivwechsel</w:t>
      </w:r>
    </w:p>
    <w:p>
      <w:pPr>
        <w:pStyle w:val="ListNumber"/>
        <w:spacing w:after="60"/>
      </w:pPr>
      <w:r>
        <w:rPr>
          <w:color w:val="2F343C"/>
          <w:sz w:val="20"/>
        </w:rPr>
        <w:t>Begriffsdefinitionen und Abgrenzungen</w:t>
      </w:r>
    </w:p>
    <w:p>
      <w:pPr>
        <w:pStyle w:val="ListNumber"/>
        <w:spacing w:after="60"/>
      </w:pPr>
      <w:r>
        <w:rPr>
          <w:color w:val="2F343C"/>
          <w:sz w:val="20"/>
        </w:rPr>
        <w:t>Akteursgruppen und Interessenlage</w:t>
      </w:r>
    </w:p>
    <w:p>
      <w:pPr>
        <w:pStyle w:val="ListNumber"/>
        <w:spacing w:after="60"/>
      </w:pPr>
      <w:r>
        <w:rPr>
          <w:color w:val="2F343C"/>
          <w:sz w:val="20"/>
        </w:rPr>
        <w:t>Wirkungsmodell: Mensch, Planet, Demokratie</w:t>
      </w:r>
    </w:p>
    <w:p>
      <w:pPr>
        <w:pStyle w:val="ListNumber"/>
        <w:spacing w:after="60"/>
      </w:pPr>
      <w:r>
        <w:rPr>
          <w:color w:val="2F343C"/>
          <w:sz w:val="20"/>
        </w:rPr>
        <w:t>SDG-/SDG+-Bezug mit Unterziel-/Indikatorbezug</w:t>
      </w:r>
    </w:p>
    <w:p>
      <w:pPr>
        <w:pStyle w:val="ListNumber"/>
        <w:spacing w:after="60"/>
      </w:pPr>
      <w:r>
        <w:rPr>
          <w:color w:val="2F343C"/>
          <w:sz w:val="20"/>
        </w:rPr>
        <w:t>WÖk-ID-/Scorecard-/NWI-/T-SROI-Bezug</w:t>
      </w:r>
    </w:p>
    <w:p>
      <w:pPr>
        <w:pStyle w:val="ListNumber"/>
        <w:spacing w:after="60"/>
      </w:pPr>
      <w:r>
        <w:rPr>
          <w:color w:val="2F343C"/>
          <w:sz w:val="20"/>
        </w:rPr>
        <w:t>Datenquellen, Messlogik und Datenqualität</w:t>
      </w:r>
    </w:p>
    <w:p>
      <w:pPr>
        <w:pStyle w:val="ListNumber"/>
        <w:spacing w:after="60"/>
      </w:pPr>
      <w:r>
        <w:rPr>
          <w:color w:val="2F343C"/>
          <w:sz w:val="20"/>
        </w:rPr>
        <w:t>Beispiele und Falllogiken</w:t>
      </w:r>
    </w:p>
    <w:p>
      <w:pPr>
        <w:pStyle w:val="ListNumber"/>
        <w:spacing w:after="60"/>
      </w:pPr>
      <w:r>
        <w:rPr>
          <w:color w:val="2F343C"/>
          <w:sz w:val="20"/>
        </w:rPr>
        <w:t>Finanzierungs-, Steuer-, Fonds- oder Anreizbezug</w:t>
      </w:r>
    </w:p>
    <w:p>
      <w:pPr>
        <w:pStyle w:val="ListNumber"/>
        <w:spacing w:after="60"/>
      </w:pPr>
      <w:r>
        <w:rPr>
          <w:color w:val="2F343C"/>
          <w:sz w:val="20"/>
        </w:rPr>
        <w:t>Rechtliche und regulatorische Anschlussstellen heute</w:t>
      </w:r>
    </w:p>
    <w:p>
      <w:pPr>
        <w:pStyle w:val="ListNumber"/>
        <w:spacing w:after="60"/>
      </w:pPr>
      <w:r>
        <w:rPr>
          <w:color w:val="2F343C"/>
          <w:sz w:val="20"/>
        </w:rPr>
        <w:t>Politische Anschlussfähigkeit und Umsetzungsoptionen</w:t>
      </w:r>
    </w:p>
    <w:p>
      <w:pPr>
        <w:pStyle w:val="ListNumber"/>
        <w:spacing w:after="60"/>
      </w:pPr>
      <w:r>
        <w:rPr>
          <w:color w:val="2F343C"/>
          <w:sz w:val="20"/>
        </w:rPr>
        <w:t>Risiken, Zielkonflikte und Missbrauchsschutz</w:t>
      </w:r>
    </w:p>
    <w:p>
      <w:pPr>
        <w:pStyle w:val="ListNumber"/>
        <w:spacing w:after="60"/>
      </w:pPr>
      <w:r>
        <w:rPr>
          <w:color w:val="2F343C"/>
          <w:sz w:val="20"/>
        </w:rPr>
        <w:t>Tool-/Rechner-/Demo-Konzept</w:t>
      </w:r>
    </w:p>
    <w:p>
      <w:pPr>
        <w:pStyle w:val="ListNumber"/>
        <w:spacing w:after="60"/>
      </w:pPr>
      <w:r>
        <w:rPr>
          <w:color w:val="2F343C"/>
          <w:sz w:val="20"/>
        </w:rPr>
        <w:t>Website- und Portalintegration</w:t>
      </w:r>
    </w:p>
    <w:p>
      <w:pPr>
        <w:pStyle w:val="ListNumber"/>
        <w:spacing w:after="60"/>
      </w:pPr>
      <w:r>
        <w:rPr>
          <w:color w:val="2F343C"/>
          <w:sz w:val="20"/>
        </w:rPr>
        <w:t>Fazit</w:t>
      </w:r>
    </w:p>
    <w:p>
      <w:pPr>
        <w:pStyle w:val="ListNumber"/>
        <w:spacing w:after="60"/>
      </w:pPr>
      <w:r>
        <w:rPr>
          <w:color w:val="2F343C"/>
          <w:sz w:val="20"/>
        </w:rPr>
        <w:t>Quellen / Referenzen / weiterführende Links</w:t>
      </w:r>
    </w:p>
    <w:p>
      <w:pPr>
        <w:pStyle w:val="Heading1"/>
      </w:pPr>
      <w:r>
        <w:rPr>
          <w:rFonts w:ascii="Georgia" w:hAnsi="Georgia"/>
          <w:color w:val="080E20"/>
          <w:sz w:val="40"/>
        </w:rPr>
        <w:t>4. Mindeststruktur eines Dossiers</w:t>
      </w:r>
    </w:p>
    <w:p>
      <w:pPr>
        <w:spacing w:after="120" w:line="269" w:lineRule="auto"/>
      </w:pPr>
      <w:r>
        <w:rPr>
          <w:color w:val="2F343C"/>
          <w:sz w:val="20"/>
        </w:rPr>
        <w:t>Ein Dossier ist die praxisnahe Anwendungsebene. Es muss konkreter, beispielorientierter und berechnungsnäher sein als das Detailkonzept.</w:t>
      </w:r>
    </w:p>
    <w:p>
      <w:pPr>
        <w:pStyle w:val="ListNumber"/>
        <w:spacing w:after="60"/>
      </w:pPr>
      <w:r>
        <w:rPr>
          <w:color w:val="2F343C"/>
          <w:sz w:val="20"/>
        </w:rPr>
        <w:t>Cover und Kurzprofil</w:t>
      </w:r>
    </w:p>
    <w:p>
      <w:pPr>
        <w:pStyle w:val="ListNumber"/>
        <w:spacing w:after="60"/>
      </w:pPr>
      <w:r>
        <w:rPr>
          <w:color w:val="2F343C"/>
          <w:sz w:val="20"/>
        </w:rPr>
        <w:t>Was ist das Problem?</w:t>
      </w:r>
    </w:p>
    <w:p>
      <w:pPr>
        <w:pStyle w:val="ListNumber"/>
        <w:spacing w:after="60"/>
      </w:pPr>
      <w:r>
        <w:rPr>
          <w:color w:val="2F343C"/>
          <w:sz w:val="20"/>
        </w:rPr>
        <w:t>Warum ist es wirkungsökonomisch relevant?</w:t>
      </w:r>
    </w:p>
    <w:p>
      <w:pPr>
        <w:pStyle w:val="ListNumber"/>
        <w:spacing w:after="60"/>
      </w:pPr>
      <w:r>
        <w:rPr>
          <w:color w:val="2F343C"/>
          <w:sz w:val="20"/>
        </w:rPr>
        <w:t>Was bedeutet es für Bürger:innen, Unternehmen, Verwaltung, Politik und Kapital?</w:t>
      </w:r>
    </w:p>
    <w:p>
      <w:pPr>
        <w:pStyle w:val="ListNumber"/>
        <w:spacing w:after="60"/>
      </w:pPr>
      <w:r>
        <w:rPr>
          <w:color w:val="2F343C"/>
          <w:sz w:val="20"/>
        </w:rPr>
        <w:t>Konkrete Beispiele</w:t>
      </w:r>
    </w:p>
    <w:p>
      <w:pPr>
        <w:pStyle w:val="ListNumber"/>
        <w:spacing w:after="60"/>
      </w:pPr>
      <w:r>
        <w:rPr>
          <w:color w:val="2F343C"/>
          <w:sz w:val="20"/>
        </w:rPr>
        <w:t>Datenquellen und Indikatoren</w:t>
      </w:r>
    </w:p>
    <w:p>
      <w:pPr>
        <w:pStyle w:val="ListNumber"/>
        <w:spacing w:after="60"/>
      </w:pPr>
      <w:r>
        <w:rPr>
          <w:color w:val="2F343C"/>
          <w:sz w:val="20"/>
        </w:rPr>
        <w:t>Berechnungslogik / Scorecard / T-SROI / NWI / Wirkungsfondsbezug, falls relevant</w:t>
      </w:r>
    </w:p>
    <w:p>
      <w:pPr>
        <w:pStyle w:val="ListNumber"/>
        <w:spacing w:after="60"/>
      </w:pPr>
      <w:r>
        <w:rPr>
          <w:color w:val="2F343C"/>
          <w:sz w:val="20"/>
        </w:rPr>
        <w:t>Beispielrechnung oder Anwendungsszenario</w:t>
      </w:r>
    </w:p>
    <w:p>
      <w:pPr>
        <w:pStyle w:val="ListNumber"/>
        <w:spacing w:after="60"/>
      </w:pPr>
      <w:r>
        <w:rPr>
          <w:color w:val="2F343C"/>
          <w:sz w:val="20"/>
        </w:rPr>
        <w:t>Politische Anschlussfähigkeit</w:t>
      </w:r>
    </w:p>
    <w:p>
      <w:pPr>
        <w:pStyle w:val="ListNumber"/>
        <w:spacing w:after="60"/>
      </w:pPr>
      <w:r>
        <w:rPr>
          <w:color w:val="2F343C"/>
          <w:sz w:val="20"/>
        </w:rPr>
        <w:t>Umsetzungspfade: kurzfristig, mittelfristig, langfristig</w:t>
      </w:r>
    </w:p>
    <w:p>
      <w:pPr>
        <w:pStyle w:val="ListNumber"/>
        <w:spacing w:after="60"/>
      </w:pPr>
      <w:r>
        <w:rPr>
          <w:color w:val="2F343C"/>
          <w:sz w:val="20"/>
        </w:rPr>
        <w:t>Tool-/Rechner-Anwendung</w:t>
      </w:r>
    </w:p>
    <w:p>
      <w:pPr>
        <w:pStyle w:val="ListNumber"/>
        <w:spacing w:after="60"/>
      </w:pPr>
      <w:r>
        <w:rPr>
          <w:color w:val="2F343C"/>
          <w:sz w:val="20"/>
        </w:rPr>
        <w:t>Fragen, Einwände und Missverständnisse</w:t>
      </w:r>
    </w:p>
    <w:p>
      <w:pPr>
        <w:pStyle w:val="ListNumber"/>
        <w:spacing w:after="60"/>
      </w:pPr>
      <w:r>
        <w:rPr>
          <w:color w:val="2F343C"/>
          <w:sz w:val="20"/>
        </w:rPr>
        <w:t>Quellen und weiterführende Links</w:t>
      </w:r>
    </w:p>
    <w:p>
      <w:pPr>
        <w:pStyle w:val="Heading1"/>
      </w:pPr>
      <w:r>
        <w:rPr>
          <w:rFonts w:ascii="Georgia" w:hAnsi="Georgia"/>
          <w:color w:val="080E20"/>
          <w:sz w:val="40"/>
        </w:rPr>
        <w:t>5. Mindestumfang</w:t>
      </w:r>
    </w:p>
    <w:p>
      <w:pPr>
        <w:pStyle w:val="ListBullet"/>
        <w:spacing w:after="60"/>
      </w:pPr>
      <w:r>
        <w:rPr>
          <w:color w:val="2F343C"/>
          <w:sz w:val="20"/>
        </w:rPr>
        <w:t>Detailkonzept: in der Regel 15-30 Seiten, bei komplexen Themen auch mehr.</w:t>
      </w:r>
    </w:p>
    <w:p>
      <w:pPr>
        <w:pStyle w:val="ListBullet"/>
        <w:spacing w:after="60"/>
      </w:pPr>
      <w:r>
        <w:rPr>
          <w:color w:val="2F343C"/>
          <w:sz w:val="20"/>
        </w:rPr>
        <w:t>Dossier: in der Regel 10-20 Seiten.</w:t>
      </w:r>
    </w:p>
    <w:p>
      <w:pPr>
        <w:pStyle w:val="ListBullet"/>
        <w:spacing w:after="60"/>
      </w:pPr>
      <w:r>
        <w:rPr>
          <w:color w:val="2F343C"/>
          <w:sz w:val="20"/>
        </w:rPr>
        <w:t>Kein Dokument mit 1-3 Seiten darf als Detailkonzept oder Dossier bezeichnet werden.</w:t>
      </w:r>
    </w:p>
    <w:p>
      <w:pPr>
        <w:pStyle w:val="ListBullet"/>
        <w:spacing w:after="60"/>
      </w:pPr>
      <w:r>
        <w:rPr>
          <w:color w:val="2F343C"/>
          <w:sz w:val="20"/>
        </w:rPr>
        <w:t>Kurze Fassungen sind als Kurzüberblick, Executive Summary, Intro oder Teaser zulässig, aber nicht als Hauptdokument.</w:t>
      </w:r>
    </w:p>
    <w:p>
      <w:pPr>
        <w:pStyle w:val="ListBullet"/>
        <w:spacing w:after="60"/>
      </w:pPr>
      <w:r>
        <w:rPr>
          <w:color w:val="2F343C"/>
          <w:sz w:val="20"/>
        </w:rPr>
        <w:t>Jedes Detailkonzept braucht Tabellen, Akteurslogik, Messbezug und politische Anschlussfähigkeit.</w:t>
      </w:r>
    </w:p>
    <w:p>
      <w:pPr>
        <w:pStyle w:val="ListBullet"/>
        <w:spacing w:after="60"/>
      </w:pPr>
      <w:r>
        <w:rPr>
          <w:color w:val="2F343C"/>
          <w:sz w:val="20"/>
        </w:rPr>
        <w:t>Jedes Dossier braucht mindestens ein konkretes Beispiel, eine Daten-/Indikatorlogik und einen Umsetzungspfad.</w:t>
      </w:r>
    </w:p>
    <w:p>
      <w:pPr>
        <w:pStyle w:val="Heading1"/>
      </w:pPr>
      <w:r>
        <w:rPr>
          <w:rFonts w:ascii="Georgia" w:hAnsi="Georgia"/>
          <w:color w:val="080E20"/>
          <w:sz w:val="40"/>
        </w:rPr>
        <w:t>6. Verbindliche öffentliche Leitplanken</w:t>
      </w:r>
    </w:p>
    <w:p>
      <w:pPr>
        <w:pStyle w:val="ListBullet"/>
        <w:spacing w:after="60"/>
      </w:pPr>
      <w:r>
        <w:rPr>
          <w:color w:val="2F343C"/>
          <w:sz w:val="20"/>
        </w:rPr>
        <w:t>Öffentliche Dokumente enthalten keine CodeX-, Repository- oder internen Umsetzungsanweisungen.</w:t>
      </w:r>
    </w:p>
    <w:p>
      <w:pPr>
        <w:pStyle w:val="ListBullet"/>
        <w:spacing w:after="60"/>
      </w:pPr>
      <w:r>
        <w:rPr>
          <w:color w:val="2F343C"/>
          <w:sz w:val="20"/>
        </w:rPr>
        <w:t>Wirkung wird neutral und relational verwendet; positive Wirkung wird am Referenzrahmen SDGs, Agenda 2030 und SDG+ bewertet.</w:t>
      </w:r>
    </w:p>
    <w:p>
      <w:pPr>
        <w:pStyle w:val="ListBullet"/>
        <w:spacing w:after="60"/>
      </w:pPr>
      <w:r>
        <w:rPr>
          <w:color w:val="2F343C"/>
          <w:sz w:val="20"/>
        </w:rPr>
        <w:t>Keine Personenbewertung, kein Social Credit, keine technokratische Entscheidungsersetzung.</w:t>
      </w:r>
    </w:p>
    <w:p>
      <w:pPr>
        <w:pStyle w:val="ListBullet"/>
        <w:spacing w:after="60"/>
      </w:pPr>
      <w:r>
        <w:rPr>
          <w:color w:val="2F343C"/>
          <w:sz w:val="20"/>
        </w:rPr>
        <w:t>Wirkungsdaten bereiten Entscheidungen vor, ersetzen sie aber nicht.</w:t>
      </w:r>
    </w:p>
    <w:p>
      <w:pPr>
        <w:pStyle w:val="ListBullet"/>
        <w:spacing w:after="60"/>
      </w:pPr>
      <w:r>
        <w:rPr>
          <w:color w:val="2F343C"/>
          <w:sz w:val="20"/>
        </w:rPr>
        <w:t>Politische Ausgestaltungsspielräume bleiben sichtbar: Parteien können unterschiedliche Wege wählen.</w:t>
      </w:r>
    </w:p>
    <w:p>
      <w:pPr>
        <w:pStyle w:val="ListBullet"/>
        <w:spacing w:after="60"/>
      </w:pPr>
      <w:r>
        <w:rPr>
          <w:color w:val="2F343C"/>
          <w:sz w:val="20"/>
        </w:rPr>
        <w:t>Quellen, Datenqualität, Unsicherheiten und Grenzen werden offen benannt.</w:t>
      </w:r>
    </w:p>
    <w:p>
      <w:pPr>
        <w:pStyle w:val="Heading1"/>
      </w:pPr>
      <w:r>
        <w:rPr>
          <w:rFonts w:ascii="Georgia" w:hAnsi="Georgia"/>
          <w:color w:val="080E20"/>
          <w:sz w:val="40"/>
        </w:rPr>
        <w:t>7. Website-Pflichten</w:t>
      </w:r>
    </w:p>
    <w:p>
      <w:pPr>
        <w:spacing w:after="120" w:line="269" w:lineRule="auto"/>
      </w:pPr>
      <w:r>
        <w:rPr>
          <w:color w:val="2F343C"/>
          <w:sz w:val="20"/>
        </w:rPr>
        <w:t>Für jedes Detailkonzept und jedes Dossier müssen Website und Download gemeinsam gedacht werden. Der Online-Volltext ist Hauptzugang; DOCX/PDF sind zusätzliche Downloads.</w:t>
      </w:r>
    </w:p>
    <w:p>
      <w:pPr>
        <w:pStyle w:val="ListBullet"/>
        <w:spacing w:after="60"/>
      </w:pPr>
      <w:r>
        <w:rPr>
          <w:color w:val="2F343C"/>
          <w:sz w:val="20"/>
        </w:rPr>
        <w:t>vollständige Online-Fassung mit Inhaltsverzeichnis und Kapitelankern</w:t>
      </w:r>
    </w:p>
    <w:p>
      <w:pPr>
        <w:pStyle w:val="ListBullet"/>
        <w:spacing w:after="60"/>
      </w:pPr>
      <w:r>
        <w:rPr>
          <w:color w:val="2F343C"/>
          <w:sz w:val="20"/>
        </w:rPr>
        <w:t>funktionierende Downloads mit Version, Stand und Status</w:t>
      </w:r>
    </w:p>
    <w:p>
      <w:pPr>
        <w:pStyle w:val="ListBullet"/>
        <w:spacing w:after="60"/>
      </w:pPr>
      <w:r>
        <w:rPr>
          <w:color w:val="2F343C"/>
          <w:sz w:val="20"/>
        </w:rPr>
        <w:t>Toolkarten mit Link oder Status „Demo in Vorbereitung“</w:t>
      </w:r>
    </w:p>
    <w:p>
      <w:pPr>
        <w:pStyle w:val="ListBullet"/>
        <w:spacing w:after="60"/>
      </w:pPr>
      <w:r>
        <w:rPr>
          <w:color w:val="2F343C"/>
          <w:sz w:val="20"/>
        </w:rPr>
        <w:t>mobile-taugliche Navigation und responsive Tabellen</w:t>
      </w:r>
    </w:p>
    <w:p>
      <w:pPr>
        <w:pStyle w:val="ListBullet"/>
        <w:spacing w:after="60"/>
      </w:pPr>
      <w:r>
        <w:rPr>
          <w:color w:val="2F343C"/>
          <w:sz w:val="20"/>
        </w:rPr>
        <w:t>SDG-/SDG+-Badges mit Verlinkung zur Referenzseite</w:t>
      </w:r>
    </w:p>
    <w:p>
      <w:pPr>
        <w:pStyle w:val="ListBullet"/>
        <w:spacing w:after="60"/>
      </w:pPr>
      <w:r>
        <w:rPr>
          <w:color w:val="2F343C"/>
          <w:sz w:val="20"/>
        </w:rPr>
        <w:t>Buchanker und Glossarlinks</w:t>
      </w:r>
    </w:p>
    <w:p>
      <w:pPr>
        <w:pStyle w:val="ListBullet"/>
        <w:spacing w:after="60"/>
      </w:pPr>
      <w:r>
        <w:rPr>
          <w:color w:val="2F343C"/>
          <w:sz w:val="20"/>
        </w:rPr>
        <w:t>Quellenblock und weiterführende Links</w:t>
      </w:r>
    </w:p>
    <w:p>
      <w:pPr>
        <w:pStyle w:val="ListBullet"/>
        <w:spacing w:after="60"/>
      </w:pPr>
      <w:r>
        <w:rPr>
          <w:color w:val="2F343C"/>
          <w:sz w:val="20"/>
        </w:rPr>
        <w:t>Druckfunktion und saubere Druckansicht</w:t>
      </w:r>
    </w:p>
    <w:p>
      <w:pPr>
        <w:pStyle w:val="Heading1"/>
      </w:pPr>
      <w:r>
        <w:rPr>
          <w:rFonts w:ascii="Georgia" w:hAnsi="Georgia"/>
          <w:color w:val="080E20"/>
          <w:sz w:val="40"/>
        </w:rPr>
        <w:t>8. Sanierungsumfang</w:t>
      </w:r>
    </w:p>
    <w:p>
      <w:pPr>
        <w:spacing w:after="120" w:line="269" w:lineRule="auto"/>
      </w:pPr>
      <w:r>
        <w:rPr>
          <w:color w:val="2F343C"/>
          <w:sz w:val="20"/>
        </w:rPr>
        <w:t>Die Sanierung betrifft alle bisher vorbereiteten Ränge 0 bis 13. Die beigefügte Sanierungsmatrix umfasst 168 Unterbereiche. Für jeden Unterbereich sind mindestens ein umfangreiches Detailkonzept, ein umfangreiches Einzeldossier und jeweils eine Online-Volltextfassung erforderlich.</w:t>
      </w:r>
    </w:p>
    <w:p>
      <w:pPr>
        <w:spacing w:after="120" w:line="269" w:lineRule="auto"/>
      </w:pPr>
      <w:r>
        <w:rPr>
          <w:color w:val="2F343C"/>
          <w:sz w:val="20"/>
        </w:rPr>
        <w:t>Das bedeutet: Die bisherigen Kurzdokumente sind nicht ausreichend. Sie werden entweder zu echten Ausarbeitungen erweitert oder als Kurzfassungen gekennzeichnet und von den Detail-/Dossier-Downloadplätzen entfernt.</w:t>
      </w:r>
    </w:p>
    <w:p>
      <w:pPr>
        <w:pStyle w:val="Heading1"/>
      </w:pPr>
      <w:r>
        <w:rPr>
          <w:rFonts w:ascii="Georgia" w:hAnsi="Georgia"/>
          <w:color w:val="080E20"/>
          <w:sz w:val="40"/>
        </w:rPr>
        <w:t>9. Priorisierte Reihenfolge</w:t>
      </w:r>
    </w:p>
    <w:p>
      <w:pPr>
        <w:pStyle w:val="ListNumber"/>
        <w:spacing w:after="60"/>
      </w:pPr>
      <w:r>
        <w:rPr>
          <w:color w:val="2F343C"/>
          <w:sz w:val="20"/>
        </w:rPr>
        <w:t>Rang 0 SDG-/SDG+-Referenzrahmen</w:t>
      </w:r>
    </w:p>
    <w:p>
      <w:pPr>
        <w:pStyle w:val="ListNumber"/>
        <w:spacing w:after="60"/>
      </w:pPr>
      <w:r>
        <w:rPr>
          <w:color w:val="2F343C"/>
          <w:sz w:val="20"/>
        </w:rPr>
        <w:t>Rang 1 Produkte &amp; Konsum / Wirkungsumsatzsteuer</w:t>
      </w:r>
    </w:p>
    <w:p>
      <w:pPr>
        <w:pStyle w:val="ListNumber"/>
        <w:spacing w:after="60"/>
      </w:pPr>
      <w:r>
        <w:rPr>
          <w:color w:val="2F343C"/>
          <w:sz w:val="20"/>
        </w:rPr>
        <w:t>Rang 2 Impact Controlling / T-SROI / WÖk-IDs / Scorecards</w:t>
      </w:r>
    </w:p>
    <w:p>
      <w:pPr>
        <w:pStyle w:val="ListNumber"/>
        <w:spacing w:after="60"/>
      </w:pPr>
      <w:r>
        <w:rPr>
          <w:color w:val="2F343C"/>
          <w:sz w:val="20"/>
        </w:rPr>
        <w:t>Rang 3 Staat, Recht &amp; Demokratie / WStG / Wirkungsrat</w:t>
      </w:r>
    </w:p>
    <w:p>
      <w:pPr>
        <w:pStyle w:val="ListNumber"/>
        <w:spacing w:after="60"/>
      </w:pPr>
      <w:r>
        <w:rPr>
          <w:color w:val="2F343C"/>
          <w:sz w:val="20"/>
        </w:rPr>
        <w:t>Rang 4 Wirtschaft &amp; Unternehmen</w:t>
      </w:r>
    </w:p>
    <w:p>
      <w:pPr>
        <w:pStyle w:val="ListNumber"/>
        <w:spacing w:after="60"/>
      </w:pPr>
      <w:r>
        <w:rPr>
          <w:color w:val="2F343C"/>
          <w:sz w:val="20"/>
        </w:rPr>
        <w:t>Rang 5 Wohnen &amp; Stadt</w:t>
      </w:r>
    </w:p>
    <w:p>
      <w:pPr>
        <w:pStyle w:val="ListNumber"/>
        <w:spacing w:after="60"/>
      </w:pPr>
      <w:r>
        <w:rPr>
          <w:color w:val="2F343C"/>
          <w:sz w:val="20"/>
        </w:rPr>
        <w:t>Rang 6 Arbeit &amp; Einkommen / Automatisierung</w:t>
      </w:r>
    </w:p>
    <w:p>
      <w:pPr>
        <w:pStyle w:val="ListNumber"/>
        <w:spacing w:after="60"/>
      </w:pPr>
      <w:r>
        <w:rPr>
          <w:color w:val="2F343C"/>
          <w:sz w:val="20"/>
        </w:rPr>
        <w:t>Rang 7 Rente &amp; soziale Sicherung</w:t>
      </w:r>
    </w:p>
    <w:p>
      <w:pPr>
        <w:pStyle w:val="ListNumber"/>
        <w:spacing w:after="60"/>
      </w:pPr>
      <w:r>
        <w:rPr>
          <w:color w:val="2F343C"/>
          <w:sz w:val="20"/>
        </w:rPr>
        <w:t>Rang 8 Bildung / Wirkungsschule</w:t>
      </w:r>
    </w:p>
    <w:p>
      <w:pPr>
        <w:pStyle w:val="ListNumber"/>
        <w:spacing w:after="60"/>
      </w:pPr>
      <w:r>
        <w:rPr>
          <w:color w:val="2F343C"/>
          <w:sz w:val="20"/>
        </w:rPr>
        <w:t>Rang 9 Medien, Social Media, Journalismus &amp; Öffentlichkeit</w:t>
      </w:r>
    </w:p>
    <w:p>
      <w:pPr>
        <w:pStyle w:val="ListNumber"/>
        <w:spacing w:after="60"/>
      </w:pPr>
      <w:r>
        <w:rPr>
          <w:color w:val="2F343C"/>
          <w:sz w:val="20"/>
        </w:rPr>
        <w:t>Rang 10 Gesundheit &amp; Pflege</w:t>
      </w:r>
    </w:p>
    <w:p>
      <w:pPr>
        <w:pStyle w:val="ListNumber"/>
        <w:spacing w:after="60"/>
      </w:pPr>
      <w:r>
        <w:rPr>
          <w:color w:val="2F343C"/>
          <w:sz w:val="20"/>
        </w:rPr>
        <w:t>Rang 11 Wissenschaft, Innovation &amp; Digitalisierung</w:t>
      </w:r>
    </w:p>
    <w:p>
      <w:pPr>
        <w:pStyle w:val="ListNumber"/>
        <w:spacing w:after="60"/>
      </w:pPr>
      <w:r>
        <w:rPr>
          <w:color w:val="2F343C"/>
          <w:sz w:val="20"/>
        </w:rPr>
        <w:t>Rang 12 Finanzsystem &amp; Kapital</w:t>
      </w:r>
    </w:p>
    <w:p>
      <w:pPr>
        <w:pStyle w:val="ListNumber"/>
        <w:spacing w:after="60"/>
      </w:pPr>
      <w:r>
        <w:rPr>
          <w:color w:val="2F343C"/>
          <w:sz w:val="20"/>
        </w:rPr>
        <w:t>Rang 13 Klima, Energie &amp; Ressourcen</w:t>
      </w:r>
    </w:p>
    <w:p>
      <w:pPr>
        <w:pStyle w:val="Heading1"/>
      </w:pPr>
      <w:r>
        <w:rPr>
          <w:rFonts w:ascii="Georgia" w:hAnsi="Georgia"/>
          <w:color w:val="080E20"/>
          <w:sz w:val="40"/>
        </w:rPr>
        <w:t>10. Freigabekriterium</w:t>
      </w:r>
    </w:p>
    <w:p>
      <w:pPr>
        <w:spacing w:after="120" w:line="269" w:lineRule="auto"/>
      </w:pPr>
      <w:r>
        <w:rPr>
          <w:color w:val="2F343C"/>
          <w:sz w:val="20"/>
        </w:rPr>
        <w:t>Eine Seite oder ein Unterbereich darf nur als vollständig gelten, wenn Detailkonzept und Dossier umfangreich ausgearbeitet, online vollständig lesbar, downloadbar, mobil geprüft, intern bereinigt und querverlinkt sind.</w:t>
      </w:r>
    </w:p>
    <w:p>
      <w:pPr>
        <w:spacing w:after="120" w:line="269" w:lineRule="auto"/>
      </w:pPr>
      <w:r>
        <w:rPr>
          <w:color w:val="2F343C"/>
          <w:sz w:val="20"/>
        </w:rPr>
        <w:t>Alles andere bleibt Entwurf. Das ist die zentrale Korrektur, damit die Website nicht länger Kurzfragmente als ausgearbeitete Konzepte ausgibt.</w:t>
      </w:r>
    </w:p>
    <w:sectPr w:rsidR="00FC693F" w:rsidRPr="0006063C" w:rsidSect="00034616">
      <w:footerReference w:type="default" r:id="rId9"/>
      <w:pgSz w:w="12240" w:h="15840"/>
      <w:pgMar w:top="1080"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2F343C"/>
        <w:sz w:val="14"/>
      </w:rPr>
      <w:t>Wirkungsökonomie · Natalie Weber · Standard umfangreiche Detailkonzepte und Dossiers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080E2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color w:val="080E2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eorgia" w:hAnsi="Georgia"/>
      <w:b/>
      <w:bCs/>
      <w:color w:val="080E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color w:val="080E2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