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WÖk Layout Standardisierung Smoke Test</w:t>
      </w:r>
    </w:p>
    <w:p>
      <w:pPr>
        <w:pStyle w:val="Subtitle"/>
      </w:pPr>
      <w:r>
        <w:t>Technischer Testlauf für Dossier- und Konzeptlayout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Version: </w:t>
      </w:r>
      <w:r>
        <w:rPr>
          <w:rFonts w:ascii="Source Sans 3" w:hAnsi="Source Sans 3" w:eastAsia="Source Sans 3"/>
          <w:color w:val="22242C"/>
          <w:sz w:val="18"/>
        </w:rPr>
        <w:t>1.0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Stand: </w:t>
      </w:r>
      <w:r>
        <w:rPr>
          <w:rFonts w:ascii="Source Sans 3" w:hAnsi="Source Sans 3" w:eastAsia="Source Sans 3"/>
          <w:color w:val="22242C"/>
          <w:sz w:val="18"/>
        </w:rPr>
        <w:t>25. Mai 2026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Status: </w:t>
      </w:r>
      <w:r>
        <w:rPr>
          <w:rFonts w:ascii="Source Sans 3" w:hAnsi="Source Sans 3" w:eastAsia="Source Sans 3"/>
          <w:color w:val="22242C"/>
          <w:sz w:val="18"/>
        </w:rPr>
        <w:t>Technischer Layout-Test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Zweck</w:t>
      </w:r>
    </w:p>
    <w:p>
      <w:pPr/>
      <w:r>
        <w:t>Dieses Dokument prüft, ob die Layout-Standardisierung ein freigegebenes Markdown-Dokument in eine Word-Datei mit Referenzlayout überführt.</w:t>
      </w:r>
    </w:p>
    <w:p>
      <w:pPr>
        <w:pStyle w:val="Heading2"/>
      </w:pPr>
      <w:r>
        <w:t>Inhaltsschutz</w:t>
      </w:r>
    </w:p>
    <w:p>
      <w:pPr/>
      <w:r>
        <w:t>Der Test darf keine inhaltlichen Änderungen erzeugen. Er prüft Überschriften, Absätze, Listen und eine kurze Quellenzeile.</w:t>
      </w:r>
    </w:p>
    <w:p>
      <w:pPr>
        <w:pStyle w:val="Heading2"/>
      </w:pPr>
      <w:r>
        <w:t>Prüfpunkte</w:t>
      </w:r>
    </w:p>
    <w:p>
      <w:pPr>
        <w:pStyle w:val="ListBullet"/>
      </w:pPr>
      <w:r>
        <w:t>Das Dokument ist ausdrücklich für die Standardisierung freigegeben.</w:t>
      </w:r>
    </w:p>
    <w:p>
      <w:pPr>
        <w:pStyle w:val="ListBullet"/>
      </w:pPr>
      <w:r>
        <w:t>Der Dokumenttyp liegt im erlaubten Scope.</w:t>
      </w:r>
    </w:p>
    <w:p>
      <w:pPr>
        <w:pStyle w:val="ListBullet"/>
      </w:pPr>
      <w:r>
        <w:t>Die Ausgabe erfolgt als DOCX in einem separaten Ausgabeordner.</w:t>
      </w:r>
    </w:p>
    <w:p>
      <w:pPr>
        <w:pStyle w:val="ListBullet"/>
      </w:pPr>
      <w:r>
        <w:t>Der Textvergleich gegen die Originalfassung muss bestehen.</w:t>
      </w:r>
    </w:p>
    <w:p>
      <w:pPr>
        <w:pStyle w:val="Heading2"/>
      </w:pPr>
      <w:r>
        <w:t>Einordnung</w:t>
      </w:r>
    </w:p>
    <w:p>
      <w:pPr/>
      <w:r>
        <w:t>Die Datei ist ein technischer Layout-Test und kein öffentliches Dossier.</w:t>
      </w:r>
    </w:p>
    <w:p>
      <w:pPr>
        <w:pStyle w:val="Heading2"/>
      </w:pPr>
      <w:r>
        <w:t>Quelle</w:t>
      </w:r>
    </w:p>
    <w:p>
      <w:pPr/>
      <w:r>
        <w:t>Wirkungsökonomie, Dokumentlayout-Test, 25. Mai 2026.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