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/>
      <w:r>
        <w:t>WIRKUNGSÖKONOMIE</w:t>
      </w:r>
    </w:p>
    <w:p>
      <w:pPr/>
      <w:r>
        <w:t>Dossier Arbeit &amp; Einkommen / Automatisierung</w:t>
      </w:r>
    </w:p>
    <w:p>
      <w:pPr>
        <w:pStyle w:val="Heading3"/>
      </w:pPr>
      <w:r>
        <w:t>Beispiele, Rechenlogik, Datenquellen, politische Optionen und Tool-Logik</w:t>
      </w:r>
    </w:p>
    <w:p>
      <w:pPr/>
      <w:r>
        <w:t>Wirkung statt Kapital. Für Mensch, Planet und Demokratie.</w:t>
      </w:r>
    </w:p>
    <w:p>
      <w:pPr/>
      <w:r>
        <w:t>Autorin</w:t>
      </w:r>
    </w:p>
    <w:p>
      <w:pPr/>
      <w:r>
        <w:t>Natalie Weber</w:t>
      </w:r>
    </w:p>
    <w:p>
      <w:pPr/>
      <w:r>
        <w:t>Referenz</w:t>
      </w:r>
    </w:p>
    <w:p>
      <w:pPr/>
      <w:r>
        <w:t>Wirkungsökonomie</w:t>
      </w:r>
    </w:p>
    <w:p>
      <w:pPr/>
      <w:r>
        <w:t>Stand</w:t>
      </w:r>
    </w:p>
    <w:p>
      <w:pPr>
        <w:pStyle w:val="ListNumber"/>
      </w:pPr>
      <w:r>
        <w:t>Mai 2026</w:t>
      </w:r>
    </w:p>
    <w:p>
      <w:pPr/>
      <w:r>
        <w:t>Version</w:t>
      </w:r>
    </w:p>
    <w:p>
      <w:pPr/>
      <w:r>
        <w:t>v0.1</w:t>
      </w:r>
    </w:p>
    <w:p>
      <w:pPr/>
      <w:r>
        <w:t>Status</w:t>
      </w:r>
    </w:p>
    <w:p>
      <w:pPr/>
      <w:r>
        <w:t>Dossier / Diskussionsfassung</w:t>
      </w:r>
    </w:p>
    <w:p>
      <w:pPr/>
      <w:r>
        <w:t>Öffentlichkeit</w:t>
      </w:r>
    </w:p>
    <w:p>
      <w:pPr/>
      <w:r>
        <w:t>Hinweis: Dieses Dokument beschreibt ein wirkungsökonomisches Konzept. Es ist keine Rechts-, Steuer-, Anlage- oder Sozialberatung. Rechenmodelle sind als Arbeitsannahmen gekennzeichnet.</w:t>
      </w:r>
    </w:p>
    <w:p>
      <w:pPr>
        <w:pStyle w:val="Heading2"/>
      </w:pPr>
      <w:r>
        <w:t>Kurzüberblick</w:t>
      </w:r>
    </w:p>
    <w:p>
      <w:pPr/>
      <w:r>
        <w:t>Dieses Dossier übersetzt das Konzept Arbeit &amp; Einkommen / Automatisierung in praktische Anwendungslogik. Es beschreibt Datenquellen, Beispielrechnungen, Wirkungsindikatoren, Tools und Übergangsmodelle. Alle Zahlenbeispiele sind modellhafte Arbeitsannahmen und ersetzen keine amtlichen Berechnungen.</w:t>
      </w:r>
    </w:p>
    <w:p>
      <w:pPr/>
      <w:r>
        <w:t>Dossier-Regel</w:t>
      </w:r>
    </w:p>
    <w:p>
      <w:pPr/>
      <w:r>
        <w:t>Jede Beispielrechnung unterscheidet zwischen echten Datenquellen, plausiblen Annahmen und politisch festzulegenden Parametern. Wirkung wird nicht personenbezogen gescored; bewertet werden Tätigkeitsfelder, Organisationen, Projekte, Maschinenwertschöpfung, Fondsflüsse und Systemwirkungen.</w:t>
      </w:r>
    </w:p>
    <w:p>
      <w:pPr>
        <w:pStyle w:val="Heading2"/>
      </w:pPr>
      <w:r>
        <w:t>1. Datenquellen</w:t>
      </w:r>
    </w:p>
    <w:p>
      <w:pPr/>
      <w:r>
        <w:t>Datenbereich</w:t>
      </w:r>
    </w:p>
    <w:p>
      <w:pPr/>
      <w:r>
        <w:t>Mögliche Quellen</w:t>
      </w:r>
    </w:p>
    <w:p>
      <w:pPr/>
      <w:r>
        <w:t>Verwendung</w:t>
      </w:r>
    </w:p>
    <w:p>
      <w:pPr/>
      <w:r>
        <w:t>Erwerbstätigkeit und sozialversicherungspflichtige Beschäftigung</w:t>
      </w:r>
    </w:p>
    <w:p>
      <w:pPr/>
      <w:r>
        <w:t>Destatis, Bundesagentur für Arbeit</w:t>
      </w:r>
    </w:p>
    <w:p>
      <w:pPr/>
      <w:r>
        <w:t>Ausgangsbasis für Lohnsummen, Beschäftigungsstruktur und Beitragsabhängigkeit.</w:t>
      </w:r>
    </w:p>
    <w:p>
      <w:pPr/>
      <w:r>
        <w:t>Automatisierungspotenzial</w:t>
      </w:r>
    </w:p>
    <w:p>
      <w:pPr/>
      <w:r>
        <w:t>IAB Job-Futuromat, IAB-Szenarien, OECD, ILO</w:t>
      </w:r>
    </w:p>
    <w:p>
      <w:pPr/>
      <w:r>
        <w:t>Berufs- und Tätigkeitsrisiken; nicht als deterministische Jobverlustprognose.</w:t>
      </w:r>
    </w:p>
    <w:p>
      <w:pPr/>
      <w:r>
        <w:t>Unternehmensdaten</w:t>
      </w:r>
    </w:p>
    <w:p>
      <w:pPr/>
      <w:r>
        <w:t>CSRD/ESRS, Jahresabschluss, Personal- und Investitionsdaten</w:t>
      </w:r>
    </w:p>
    <w:p>
      <w:pPr/>
      <w:r>
        <w:t>Brücke zu Rang 4 Unternehmen und Impact Controlling.</w:t>
      </w:r>
    </w:p>
    <w:p>
      <w:pPr/>
      <w:r>
        <w:t>Maschinen-/Softwareinvestitionen</w:t>
      </w:r>
    </w:p>
    <w:p>
      <w:pPr/>
      <w:r>
        <w:t>Anlagenbuchhaltung, IT-Investitionen, Robotik-/KI-Ausgaben</w:t>
      </w:r>
    </w:p>
    <w:p>
      <w:pPr/>
      <w:r>
        <w:t>Indikator für Maschinenleistung und Produktivitätsgewinn.</w:t>
      </w:r>
    </w:p>
    <w:p>
      <w:pPr/>
      <w:r>
        <w:t>Produkt- und Lieferkettenwirkung</w:t>
      </w:r>
    </w:p>
    <w:p>
      <w:pPr/>
      <w:r>
        <w:t>WÖk-IDs, Scorecards, WUStG-Leitlinien, digitale Produktpässe</w:t>
      </w:r>
    </w:p>
    <w:p>
      <w:pPr/>
      <w:r>
        <w:t>Verknüpfung mit Produktwirkung und Fondsflüssen.</w:t>
      </w:r>
    </w:p>
    <w:p>
      <w:pPr/>
      <w:r>
        <w:t>Sozial- und Gemeinwesenwirkung</w:t>
      </w:r>
    </w:p>
    <w:p>
      <w:pPr/>
      <w:r>
        <w:t>Kommunale Daten, Bildungs-, Pflege-, Gesundheits- und Ehrenamtsdaten</w:t>
      </w:r>
    </w:p>
    <w:p>
      <w:pPr/>
      <w:r>
        <w:t>Grundlage für Wirkungsboni und kommunale Wirkungsfonds.</w:t>
      </w:r>
    </w:p>
    <w:p>
      <w:pPr>
        <w:pStyle w:val="Heading2"/>
      </w:pPr>
      <w:r>
        <w:t>2. Beispielrechnung: Beitragslücke bei Automatisierung</w:t>
      </w:r>
    </w:p>
    <w:p>
      <w:pPr/>
      <w:r>
        <w:t>Modellannahme: Ein Unternehmen ersetzt 100 Vollzeitstellen mit durchschnittlichen Bruttoarbeitskosten von 60.000 EUR p.a. durch automatisierte Systeme. Davon waren 45.000 EUR Bruttolohn und 15.000 EUR Arbeitgeberanteile/sonstige Lohnnebenkosten. Die Wertschöpfung bleibt gleich oder steigt.</w:t>
      </w:r>
    </w:p>
    <w:p>
      <w:pPr/>
      <w:r>
        <w:t>Position</w:t>
      </w:r>
    </w:p>
    <w:p>
      <w:pPr/>
      <w:r>
        <w:t>Rechnung</w:t>
      </w:r>
    </w:p>
    <w:p>
      <w:pPr/>
      <w:r>
        <w:t>Modellwert</w:t>
      </w:r>
    </w:p>
    <w:p>
      <w:pPr/>
      <w:r>
        <w:t>wegfallende Lohnsumme</w:t>
      </w:r>
    </w:p>
    <w:p>
      <w:pPr/>
      <w:r>
        <w:t>100 x 45.000 EUR</w:t>
      </w:r>
    </w:p>
    <w:p>
      <w:pPr/>
      <w:r>
        <w:t>4.500.000 EUR</w:t>
      </w:r>
    </w:p>
    <w:p>
      <w:pPr/>
      <w:r>
        <w:t>wegfallender Arbeitgeber-Sozialbeitragsanteil</w:t>
      </w:r>
    </w:p>
    <w:p>
      <w:pPr/>
      <w:r>
        <w:t>100 x 15.000 EUR</w:t>
      </w:r>
    </w:p>
    <w:p>
      <w:pPr/>
      <w:r>
        <w:t>1.500.000 EUR</w:t>
      </w:r>
    </w:p>
    <w:p>
      <w:pPr/>
      <w:r>
        <w:t>Produktivitätsgewinn durch Automatisierung</w:t>
      </w:r>
    </w:p>
    <w:p>
      <w:pPr/>
      <w:r>
        <w:t>angenommen +20 % auf Outputmarge</w:t>
      </w:r>
    </w:p>
    <w:p>
      <w:pPr/>
      <w:r>
        <w:t>1.200.000 EUR</w:t>
      </w:r>
    </w:p>
    <w:p>
      <w:pPr/>
      <w:r>
        <w:t>klassische Systemwirkung</w:t>
      </w:r>
    </w:p>
    <w:p>
      <w:pPr/>
      <w:r>
        <w:t>Beitragsbasis sinkt, Kapitalrendite steigt</w:t>
      </w:r>
    </w:p>
    <w:p>
      <w:pPr/>
      <w:r>
        <w:t>negative Finanzierungsrückkopplung</w:t>
      </w:r>
    </w:p>
    <w:p>
      <w:pPr/>
      <w:r>
        <w:t>WÖk-Rückkopplung</w:t>
      </w:r>
    </w:p>
    <w:p>
      <w:pPr/>
      <w:r>
        <w:t>Maschinenwertschöpfungsbeitrag + Wirkungsfondsanteil</w:t>
      </w:r>
    </w:p>
    <w:p>
      <w:pPr/>
      <w:r>
        <w:t>politisch festzulegen</w:t>
      </w:r>
    </w:p>
    <w:p>
      <w:pPr/>
      <w:r>
        <w:t>Wirkungsökonomisch wäre nicht der Roboter selbst steuerpflichtig, sondern die aus Automatisierung resultierende Wertschöpfungsverschiebung. Je höher die positive Netto-Wirkung des Unternehmens - Weiterbildung, Arbeitszeitverkürzung, faire Verteilung, niedrigere Produktpreise, ökologische Verbesserung -, desto niedriger der Malus und desto höher der Zugang zu Transformationsboni.</w:t>
      </w:r>
    </w:p>
    <w:p>
      <w:pPr>
        <w:pStyle w:val="Heading2"/>
      </w:pPr>
      <w:r>
        <w:t>3. Formelvorschlag: Maschinenwertschöpfungsbeitrag</w:t>
      </w:r>
    </w:p>
    <w:p>
      <w:pPr/>
      <w:r>
        <w:t>Arbeitsformel v0.1</w:t>
      </w:r>
    </w:p>
    <w:p>
      <w:pPr/>
      <w:r>
        <w:t>MWB = (Automatisierte Wertschöpfung x Rückkopplungsquote) x Wirkungsfaktor. Der Wirkungsfaktor reduziert Beiträge bei positiver Netto-Wirkung und erhöht sie bei sozialer, ökologischer oder demokratischer Negativwirkung. Die Formel ist eine Diskussionsgrundlage, kein Rechtsvorschlag.</w:t>
      </w:r>
    </w:p>
    <w:p>
      <w:pPr/>
      <w:r>
        <w:t>Parameter</w:t>
      </w:r>
    </w:p>
    <w:p>
      <w:pPr/>
      <w:r>
        <w:t>Beschreibung</w:t>
      </w:r>
    </w:p>
    <w:p>
      <w:pPr/>
      <w:r>
        <w:t>Datenquelle</w:t>
      </w:r>
    </w:p>
    <w:p>
      <w:pPr/>
      <w:r>
        <w:t>Automatisierte Wertschöpfung</w:t>
      </w:r>
    </w:p>
    <w:p>
      <w:pPr/>
      <w:r>
        <w:t>Anteil der Wertschöpfung, der durch KI, Robotik, Software oder autonome Systeme entsteht.</w:t>
      </w:r>
    </w:p>
    <w:p>
      <w:pPr/>
      <w:r>
        <w:t>Controlling, Anlagenbuchhaltung, Prozessdaten</w:t>
      </w:r>
    </w:p>
    <w:p>
      <w:pPr/>
      <w:r>
        <w:t>Rückkopplungsquote</w:t>
      </w:r>
    </w:p>
    <w:p>
      <w:pPr/>
      <w:r>
        <w:t>Politisch festgelegter Anteil, der in Wirkungsfonds fließt.</w:t>
      </w:r>
    </w:p>
    <w:p>
      <w:pPr/>
      <w:r>
        <w:t>Gesetz / Pilotmodell</w:t>
      </w:r>
    </w:p>
    <w:p>
      <w:pPr/>
      <w:r>
        <w:t>Wirkungsfaktor</w:t>
      </w:r>
    </w:p>
    <w:p>
      <w:pPr/>
      <w:r>
        <w:t>Score von -3 bis +3 oder normierte 0-1-Skala aus Unternehmens-, Arbeits- und Gemeinwesenwirkung.</w:t>
      </w:r>
    </w:p>
    <w:p>
      <w:pPr/>
      <w:r>
        <w:t>Scorecard / WÖk-IDs</w:t>
      </w:r>
    </w:p>
    <w:p>
      <w:pPr/>
      <w:r>
        <w:t>KMU-Schutzfaktor</w:t>
      </w:r>
    </w:p>
    <w:p>
      <w:pPr/>
      <w:r>
        <w:t>Schutz vor Überlastung kleiner Unternehmen, Übergangsfristen, Bagatellgrenzen.</w:t>
      </w:r>
    </w:p>
    <w:p>
      <w:pPr/>
      <w:r>
        <w:t>Gesetz / Förderlogik</w:t>
      </w:r>
    </w:p>
    <w:p>
      <w:pPr/>
      <w:r>
        <w:t>Transformationsbonus</w:t>
      </w:r>
    </w:p>
    <w:p>
      <w:pPr/>
      <w:r>
        <w:t>Gutschrift für Weiterbildung, Arbeitsplatzqualität, Arbeitszeitverkürzung, neue Tätigkeiten.</w:t>
      </w:r>
    </w:p>
    <w:p>
      <w:pPr/>
      <w:r>
        <w:t>Nachweis / Assurance</w:t>
      </w:r>
    </w:p>
    <w:p>
      <w:pPr>
        <w:pStyle w:val="Heading2"/>
      </w:pPr>
      <w:r>
        <w:t>4. Wirkungseinkommen: Beispielhafte Einkommensarchitektur</w:t>
      </w:r>
    </w:p>
    <w:p>
      <w:pPr/>
      <w:r>
        <w:t>Baustein</w:t>
      </w:r>
    </w:p>
    <w:p>
      <w:pPr/>
      <w:r>
        <w:t>Beispielhafte Funktion</w:t>
      </w:r>
    </w:p>
    <w:p>
      <w:pPr/>
      <w:r>
        <w:t>Bemessung</w:t>
      </w:r>
    </w:p>
    <w:p>
      <w:pPr/>
      <w:r>
        <w:t>Grunddividende</w:t>
      </w:r>
    </w:p>
    <w:p>
      <w:pPr/>
      <w:r>
        <w:t>Stabilisiert Existenz und Nachfrage.</w:t>
      </w:r>
    </w:p>
    <w:p>
      <w:pPr/>
      <w:r>
        <w:t>Pro Kopf aus Wirkungsfonds; Höhe politisch festzulegen.</w:t>
      </w:r>
    </w:p>
    <w:p>
      <w:pPr/>
      <w:r>
        <w:t>Markteinkommen</w:t>
      </w:r>
    </w:p>
    <w:p>
      <w:pPr/>
      <w:r>
        <w:t>Lohn, Honorar, Unternehmenseinkommen, Rendite.</w:t>
      </w:r>
    </w:p>
    <w:p>
      <w:pPr/>
      <w:r>
        <w:t>Bleibt erhalten, aber Wirkungskontext wird steuerlich relevant.</w:t>
      </w:r>
    </w:p>
    <w:p>
      <w:pPr/>
      <w:r>
        <w:t>Wirkungsbonus</w:t>
      </w:r>
    </w:p>
    <w:p>
      <w:pPr/>
      <w:r>
        <w:t>Care, Bildung, Prävention, Engagement, Innovation.</w:t>
      </w:r>
    </w:p>
    <w:p>
      <w:pPr/>
      <w:r>
        <w:t>Projekt-/Tätigkeitsnachweis oder institutionelle Wirkungsräume.</w:t>
      </w:r>
    </w:p>
    <w:p>
      <w:pPr/>
      <w:r>
        <w:t>Transformationsbonus</w:t>
      </w:r>
    </w:p>
    <w:p>
      <w:pPr/>
      <w:r>
        <w:t>Weiterbildung, Umschulung, Arbeitszeitverkürzung.</w:t>
      </w:r>
    </w:p>
    <w:p>
      <w:pPr/>
      <w:r>
        <w:t>Individuell oder kollektiv, nicht als Zwangssystem.</w:t>
      </w:r>
    </w:p>
    <w:p>
      <w:pPr/>
      <w:r>
        <w:t>Wirkungsmalus</w:t>
      </w:r>
    </w:p>
    <w:p>
      <w:pPr/>
      <w:r>
        <w:t>destruktive Einkommen oder Kapitalflüsse.</w:t>
      </w:r>
    </w:p>
    <w:p>
      <w:pPr/>
      <w:r>
        <w:t>Über WEstG, WKStG, WUStG, Vermögens-/Kapitalwirkung.</w:t>
      </w:r>
    </w:p>
    <w:p>
      <w:pPr>
        <w:pStyle w:val="Heading2"/>
      </w:pPr>
      <w:r>
        <w:t>5. Automatisierung in Unternehmen: vier Szenarien</w:t>
      </w:r>
    </w:p>
    <w:p>
      <w:pPr/>
      <w:r>
        <w:t>Szenario</w:t>
      </w:r>
    </w:p>
    <w:p>
      <w:pPr/>
      <w:r>
        <w:t>Beschreibung</w:t>
      </w:r>
    </w:p>
    <w:p>
      <w:pPr/>
      <w:r>
        <w:t>WÖk-Einordnung</w:t>
      </w:r>
    </w:p>
    <w:p>
      <w:pPr/>
      <w:r>
        <w:t>A: Entlastende Automatisierung</w:t>
      </w:r>
    </w:p>
    <w:p>
      <w:pPr/>
      <w:r>
        <w:t>Gefährliche, monotone oder gesundheitsschädliche Arbeit wird ersetzt.</w:t>
      </w:r>
    </w:p>
    <w:p>
      <w:pPr/>
      <w:r>
        <w:t>positiv, wenn Menschen abgesichert, weitergebildet und Produktivitätsgewinne geteilt werden.</w:t>
      </w:r>
    </w:p>
    <w:p>
      <w:pPr/>
      <w:r>
        <w:t>B: Verdrängende Automatisierung</w:t>
      </w:r>
    </w:p>
    <w:p>
      <w:pPr/>
      <w:r>
        <w:t>Menschen werden ersetzt, Kosten sinken, Eigentümer:innen profitieren.</w:t>
      </w:r>
    </w:p>
    <w:p>
      <w:pPr/>
      <w:r>
        <w:t>kritisch, wenn Beitragsbasis und Teilhabe sinken.</w:t>
      </w:r>
    </w:p>
    <w:p>
      <w:pPr/>
      <w:r>
        <w:t>C: Transformative Automatisierung</w:t>
      </w:r>
    </w:p>
    <w:p>
      <w:pPr/>
      <w:r>
        <w:t>Produktqualität, Ressourcenverbrauch und Arbeitsbedingungen verbessern sich.</w:t>
      </w:r>
    </w:p>
    <w:p>
      <w:pPr/>
      <w:r>
        <w:t>positiv, wenn Rückkopplung nachweisbar ist.</w:t>
      </w:r>
    </w:p>
    <w:p>
      <w:pPr/>
      <w:r>
        <w:t>D: Extraktive Plattformautomatisierung</w:t>
      </w:r>
    </w:p>
    <w:p>
      <w:pPr/>
      <w:r>
        <w:t>Daten, Aufmerksamkeit und Arbeit werden ausgebeutet; Gewinne konzentrieren sich.</w:t>
      </w:r>
    </w:p>
    <w:p>
      <w:pPr/>
      <w:r>
        <w:t>negativ, wenn Demokratie, Arbeitsrechte und soziale Sicherung geschwächt werden.</w:t>
      </w:r>
    </w:p>
    <w:p>
      <w:pPr>
        <w:pStyle w:val="Heading2"/>
      </w:pPr>
      <w:r>
        <w:t>6. Tool: Automatisierungs- und Wirkungseinkommensrechner</w:t>
      </w:r>
    </w:p>
    <w:p>
      <w:pPr/>
      <w:r>
        <w:t>Der Rechner ist als Modell-Demo angelegt. Er berechnet keine echte Steuerpflicht, sondern zeigt den Systembruch der alten Abgabenlogik und die mögliche Wirkungsrückkopplung.</w:t>
      </w:r>
    </w:p>
    <w:p>
      <w:pPr/>
      <w:r>
        <w:t>Input</w:t>
      </w:r>
    </w:p>
    <w:p>
      <w:pPr/>
      <w:r>
        <w:t>Output</w:t>
      </w:r>
    </w:p>
    <w:p>
      <w:pPr/>
      <w:r>
        <w:t>Anzahl ersetzter FTE, Lohnsumme, Sozialabgabenanteil</w:t>
      </w:r>
    </w:p>
    <w:p>
      <w:pPr/>
      <w:r>
        <w:t>klassische Beitragslücke</w:t>
      </w:r>
    </w:p>
    <w:p>
      <w:pPr/>
      <w:r>
        <w:t>Automatisierte Wertschöpfung, Produktivitätsgewinn</w:t>
      </w:r>
    </w:p>
    <w:p>
      <w:pPr/>
      <w:r>
        <w:t>potenzieller Automatisierungsüberschuss</w:t>
      </w:r>
    </w:p>
    <w:p>
      <w:pPr/>
      <w:r>
        <w:t>Wirkungs-Score des Unternehmens</w:t>
      </w:r>
    </w:p>
    <w:p>
      <w:pPr/>
      <w:r>
        <w:t>Wirkungsfaktor für Beitrag oder Bonus</w:t>
      </w:r>
    </w:p>
    <w:p>
      <w:pPr/>
      <w:r>
        <w:t>Weiterbildungs- und Teilhabequote</w:t>
      </w:r>
    </w:p>
    <w:p>
      <w:pPr/>
      <w:r>
        <w:t>Transformationsbonus</w:t>
      </w:r>
    </w:p>
    <w:p>
      <w:pPr/>
      <w:r>
        <w:t>Kommune/Region/Sektor</w:t>
      </w:r>
    </w:p>
    <w:p>
      <w:pPr/>
      <w:r>
        <w:t>regionale Wirkung und Fondsbedarf</w:t>
      </w:r>
    </w:p>
    <w:p>
      <w:pPr>
        <w:pStyle w:val="Heading2"/>
      </w:pPr>
      <w:r>
        <w:t>7. Politische Optionen</w:t>
      </w:r>
    </w:p>
    <w:p>
      <w:pPr/>
      <w:r>
        <w:t>Option</w:t>
      </w:r>
    </w:p>
    <w:p>
      <w:pPr/>
      <w:r>
        <w:t>Wirkung</w:t>
      </w:r>
    </w:p>
    <w:p>
      <w:pPr/>
      <w:r>
        <w:t>Politischer Spielraum</w:t>
      </w:r>
    </w:p>
    <w:p>
      <w:pPr/>
      <w:r>
        <w:t>Pilotfonds Automatisierungsdividende</w:t>
      </w:r>
    </w:p>
    <w:p>
      <w:pPr/>
      <w:r>
        <w:t>kleiner Einstieg ohne Systembruch</w:t>
      </w:r>
    </w:p>
    <w:p>
      <w:pPr/>
      <w:r>
        <w:t>freiwillig, branchenbezogen, kommunal oder national</w:t>
      </w:r>
    </w:p>
    <w:p>
      <w:pPr/>
      <w:r>
        <w:t>teilweise Sozialabgaben-Entkopplung</w:t>
      </w:r>
    </w:p>
    <w:p>
      <w:pPr/>
      <w:r>
        <w:t>menschliche Arbeit wird entlastet</w:t>
      </w:r>
    </w:p>
    <w:p>
      <w:pPr/>
      <w:r>
        <w:t>Stufenmodell, zuerst Arbeitgeberanteil oder neue Abgabenbasis</w:t>
      </w:r>
    </w:p>
    <w:p>
      <w:pPr/>
      <w:r>
        <w:t>WEstG-Testmodell</w:t>
      </w:r>
    </w:p>
    <w:p>
      <w:pPr/>
      <w:r>
        <w:t>Einkommen nach Wirkungskontext differenzieren</w:t>
      </w:r>
    </w:p>
    <w:p>
      <w:pPr/>
      <w:r>
        <w:t>Steuerbonus/-malus oder Gutschrift</w:t>
      </w:r>
    </w:p>
    <w:p>
      <w:pPr/>
      <w:r>
        <w:t>Transformationskonten</w:t>
      </w:r>
    </w:p>
    <w:p>
      <w:pPr/>
      <w:r>
        <w:t>Weiterbildung und Übergänge finanzieren</w:t>
      </w:r>
    </w:p>
    <w:p>
      <w:pPr/>
      <w:r>
        <w:t>individuell, betrieblich oder kommunal</w:t>
      </w:r>
    </w:p>
    <w:p>
      <w:pPr/>
      <w:r>
        <w:t>Wirkungsdividende</w:t>
      </w:r>
    </w:p>
    <w:p>
      <w:pPr/>
      <w:r>
        <w:t>Grundsicherung ohne Arbeitszwang</w:t>
      </w:r>
    </w:p>
    <w:p>
      <w:pPr/>
      <w:r>
        <w:t>Höhe, Zugang und Finanzierung politisch offen</w:t>
      </w:r>
    </w:p>
    <w:p>
      <w:pPr>
        <w:pStyle w:val="Heading2"/>
      </w:pPr>
      <w:r>
        <w:t>8. Quellen und Verlinkungen</w:t>
      </w:r>
    </w:p>
    <w:p>
      <w:pPr/>
      <w:r>
        <w:t>Interne WÖk-Dokumente</w:t>
      </w:r>
    </w:p>
    <w:p>
      <w:pPr/>
      <w:r>
        <w:t>Natalie Weber: Wenn Maschinen arbeiten. Warum wir ein neues System brauchen, 2025.</w:t>
      </w:r>
    </w:p>
    <w:p>
      <w:pPr/>
      <w:r>
        <w:t>Natalie Weber: Die neue Ordnung des Wohlstands, 2026, insbesondere Kapitel 15, 56, 57 und die Teile zu Wirkungseinkommen, Wirkungsfonds und Wirkungslenkung.</w:t>
      </w:r>
    </w:p>
    <w:p>
      <w:pPr/>
      <w:r>
        <w:t>Natalie Weber: Arbeitspapier Wirkungseinkommensteuer (WEstG), 2025.</w:t>
      </w:r>
    </w:p>
    <w:p>
      <w:pPr/>
      <w:r>
        <w:t>Natalie Weber: Working-Paper Rentensystem / Wirkungsrente, 2025.</w:t>
      </w:r>
    </w:p>
    <w:p>
      <w:pPr/>
      <w:r>
        <w:t>Natalie Weber: Systemmodell der Wirkungsökonomie, 2025.</w:t>
      </w:r>
    </w:p>
    <w:p>
      <w:pPr/>
      <w:r>
        <w:t>Natalie Weber: WStG Oktober 2025 und Technische Leitlinien WUStG, 2025.</w:t>
      </w:r>
    </w:p>
    <w:p>
      <w:pPr/>
      <w:r>
        <w:t>Natalie Weber: Führender Begriffsleitfaden der Wirkungsökonomie, 2026.</w:t>
      </w:r>
    </w:p>
    <w:p>
      <w:pPr/>
      <w:r>
        <w:t>Externe Referenzen</w:t>
      </w:r>
    </w:p>
    <w:p>
      <w:pPr/>
      <w:r>
        <w:t>OECD: AI and work / Future of work, laufende Themenseiten und Analysen.</w:t>
      </w:r>
    </w:p>
    <w:p>
      <w:pPr/>
      <w:r>
        <w:t>ILO: Generative AI and Jobs, Working Paper 96 (2023) und Refined Global Index of Occupational Exposure (2025).</w:t>
      </w:r>
    </w:p>
    <w:p>
      <w:pPr/>
      <w:r>
        <w:t>Europäische Kommission: AI Act, Inkrafttreten 1. August 2024 und Anwendung nach Zeitplan mit Ausnahmen.</w:t>
      </w:r>
    </w:p>
    <w:p>
      <w:pPr/>
      <w:r>
        <w:t>EU: Platform Work Directive (EU) 2024/2831; algorithmisches Management, Transparenz und menschliche Aufsicht.</w:t>
      </w:r>
    </w:p>
    <w:p>
      <w:pPr/>
      <w:r>
        <w:t>Destatis: Arbeitsmarkt, Erwerbstätigkeit und sozialversicherungspflichtige Beschäftigung in Deutschland.</w:t>
      </w:r>
    </w:p>
    <w:p>
      <w:pPr/>
      <w:r>
        <w:t>IAB: Job-Futuromat und Szenarioanalysen zu KI, Digitalisierung und Substituierbarkeitspotenzialen.</w:t>
      </w:r>
    </w:p>
    <w:p>
      <w:pPr/>
      <w:r>
        <w:t>Bundesagentur für Arbeit / BERUFENET: Digitalisierung und Ersetzbarkeit von Tätigkeiten.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020" w:right="1191" w:bottom="907" w:left="1191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  <w:tbl>
    <w:tblPr>
      <w:tblW w:type="auto" w:w="0"/>
      <w:jc w:val="center"/>
      <w:tblLook w:firstColumn="1" w:firstRow="1" w:lastColumn="0" w:lastRow="0" w:noHBand="0" w:noVBand="1" w:val="04A0"/>
    </w:tblPr>
    <w:tblGrid>
      <w:gridCol w:w="3175"/>
      <w:gridCol w:w="3175"/>
      <w:gridCol w:w="3175"/>
    </w:tblGrid>
    <w:tr>
      <w:tc>
        <w:tcPr>
          <w:tcW w:type="dxa" w:w="3401"/>
          <w:tcMar>
            <w:top w:w="0" w:type="dxa"/>
            <w:start w:w="0" w:type="dxa"/>
            <w:bottom w:w="0" w:type="dxa"/>
            <w:end w:w="0" w:type="dxa"/>
          </w:tcMar>
          <w:tcBorders>
            <w:top w:val="single" w:color="D8D2C6" w:sz="4"/>
          </w:tcBorders>
        </w:tcPr>
        <w:p>
          <w:pPr>
            <w:jc w:val="left"/>
          </w:pPr>
          <w:r>
            <w:rPr>
              <w:rFonts w:ascii="Source Sans 3" w:hAnsi="Source Sans 3" w:cs="Source Sans 3" w:eastAsia="Source Sans 3"/>
              <w:b w:val="0"/>
              <w:i w:val="0"/>
              <w:color w:val="22242C"/>
              <w:sz w:val="14"/>
            </w:rPr>
            <w:t>{{DOKUMENTTYP}} · {{STAND}}</w:t>
          </w:r>
        </w:p>
      </w:tc>
      <w:tc>
        <w:tcPr>
          <w:tcW w:type="dxa" w:w="2834"/>
          <w:tcMar>
            <w:top w:w="0" w:type="dxa"/>
            <w:start w:w="0" w:type="dxa"/>
            <w:bottom w:w="0" w:type="dxa"/>
            <w:end w:w="0" w:type="dxa"/>
          </w:tcMar>
          <w:tcBorders>
            <w:top w:val="single" w:color="D8D2C6" w:sz="4"/>
          </w:tcBorders>
        </w:tcPr>
        <w:p>
          <w:pPr>
            <w:jc w:val="center"/>
          </w:pPr>
          <w:r>
            <w:rPr>
              <w:rFonts w:ascii="Source Sans 3" w:hAnsi="Source Sans 3" w:cs="Source Sans 3" w:eastAsia="Source Sans 3"/>
              <w:b w:val="0"/>
              <w:i w:val="0"/>
              <w:color w:val="22242C"/>
              <w:sz w:val="14"/>
            </w:rPr>
            <w:t>Wirkung statt Kapital</w:t>
          </w:r>
        </w:p>
      </w:tc>
      <w:tc>
        <w:tcPr>
          <w:tcW w:type="dxa" w:w="3288"/>
          <w:tcMar>
            <w:top w:w="0" w:type="dxa"/>
            <w:start w:w="0" w:type="dxa"/>
            <w:bottom w:w="0" w:type="dxa"/>
            <w:end w:w="0" w:type="dxa"/>
          </w:tcMar>
          <w:tcBorders>
            <w:top w:val="single" w:color="D8D2C6" w:sz="4"/>
          </w:tcBorders>
        </w:tcPr>
        <w:p>
          <w:pPr>
            <w:jc w:val="right"/>
          </w:pPr>
          <w:r>
            <w:rPr>
              <w:rFonts w:ascii="Source Sans 3" w:hAnsi="Source Sans 3" w:cs="Source Sans 3" w:eastAsia="Source Sans 3"/>
              <w:b w:val="0"/>
              <w:i w:val="0"/>
              <w:color w:val="22242C"/>
              <w:sz w:val="14"/>
            </w:rPr>
            <w:t xml:space="preserve">Seite </w:t>
          </w:r>
          <w:r>
            <w:rPr>
              <w:rFonts w:ascii="Source Sans 3" w:hAnsi="Source Sans 3" w:cs="Source Sans 3" w:eastAsia="Source Sans 3"/>
              <w:b w:val="0"/>
              <w:i w:val="0"/>
              <w:color w:val="22242C"/>
              <w:sz w:val="14"/>
            </w:rPr>
            <w:fldChar w:fldCharType="begin"/>
            <w:instrText xml:space="preserve">PAGE</w:instrText>
            <w:fldChar w:fldCharType="separate"/>
            <w:t>1</w:t>
            <w:fldChar w:fldCharType="end"/>
          </w:r>
        </w:p>
      </w:tc>
    </w:tr>
  </w:tbl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W w:type="auto" w:w="0"/>
      <w:jc w:val="center"/>
      <w:tblLook w:firstColumn="1" w:firstRow="1" w:lastColumn="0" w:lastRow="0" w:noHBand="0" w:noVBand="1" w:val="04A0"/>
    </w:tblPr>
    <w:tblGrid>
      <w:gridCol w:w="4762"/>
      <w:gridCol w:w="4762"/>
    </w:tblGrid>
    <w:tr>
      <w:tc>
        <w:tcPr>
          <w:tcW w:type="dxa" w:w="5385"/>
          <w:tcMar>
            <w:top w:w="0" w:type="dxa"/>
            <w:start w:w="0" w:type="dxa"/>
            <w:bottom w:w="0" w:type="dxa"/>
            <w:end w:w="0" w:type="dxa"/>
          </w:tcMar>
          <w:tcBorders>
            <w:bottom w:val="single" w:color="D8D2C6" w:sz="4"/>
          </w:tcBorders>
          <w:vAlign w:val="center"/>
        </w:tcPr>
        <w:p>
          <w:pPr>
            <w:jc w:val="left"/>
          </w:pPr>
          <w:r>
            <w:drawing>
              <wp:inline xmlns:a="http://schemas.openxmlformats.org/drawingml/2006/main" xmlns:pic="http://schemas.openxmlformats.org/drawingml/2006/picture">
                <wp:extent cx="223200" cy="184569"/>
                <wp:docPr id="1" name="Picture 1" descr="Image: item1.xml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woek-signet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23200" cy="184569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  <w:r>
            <w:rPr>
              <w:rFonts w:ascii="Playfair Display" w:hAnsi="Playfair Display" w:cs="Playfair Display" w:eastAsia="Playfair Display"/>
              <w:b w:val="0"/>
              <w:i w:val="0"/>
              <w:color w:val="0B1020"/>
              <w:sz w:val="18"/>
              <w:caps/>
              <w:spacing w:val="25"/>
            </w:rPr>
            <w:t xml:space="preserve">  WIRKUNGSÖKONOMIE</w:t>
          </w:r>
        </w:p>
      </w:tc>
      <w:tc>
        <w:tcPr>
          <w:tcW w:type="dxa" w:w="4138"/>
          <w:tcMar>
            <w:top w:w="0" w:type="dxa"/>
            <w:start w:w="0" w:type="dxa"/>
            <w:bottom w:w="0" w:type="dxa"/>
            <w:end w:w="0" w:type="dxa"/>
          </w:tcMar>
          <w:tcBorders>
            <w:bottom w:val="single" w:color="D8D2C6" w:sz="4"/>
          </w:tcBorders>
          <w:vAlign w:val="center"/>
        </w:tcPr>
        <w:p>
          <w:pPr>
            <w:jc w:val="right"/>
          </w:pPr>
          <w:r>
            <w:rPr>
              <w:rFonts w:ascii="Source Sans 3" w:hAnsi="Source Sans 3" w:cs="Source Sans 3" w:eastAsia="Source Sans 3"/>
              <w:b w:val="0"/>
              <w:i w:val="0"/>
              <w:color w:val="22242C"/>
              <w:sz w:val="15"/>
            </w:rPr>
            <w:t>{{KURZTITEL}}</w:t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140" w:before="0"/>
    </w:pPr>
    <w:rPr>
      <w:rFonts w:ascii="Merriweather" w:hAnsi="Merriweather" w:cs="Merriweather" w:eastAsia="Merriweather"/>
      <w:b w:val="0"/>
      <w:i w:val="0"/>
      <w:color w:val="22242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00" w:after="160"/>
      <w:outlineLvl w:val="0"/>
    </w:pPr>
    <w:rPr>
      <w:rFonts w:asciiTheme="majorHAnsi" w:eastAsiaTheme="majorEastAsia" w:hAnsiTheme="majorHAnsi" w:cstheme="majorBidi" w:ascii="Playfair Display" w:hAnsi="Playfair Display" w:cs="Playfair Display" w:eastAsia="Playfair Display"/>
      <w:b w:val="0"/>
      <w:bCs/>
      <w:i w:val="0"/>
      <w:color w:val="0B1020"/>
      <w:sz w:val="3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20"/>
      <w:outlineLvl w:val="1"/>
    </w:pPr>
    <w:rPr>
      <w:rFonts w:asciiTheme="majorHAnsi" w:eastAsiaTheme="majorEastAsia" w:hAnsiTheme="majorHAnsi" w:cstheme="majorBidi" w:ascii="Playfair Display" w:hAnsi="Playfair Display" w:cs="Source Sans 3" w:eastAsia="Playfair Display"/>
      <w:b/>
      <w:bCs/>
      <w:i w:val="0"/>
      <w:color w:val="0B1020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/>
      <w:outlineLvl w:val="2"/>
    </w:pPr>
    <w:rPr>
      <w:rFonts w:asciiTheme="majorHAnsi" w:eastAsiaTheme="majorEastAsia" w:hAnsiTheme="majorHAnsi" w:cstheme="majorBidi" w:ascii="Playfair Display" w:hAnsi="Playfair Display" w:cs="Source Sans 3" w:eastAsia="Playfair Display"/>
      <w:b/>
      <w:bCs/>
      <w:i w:val="0"/>
      <w:color w:val="0B1020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160" w:after="60"/>
      <w:outlineLvl w:val="3"/>
    </w:pPr>
    <w:rPr>
      <w:rFonts w:asciiTheme="majorHAnsi" w:eastAsiaTheme="majorEastAsia" w:hAnsiTheme="majorHAnsi" w:cstheme="majorBidi" w:ascii="Source Sans 3" w:hAnsi="Source Sans 3" w:cs="Source Sans 3" w:eastAsia="Source Sans 3"/>
      <w:b/>
      <w:bCs/>
      <w:i w:val="0"/>
      <w:iCs/>
      <w:color w:val="2F7D5C"/>
      <w:sz w:val="2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60" w:line="240" w:lineRule="auto"/>
      <w:contextualSpacing/>
      <w:jc w:val="center"/>
    </w:pPr>
    <w:rPr>
      <w:rFonts w:asciiTheme="majorHAnsi" w:eastAsiaTheme="majorEastAsia" w:hAnsiTheme="majorHAnsi" w:cstheme="majorBidi" w:ascii="Playfair Display" w:hAnsi="Playfair Display" w:cs="Playfair Display" w:eastAsia="Playfair Display"/>
      <w:b w:val="0"/>
      <w:i w:val="0"/>
      <w:color w:val="0B1020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240"/>
      <w:jc w:val="center"/>
    </w:pPr>
    <w:rPr>
      <w:rFonts w:asciiTheme="majorHAnsi" w:eastAsiaTheme="majorEastAsia" w:hAnsiTheme="majorHAnsi" w:cstheme="majorBidi" w:ascii="Playfair Display" w:hAnsi="Playfair Display" w:cs="Merriweather" w:eastAsia="Playfair Display"/>
      <w:b w:val="0"/>
      <w:i w:val="0"/>
      <w:iCs/>
      <w:color w:val="0B1020"/>
      <w:spacing w:val="15"/>
      <w:sz w:val="28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40"/>
      <w:ind w:left="340"/>
      <w:contextualSpacing/>
    </w:pPr>
    <w:rPr>
      <w:rFonts w:ascii="Merriweather" w:hAnsi="Merriweather" w:cs="Merriweather" w:eastAsia="Merriweather"/>
      <w:b w:val="0"/>
      <w:i w:val="0"/>
      <w:color w:val="22242C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rFonts w:ascii="Merriweather" w:hAnsi="Merriweather" w:eastAsia="Merriweather"/>
      <w:i/>
      <w:iCs/>
      <w:color w:val="2F7D5C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Source Sans 3" w:hAnsi="Source Sans 3" w:eastAsia="Source Sans 3"/>
      <w:b/>
      <w:bCs/>
      <w:color w:val="2F7D5C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WÖkDokumenttyp">
    <w:name w:val="WÖk Dokumenttyp"/>
    <w:pPr>
      <w:spacing w:after="80" w:line="264" w:lineRule="auto"/>
      <w:jc w:val="center"/>
    </w:pPr>
    <w:rPr>
      <w:rFonts w:ascii="Source Sans 3" w:hAnsi="Source Sans 3" w:cs="Source Sans 3" w:eastAsia="Source Sans 3"/>
      <w:b/>
      <w:i w:val="0"/>
      <w:color w:val="C89B3C"/>
      <w:sz w:val="22"/>
    </w:rPr>
  </w:style>
  <w:style w:type="paragraph" w:customStyle="1" w:styleId="WÖkDeckblattMeta">
    <w:name w:val="WÖk Deckblatt Meta"/>
    <w:pPr>
      <w:spacing w:after="80" w:line="264" w:lineRule="auto"/>
      <w:jc w:val="center"/>
    </w:pPr>
    <w:rPr>
      <w:rFonts w:ascii="Source Sans 3" w:hAnsi="Source Sans 3" w:cs="Source Sans 3" w:eastAsia="Source Sans 3"/>
      <w:b w:val="0"/>
      <w:i w:val="0"/>
      <w:color w:val="22242C"/>
      <w:sz w:val="17"/>
    </w:rPr>
  </w:style>
  <w:style w:type="paragraph" w:customStyle="1" w:styleId="WÖkLead">
    <w:name w:val="WÖk Lead"/>
    <w:pPr>
      <w:spacing w:after="240" w:line="264" w:lineRule="auto"/>
    </w:pPr>
    <w:rPr>
      <w:rFonts w:ascii="Merriweather" w:hAnsi="Merriweather" w:cs="Merriweather" w:eastAsia="Merriweather"/>
      <w:b w:val="0"/>
      <w:i w:val="0"/>
      <w:color w:val="0B1020"/>
      <w:sz w:val="24"/>
    </w:rPr>
  </w:style>
  <w:style w:type="paragraph" w:customStyle="1" w:styleId="WÖkMetadatenLabel">
    <w:name w:val="WÖk Metadaten Label"/>
    <w:pPr>
      <w:spacing w:after="80" w:line="264" w:lineRule="auto"/>
    </w:pPr>
    <w:rPr>
      <w:rFonts w:ascii="Source Sans 3" w:hAnsi="Source Sans 3" w:cs="Source Sans 3" w:eastAsia="Source Sans 3"/>
      <w:b/>
      <w:i w:val="0"/>
      <w:color w:val="0B1020"/>
      <w:sz w:val="16"/>
    </w:rPr>
  </w:style>
  <w:style w:type="paragraph" w:customStyle="1" w:styleId="WÖkMetadatenWert">
    <w:name w:val="WÖk Metadaten Wert"/>
    <w:pPr>
      <w:spacing w:after="80" w:line="264" w:lineRule="auto"/>
    </w:pPr>
    <w:rPr>
      <w:rFonts w:ascii="Source Sans 3" w:hAnsi="Source Sans 3" w:cs="Source Sans 3" w:eastAsia="Source Sans 3"/>
      <w:b w:val="0"/>
      <w:i w:val="0"/>
      <w:color w:val="22242C"/>
      <w:sz w:val="18"/>
    </w:rPr>
  </w:style>
  <w:style w:type="paragraph" w:customStyle="1" w:styleId="WÖkLeitformel">
    <w:name w:val="WÖk Leitformel"/>
    <w:pPr>
      <w:spacing w:after="80" w:line="264" w:lineRule="auto"/>
    </w:pPr>
    <w:rPr>
      <w:rFonts w:ascii="Merriweather" w:hAnsi="Merriweather" w:cs="Merriweather" w:eastAsia="Merriweather"/>
      <w:b w:val="0"/>
      <w:i/>
      <w:color w:val="0B1020"/>
      <w:sz w:val="21"/>
    </w:rPr>
  </w:style>
  <w:style w:type="paragraph" w:customStyle="1" w:styleId="WÖkHinweisbox">
    <w:name w:val="WÖk Hinweisbox"/>
    <w:pPr>
      <w:spacing w:after="80" w:line="264" w:lineRule="auto"/>
    </w:pPr>
    <w:rPr>
      <w:rFonts w:ascii="Source Sans 3" w:hAnsi="Source Sans 3" w:cs="Source Sans 3" w:eastAsia="Source Sans 3"/>
      <w:b w:val="0"/>
      <w:i w:val="0"/>
      <w:color w:val="22242C"/>
      <w:sz w:val="19"/>
    </w:rPr>
  </w:style>
  <w:style w:type="paragraph" w:customStyle="1" w:styleId="WÖkQuote">
    <w:name w:val="WÖk Quote"/>
    <w:pPr>
      <w:spacing w:after="160" w:line="264" w:lineRule="auto" w:before="160"/>
      <w:ind w:left="340" w:right="340"/>
    </w:pPr>
    <w:rPr>
      <w:rFonts w:ascii="Merriweather" w:hAnsi="Merriweather" w:cs="Merriweather" w:eastAsia="Merriweather"/>
      <w:b w:val="0"/>
      <w:i/>
      <w:color w:val="0B1020"/>
      <w:sz w:val="22"/>
    </w:rPr>
  </w:style>
  <w:style w:type="paragraph" w:customStyle="1" w:styleId="WÖkTabellenkopf">
    <w:name w:val="WÖk Tabellenkopf"/>
    <w:pPr>
      <w:spacing w:after="80" w:line="264" w:lineRule="auto"/>
    </w:pPr>
    <w:rPr>
      <w:rFonts w:ascii="Source Sans 3" w:hAnsi="Source Sans 3" w:cs="Source Sans 3" w:eastAsia="Source Sans 3"/>
      <w:b/>
      <w:i w:val="0"/>
      <w:color w:val="0B1020"/>
      <w:sz w:val="17"/>
    </w:rPr>
  </w:style>
  <w:style w:type="paragraph" w:customStyle="1" w:styleId="WÖkTabellenzelle">
    <w:name w:val="WÖk Tabellenzelle"/>
    <w:pPr>
      <w:spacing w:after="80" w:line="264" w:lineRule="auto"/>
    </w:pPr>
    <w:rPr>
      <w:rFonts w:ascii="Source Sans 3" w:hAnsi="Source Sans 3" w:cs="Source Sans 3" w:eastAsia="Source Sans 3"/>
      <w:b w:val="0"/>
      <w:i w:val="0"/>
      <w:color w:val="22242C"/>
      <w:sz w:val="17"/>
    </w:rPr>
  </w:style>
  <w:style w:type="paragraph" w:customStyle="1" w:styleId="WÖkFußzeile">
    <w:name w:val="WÖk Fußzeile"/>
    <w:pPr>
      <w:spacing w:after="80" w:line="264" w:lineRule="auto"/>
    </w:pPr>
    <w:rPr>
      <w:rFonts w:ascii="Source Sans 3" w:hAnsi="Source Sans 3" w:cs="Source Sans 3" w:eastAsia="Source Sans 3"/>
      <w:b w:val="0"/>
      <w:i w:val="0"/>
      <w:color w:val="22242C"/>
      <w:sz w:val="15"/>
    </w:rPr>
  </w:style>
  <w:style w:type="paragraph" w:customStyle="1" w:styleId="WÖkKleindruck">
    <w:name w:val="WÖk Kleindruck"/>
    <w:pPr>
      <w:spacing w:after="40" w:line="264" w:lineRule="auto"/>
    </w:pPr>
    <w:rPr>
      <w:rFonts w:ascii="Source Sans 3" w:hAnsi="Source Sans 3" w:cs="Source Sans 3" w:eastAsia="Source Sans 3"/>
      <w:b w:val="0"/>
      <w:i w:val="0"/>
      <w:color w:val="22242C"/>
      <w:sz w:val="15"/>
    </w:rPr>
  </w:style>
  <w:style w:type="paragraph" w:customStyle="1" w:styleId="WÖkCaption">
    <w:name w:val="WÖk Caption"/>
    <w:pPr>
      <w:spacing w:after="80" w:line="264" w:lineRule="auto"/>
    </w:pPr>
    <w:rPr>
      <w:rFonts w:ascii="Source Sans 3" w:hAnsi="Source Sans 3" w:cs="Source Sans 3" w:eastAsia="Source Sans 3"/>
      <w:b w:val="0"/>
      <w:i/>
      <w:color w:val="22242C"/>
      <w:sz w:val="16"/>
    </w:rPr>
  </w:style>
  <w:style w:type="paragraph" w:customStyle="1" w:styleId="TableText">
    <w:name w:val="Table Text"/>
    <w:rPr>
      <w:rFonts w:ascii="Source Sans 3" w:hAnsi="Source Sans 3" w:eastAsia="Source Sans 3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WÖk Dossier- und Konzeptpapier-Template</dc:title>
  <dc:subject>Word-Template für Arbeitspapiere, Konzepte und Dossiers</dc:subject>
  <dc:creator>Natalie Weber / Wirkungsökonomie</dc:creator>
  <cp:keywords>Wirkungsökonomie, WÖk, Dossier, Konzeptpapier, Arbeitspapier, Codex, Template</cp:keywords>
  <dc:description>Template mit Inhaltsschutz: nur Layout vereinheitlichen, Inhalte nicht ändern.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