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WIRKUNGSÖKONOMIE Wirkung statt Kapital. Für Mensch, Planet und Demokratie.</w:t>
            </w:r>
          </w:p>
        </w:tc>
        <w:tc>
          <w:tcPr>
            <w:tcW w:type="dxa" w:w="4762"/>
            <w:shd w:fill="F6F1E8"/>
          </w:tcPr>
          <w:p>
            <w:pPr>
              <w:pStyle w:val="TableText"/>
            </w:pPr>
            <w:r>
              <w:rPr>
                <w:rFonts w:ascii="Source Sans 3" w:hAnsi="Source Sans 3" w:eastAsia="Source Sans 3"/>
                <w:b/>
                <w:color w:val="0B1020"/>
                <w:sz w:val="18"/>
              </w:rPr>
              <w:t>Detailkonzepte v0.1 · Diskussionsfassung Stand: Mai 2026</w:t>
            </w:r>
          </w:p>
        </w:tc>
      </w:tr>
    </w:tbl>
    <w:p>
      <w:pPr>
        <w:pStyle w:val="Heading2"/>
      </w:pPr>
      <w:r>
        <w:t>Bildung &amp; Wirkungsschule</w:t>
      </w:r>
    </w:p>
    <w:p>
      <w:pPr>
        <w:pStyle w:val="Heading2"/>
      </w:pPr>
      <w:r>
        <w:t>Umfangreiche Unterkonzepte für Portal, Arbeitsbibliothek und Online-Volltext</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Autorin</w:t>
            </w:r>
          </w:p>
        </w:tc>
        <w:tc>
          <w:tcPr>
            <w:tcW w:type="dxa" w:w="4762"/>
            <w:shd w:fill="F6F1E8"/>
          </w:tcPr>
          <w:p>
            <w:pPr>
              <w:pStyle w:val="TableText"/>
            </w:pPr>
            <w:r>
              <w:rPr>
                <w:rFonts w:ascii="Source Sans 3" w:hAnsi="Source Sans 3" w:eastAsia="Source Sans 3"/>
                <w:b/>
                <w:color w:val="0B1020"/>
                <w:sz w:val="18"/>
              </w:rPr>
              <w:t>Natalie Weber</w:t>
            </w:r>
          </w:p>
        </w:tc>
      </w:tr>
      <w:tr>
        <w:tc>
          <w:tcPr>
            <w:tcW w:type="dxa" w:w="4762"/>
          </w:tcPr>
          <w:p>
            <w:pPr>
              <w:pStyle w:val="TableText"/>
            </w:pPr>
            <w:r>
              <w:t>Referenz</w:t>
            </w:r>
          </w:p>
        </w:tc>
        <w:tc>
          <w:tcPr>
            <w:tcW w:type="dxa" w:w="4762"/>
          </w:tcPr>
          <w:p>
            <w:pPr>
              <w:pStyle w:val="TableText"/>
            </w:pPr>
            <w:r>
              <w:t>Wirkungsökonomie</w:t>
            </w:r>
          </w:p>
        </w:tc>
      </w:tr>
      <w:tr>
        <w:tc>
          <w:tcPr>
            <w:tcW w:type="dxa" w:w="4762"/>
          </w:tcPr>
          <w:p>
            <w:pPr>
              <w:pStyle w:val="TableText"/>
            </w:pPr>
            <w:r>
              <w:t>Geltung</w:t>
            </w:r>
          </w:p>
        </w:tc>
        <w:tc>
          <w:tcPr>
            <w:tcW w:type="dxa" w:w="4762"/>
          </w:tcPr>
          <w:p>
            <w:pPr>
              <w:pStyle w:val="TableText"/>
            </w:pPr>
            <w:r>
              <w:t>Öffentliche Konzept- und Dossierfassung.</w:t>
            </w:r>
          </w:p>
        </w:tc>
      </w:tr>
      <w:tr>
        <w:tc>
          <w:tcPr>
            <w:tcW w:type="dxa" w:w="4762"/>
          </w:tcPr>
          <w:p>
            <w:pPr>
              <w:pStyle w:val="TableText"/>
            </w:pPr>
            <w:r>
              <w:t>Leitformel</w:t>
            </w:r>
          </w:p>
        </w:tc>
        <w:tc>
          <w:tcPr>
            <w:tcW w:type="dxa" w:w="4762"/>
          </w:tcPr>
          <w:p>
            <w:pPr>
              <w:pStyle w:val="TableText"/>
            </w:pPr>
            <w:r>
              <w:t>Wirkung ist neutral und relational. Bewertet wird am Referenzrahmen SDGs, Agenda 2030 und SDG+. Ziel ist positive Netto-Wirkung für Mensch, Planet und Demokratie.</w:t>
            </w:r>
          </w:p>
        </w:tc>
      </w:tr>
    </w:tbl>
    <w:tbl>
      <w:tblPr>
        <w:tblStyle w:val="TableGrid"/>
        <w:tblW w:type="auto" w:w="0"/>
        <w:tblLook w:firstColumn="1" w:firstRow="1" w:lastColumn="0" w:lastRow="0" w:noHBand="0" w:noVBand="1" w:val="04A0"/>
      </w:tblPr>
      <w:tblGrid>
        <w:gridCol w:w="9524"/>
      </w:tblGrid>
      <w:tr>
        <w:tc>
          <w:tcPr>
            <w:tcW w:type="dxa" w:w="9524"/>
            <w:shd w:fill="F6F1E8"/>
          </w:tcPr>
          <w:p>
            <w:pPr>
              <w:pStyle w:val="TableText"/>
            </w:pPr>
            <w:r>
              <w:rPr>
                <w:rFonts w:ascii="Source Sans 3" w:hAnsi="Source Sans 3" w:eastAsia="Source Sans 3"/>
                <w:b/>
                <w:color w:val="0B1020"/>
                <w:sz w:val="18"/>
              </w:rPr>
              <w:t>Publikationsstandard Dieses Dokument bündelt die umfangreichen Detailkonzepte der Unterbereiche.</w:t>
            </w:r>
          </w:p>
        </w:tc>
      </w:tr>
    </w:tbl>
    <w:p>
      <w:pPr>
        <w:pStyle w:val="Heading1"/>
      </w:pPr>
      <w:r>
        <w:t>1. Bildung als Wirkungsinfrastruktur</w:t>
      </w:r>
    </w:p>
    <w:p>
      <w:pPr/>
      <w:r>
        <w:t>Bildung ist kein Kostenblock, sondern Prävention, Resilienz und Systemleistung.</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Bildung als Wirkungsinfrastruktur bedeutet das: Die bestehende Praxis braucht eine zusätzliche Wirkungslogik, die Fehlsteuerung sichtbar macht, ohne Menschen zu beschämen.</w:t>
      </w:r>
    </w:p>
    <w:p>
      <w:pPr>
        <w:pStyle w:val="Heading2"/>
      </w:pPr>
      <w:r>
        <w:t>2. Wirkungsökonomischer Perspektivwechsel</w:t>
      </w:r>
    </w:p>
    <w:p>
      <w:pPr/>
      <w:r>
        <w:t>Wirkungsökonomisch wird Bildung als Wirkungsinfrastruktur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Problem der alten Logik</w:t>
      </w:r>
    </w:p>
    <w:p>
      <w:pPr/>
      <w:r>
        <w:t>Der Baustein „Problem der alten Logik“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Wirkungsökonomischer Perspektivwechsel</w:t>
      </w:r>
    </w:p>
    <w:p>
      <w:pPr/>
      <w:r>
        <w:t>Der Baustein „Wirkungsökonomischer Perspektivwechsel“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Wirkungsindikatoren und WÖk-IDs</w:t>
      </w:r>
    </w:p>
    <w:p>
      <w:pPr/>
      <w:r>
        <w:t>Der Baustein „Wirkungsindikatoren und WÖk-IDs“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Politische Anschlussfähigkeit</w:t>
      </w:r>
    </w:p>
    <w:p>
      <w:pPr/>
      <w:r>
        <w:t>Der Baustein „Politische Anschlussfähigkeit“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Praxis und Pilotierung</w:t>
      </w:r>
    </w:p>
    <w:p>
      <w:pPr/>
      <w:r>
        <w:t>Der Baustein „Praxis und Pilotierung“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Bildung ist kein Kostenblock, sondern Prävention, Resilienz und Systemleistung.</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Bildungswirkungsindex / BWK und Bildungs-Wirkungshaushalt.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pStyle w:val="Heading2"/>
      </w:pPr>
      <w:r>
        <w:t>SDG 4, 3, 5, 8, 10, 11, 16, 17; SDG+ Demokratie, Medienqualität, digitale Selbstbestimmung</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2. Die Wirkungsschule</w:t>
      </w:r>
    </w:p>
    <w:p>
      <w:pPr/>
      <w:r>
        <w:t>Schule wird als Wirkungsraum gestaltet: Unterricht, Bewertung, Raum, Beziehung, Förderung und Demokratiepraxis wirken zusammen.</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Die Wirkungsschule bedeutet das: Die bestehende Praxis braucht eine zusätzliche Wirkungslogik, die Fehlsteuerung sichtbar macht, ohne Menschen zu beschämen.</w:t>
      </w:r>
    </w:p>
    <w:p>
      <w:pPr>
        <w:pStyle w:val="Heading2"/>
      </w:pPr>
      <w:r>
        <w:t>2. Wirkungsökonomischer Perspektivwechsel</w:t>
      </w:r>
    </w:p>
    <w:p>
      <w:pPr/>
      <w:r>
        <w:t>Wirkungsökonomisch wird Die Wirkungsschule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Leitbild</w:t>
      </w:r>
    </w:p>
    <w:p>
      <w:pPr/>
      <w:r>
        <w:t>Der Baustein „Leitbild“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Curriculum</w:t>
      </w:r>
    </w:p>
    <w:p>
      <w:pPr/>
      <w:r>
        <w:t>Der Baustein „Curriculum“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Organisation</w:t>
      </w:r>
    </w:p>
    <w:p>
      <w:pPr/>
      <w:r>
        <w:t>Der Baustein „Organisation“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Lernräume</w:t>
      </w:r>
    </w:p>
    <w:p>
      <w:pPr/>
      <w:r>
        <w:t>Der Baustein „Lernräume“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Pilotmodell</w:t>
      </w:r>
    </w:p>
    <w:p>
      <w:pPr/>
      <w:r>
        <w:t>Der Baustein „Pilotmodell“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Schule wird als Wirkungsraum gestaltet: Unterricht, Bewertung, Raum, Beziehung, Förderung und Demokratiepraxis wirken zusammen.</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Wirkungsschule-Check und Schulprofil-Konfigurator.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pStyle w:val="Heading2"/>
      </w:pPr>
      <w:r>
        <w:t>SDG 4, 10, 11, 16, SDG+ institutionelles Vertrauen</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3. Wirkungspädagogik</w:t>
      </w:r>
    </w:p>
    <w:p>
      <w:pPr/>
      <w:r>
        <w:t>Unterricht wird nicht als Stofftransport, sondern als Gestaltung von Fragen, Beziehungen, Resonanz, Fehlerkultur und Verantwortung verstanden.</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Wirkungspädagogik bedeutet das: Die bestehende Praxis braucht eine zusätzliche Wirkungslogik, die Fehlsteuerung sichtbar macht, ohne Menschen zu beschämen.</w:t>
      </w:r>
    </w:p>
    <w:p>
      <w:pPr>
        <w:pStyle w:val="Heading2"/>
      </w:pPr>
      <w:r>
        <w:t>2. Wirkungsökonomischer Perspektivwechsel</w:t>
      </w:r>
    </w:p>
    <w:p>
      <w:pPr/>
      <w:r>
        <w:t>Wirkungsökonomisch wird Wirkungspädagogik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Haltung</w:t>
      </w:r>
    </w:p>
    <w:p>
      <w:pPr/>
      <w:r>
        <w:t>Der Baustein „Haltung“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Didaktik</w:t>
      </w:r>
    </w:p>
    <w:p>
      <w:pPr/>
      <w:r>
        <w:t>Der Baustein „Didaktik“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Feedback</w:t>
      </w:r>
    </w:p>
    <w:p>
      <w:pPr/>
      <w:r>
        <w:t>Der Baustein „Feedback“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Projektlernen</w:t>
      </w:r>
    </w:p>
    <w:p>
      <w:pPr/>
      <w:r>
        <w:t>Der Baustein „Projektlernen“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Schutz vor Beschämung</w:t>
      </w:r>
    </w:p>
    <w:p>
      <w:pPr/>
      <w:r>
        <w:t>Der Baustein „Schutz vor Beschämung“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Unterricht wird nicht als Stofftransport, sondern als Gestaltung von Fragen, Beziehungen, Resonanz, Fehlerkultur und Verantwortung verstanden.</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Unterrichts-Wirkungsreflexion.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pStyle w:val="Heading2"/>
      </w:pPr>
      <w:r>
        <w:t>SDG 4, 3, 10, 16</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4. Fächer neu denken und vernetzen</w:t>
      </w:r>
    </w:p>
    <w:p>
      <w:pPr/>
      <w:r>
        <w:t>Fächer verschwinden nicht; sie werden zu Perspektiven auf gemeinsame Wirkungsfragen verbunden.</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Fächer neu denken und vernetzen bedeutet das: Die bestehende Praxis braucht eine zusätzliche Wirkungslogik, die Fehlsteuerung sichtbar macht, ohne Menschen zu beschämen.</w:t>
      </w:r>
    </w:p>
    <w:p>
      <w:pPr>
        <w:pStyle w:val="Heading2"/>
      </w:pPr>
      <w:r>
        <w:t>2. Wirkungsökonomischer Perspektivwechsel</w:t>
      </w:r>
    </w:p>
    <w:p>
      <w:pPr/>
      <w:r>
        <w:t>Wirkungsökonomisch wird Fächer neu denken und vernetzen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Fächer als Wirkungsperspektiven</w:t>
      </w:r>
    </w:p>
    <w:p>
      <w:pPr/>
      <w:r>
        <w:t>Der Baustein „Fächer als Wirkungsperspektiven“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Mathe und Daten</w:t>
      </w:r>
    </w:p>
    <w:p>
      <w:pPr/>
      <w:r>
        <w:t>Der Baustein „Mathe und Daten“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Sprache und Resonanz</w:t>
      </w:r>
    </w:p>
    <w:p>
      <w:pPr/>
      <w:r>
        <w:t>Der Baustein „Sprache und Resonanz“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Geschichte als Wirkungsgeschichte</w:t>
      </w:r>
    </w:p>
    <w:p>
      <w:pPr/>
      <w:r>
        <w:t>Der Baustein „Geschichte als Wirkungsgeschichte“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Naturwissenschaften und Planet</w:t>
      </w:r>
    </w:p>
    <w:p>
      <w:pPr/>
      <w:r>
        <w:t>Der Baustein „Naturwissenschaften und Planet“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Kunst, Kultur und Ausdruck</w:t>
      </w:r>
    </w:p>
    <w:p>
      <w:pPr/>
      <w:r>
        <w:t>Der Baustein „Kunst, Kultur und Ausdruck“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Fächer verschwinden nicht; sie werden zu Perspektiven auf gemeinsame Wirkungsfragen verbunden.</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Fächervernetzungs-Matrix.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pStyle w:val="Heading2"/>
      </w:pPr>
      <w:r>
        <w:t>SDG 4, 9, 12, 13, 16</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5. Fach oder Lernfeld Zukunft</w:t>
      </w:r>
    </w:p>
    <w:p>
      <w:pPr/>
      <w:r>
        <w:t>Zukunft wird als verbindender Wirkungsraum gelernt: Systemdenken, Mensch-Planet-Demokratie, Risiko, Wirtschaft und Wirkung, Kommunikation, Projekt und Teilgabe.</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Fach oder Lernfeld Zukunft bedeutet das: Die bestehende Praxis braucht eine zusätzliche Wirkungslogik, die Fehlsteuerung sichtbar macht, ohne Menschen zu beschämen.</w:t>
      </w:r>
    </w:p>
    <w:p>
      <w:pPr>
        <w:pStyle w:val="Heading2"/>
      </w:pPr>
      <w:r>
        <w:t>2. Wirkungsökonomischer Perspektivwechsel</w:t>
      </w:r>
    </w:p>
    <w:p>
      <w:pPr/>
      <w:r>
        <w:t>Wirkungsökonomisch wird Fach oder Lernfeld Zukunft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Sechs Module</w:t>
      </w:r>
    </w:p>
    <w:p>
      <w:pPr/>
      <w:r>
        <w:t>Der Baustein „Sechs Module“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Beispielprojekte</w:t>
      </w:r>
    </w:p>
    <w:p>
      <w:pPr/>
      <w:r>
        <w:t>Der Baustein „Beispielprojekte“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Leistungsnachweise</w:t>
      </w:r>
    </w:p>
    <w:p>
      <w:pPr/>
      <w:r>
        <w:t>Der Baustein „Leistungsnachweise“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Demokratischer Streit</w:t>
      </w:r>
    </w:p>
    <w:p>
      <w:pPr/>
      <w:r>
        <w:t>Der Baustein „Demokratischer Streit“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BNE und SDG 4.7</w:t>
      </w:r>
    </w:p>
    <w:p>
      <w:pPr/>
      <w:r>
        <w:t>Der Baustein „BNE und SDG 4.7“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Zukunft wird als verbindender Wirkungsraum gelernt: Systemdenken, Mensch-Planet-Demokratie, Risiko, Wirtschaft und Wirkung, Kommunikation, Projekt und Teilgabe.</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Fach-Zukunft-Modulgenerator.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r>
        <w:t>SDG 4.7, 13, 16, 17; SDG+ Diskursfähigkeit</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6. Bewertung, Noten und Wirkungsportfolio</w:t>
      </w:r>
    </w:p>
    <w:p>
      <w:pPr/>
      <w:r>
        <w:t>Noten können Orientierung geben, dürfen aber nicht das einzige Bild von Leistung bleiben.</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Bewertung, Noten und Wirkungsportfolio bedeutet das: Die bestehende Praxis braucht eine zusätzliche Wirkungslogik, die Fehlsteuerung sichtbar macht, ohne Menschen zu beschämen.</w:t>
      </w:r>
    </w:p>
    <w:p>
      <w:pPr>
        <w:pStyle w:val="Heading2"/>
      </w:pPr>
      <w:r>
        <w:t>2. Wirkungsökonomischer Perspektivwechsel</w:t>
      </w:r>
    </w:p>
    <w:p>
      <w:pPr/>
      <w:r>
        <w:t>Wirkungsökonomisch wird Bewertung, Noten und Wirkungsportfolio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Grenzen der Ziffernnote</w:t>
      </w:r>
    </w:p>
    <w:p>
      <w:pPr/>
      <w:r>
        <w:t>Der Baustein „Grenzen der Ziffernnote“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Kompetenzprofile</w:t>
      </w:r>
    </w:p>
    <w:p>
      <w:pPr/>
      <w:r>
        <w:t>Der Baustein „Kompetenzprofile“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Portfolio</w:t>
      </w:r>
    </w:p>
    <w:p>
      <w:pPr/>
      <w:r>
        <w:t>Der Baustein „Portfolio“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Projektwirkung</w:t>
      </w:r>
    </w:p>
    <w:p>
      <w:pPr/>
      <w:r>
        <w:t>Der Baustein „Projektwirkung“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Rechtliche Übergänge</w:t>
      </w:r>
    </w:p>
    <w:p>
      <w:pPr/>
      <w:r>
        <w:t>Der Baustein „Rechtliche Übergänge“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Noten können Orientierung geben, dürfen aber nicht das einzige Bild von Leistung bleiben.</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Wirkungsportfolio und Kompetenzprofil-Generator.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pStyle w:val="Heading2"/>
      </w:pPr>
      <w:r>
        <w:t>SDG 4, 10, 16</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7. Wirkungsförderung</w:t>
      </w:r>
    </w:p>
    <w:p>
      <w:pPr/>
      <w:r>
        <w:t>Förderung beginnt nicht erst beim Scheitern. Sie verbindet Prävention, Potenzialentfaltung, Lernförderung, Mentoring und außerschulische Unterstützung.</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Wirkungsförderung bedeutet das: Die bestehende Praxis braucht eine zusätzliche Wirkungslogik, die Fehlsteuerung sichtbar macht, ohne Menschen zu beschämen.</w:t>
      </w:r>
    </w:p>
    <w:p>
      <w:pPr>
        <w:pStyle w:val="Heading2"/>
      </w:pPr>
      <w:r>
        <w:t>2. Wirkungsökonomischer Perspektivwechsel</w:t>
      </w:r>
    </w:p>
    <w:p>
      <w:pPr/>
      <w:r>
        <w:t>Wirkungsökonomisch wird Wirkungsförderung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Defizitlogik überwinden</w:t>
      </w:r>
    </w:p>
    <w:p>
      <w:pPr/>
      <w:r>
        <w:t>Der Baustein „Defizitlogik überwinden“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Bildungswirkungsbudget</w:t>
      </w:r>
    </w:p>
    <w:p>
      <w:pPr/>
      <w:r>
        <w:t>Der Baustein „Bildungswirkungsbudget“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Lernwirkungsfonds</w:t>
      </w:r>
    </w:p>
    <w:p>
      <w:pPr/>
      <w:r>
        <w:t>Der Baustein „Lernwirkungsfonds“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Diagnose und Bedarf</w:t>
      </w:r>
    </w:p>
    <w:p>
      <w:pPr/>
      <w:r>
        <w:t>Der Baustein „Diagnose und Bedarf“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Schutz vor Stigmatisierung</w:t>
      </w:r>
    </w:p>
    <w:p>
      <w:pPr/>
      <w:r>
        <w:t>Der Baustein „Schutz vor Stigmatisierung“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Förderung beginnt nicht erst beim Scheitern. Sie verbindet Prävention, Potenzialentfaltung, Lernförderung, Mentoring und außerschulische Unterstützung.</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Wirkungsförderungs-Check und Bildungswirkungsbudget-Demo.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pStyle w:val="Heading2"/>
      </w:pPr>
      <w:r>
        <w:t>SDG 4, 1, 3, 10, 16</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8. Digitale Mündigkeit und KI-Kompetenz</w:t>
      </w:r>
    </w:p>
    <w:p>
      <w:pPr/>
      <w:r>
        <w:t>Digitale Bildung ist nicht Geräteausstattung, sondern Urteilskraft über Daten, Plattformen, KI, Aufmerksamkeit und Manipulation.</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Digitale Mündigkeit und KI-Kompetenz bedeutet das: Die bestehende Praxis braucht eine zusätzliche Wirkungslogik, die Fehlsteuerung sichtbar macht, ohne Menschen zu beschämen.</w:t>
      </w:r>
    </w:p>
    <w:p>
      <w:pPr>
        <w:pStyle w:val="Heading2"/>
      </w:pPr>
      <w:r>
        <w:t>2. Wirkungsökonomischer Perspektivwechsel</w:t>
      </w:r>
    </w:p>
    <w:p>
      <w:pPr/>
      <w:r>
        <w:t>Wirkungsökonomisch wird Digitale Mündigkeit und KI-Kompetenz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Daten und Plattformen</w:t>
      </w:r>
    </w:p>
    <w:p>
      <w:pPr/>
      <w:r>
        <w:t>Der Baustein „Daten und Plattformen“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KI verstehen</w:t>
      </w:r>
    </w:p>
    <w:p>
      <w:pPr/>
      <w:r>
        <w:t>Der Baustein „KI verstehen“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Algorithmische Verstärkung</w:t>
      </w:r>
    </w:p>
    <w:p>
      <w:pPr/>
      <w:r>
        <w:t>Der Baustein „Algorithmische Verstärkung“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digitale Selbstbestimmung</w:t>
      </w:r>
    </w:p>
    <w:p>
      <w:pPr/>
      <w:r>
        <w:t>Der Baustein „digitale Selbstbestimmung“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Datenschutz und Lernanalytik</w:t>
      </w:r>
    </w:p>
    <w:p>
      <w:pPr/>
      <w:r>
        <w:t>Der Baustein „Datenschutz und Lernanalytik“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Digitale Bildung ist nicht Geräteausstattung, sondern Urteilskraft über Daten, Plattformen, KI, Aufmerksamkeit und Manipulation.</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Digitale-Mündigkeit-Check.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pStyle w:val="Heading2"/>
      </w:pPr>
      <w:r>
        <w:t>SDG 4, 9, 16, SDG+ digitale Selbstbestimmung</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9. Demokratie-, Medien- und Wirkungskompetenz</w:t>
      </w:r>
    </w:p>
    <w:p>
      <w:pPr/>
      <w:r>
        <w:t>Demokratie wird nicht nur erklärt, sondern als Wirkungsraum praktiziert.</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Demokratie-, Medien- und Wirkungskompetenz bedeutet das: Die bestehende Praxis braucht eine zusätzliche Wirkungslogik, die Fehlsteuerung sichtbar macht, ohne Menschen zu beschämen.</w:t>
      </w:r>
    </w:p>
    <w:p>
      <w:pPr>
        <w:pStyle w:val="Heading2"/>
      </w:pPr>
      <w:r>
        <w:t>2. Wirkungsökonomischer Perspektivwechsel</w:t>
      </w:r>
    </w:p>
    <w:p>
      <w:pPr/>
      <w:r>
        <w:t>Wirkungsökonomisch wird Demokratie-, Medien- und Wirkungskompetenz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Streitfähigkeit</w:t>
      </w:r>
    </w:p>
    <w:p>
      <w:pPr/>
      <w:r>
        <w:t>Der Baustein „Streitfähigkeit“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Medienqualität</w:t>
      </w:r>
    </w:p>
    <w:p>
      <w:pPr/>
      <w:r>
        <w:t>Der Baustein „Medienqualität“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Narrativanalyse</w:t>
      </w:r>
    </w:p>
    <w:p>
      <w:pPr/>
      <w:r>
        <w:t>Der Baustein „Narrativanalyse“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Machtmechanismen</w:t>
      </w:r>
    </w:p>
    <w:p>
      <w:pPr/>
      <w:r>
        <w:t>Der Baustein „Machtmechanismen“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Schulparlament und Beteiligung</w:t>
      </w:r>
    </w:p>
    <w:p>
      <w:pPr/>
      <w:r>
        <w:t>Der Baustein „Schulparlament und Beteiligung“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Demokratie wird nicht nur erklärt, sondern als Wirkungsraum praktiziert.</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Demokratie- und Diskursqualitätscheck.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pStyle w:val="Heading2"/>
      </w:pPr>
      <w:r>
        <w:t>SDG 16, 4, 17; SDG+ Demokratie, Medienqualität, Diskursfähigkeit</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10. Schule als Lebens-, Gesundheits- und Wirkungsraum</w:t>
      </w:r>
    </w:p>
    <w:p>
      <w:pPr/>
      <w:r>
        <w:t>Gebäude, Zeit, Pausen, Ernährung, Bewegung, Sicherheit, Lärm, Licht und Beziehung wirken auf Lernen.</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Schule als Lebens-, Gesundheits- und Wirkungsraum bedeutet das: Die bestehende Praxis braucht eine zusätzliche Wirkungslogik, die Fehlsteuerung sichtbar macht, ohne Menschen zu beschämen.</w:t>
      </w:r>
    </w:p>
    <w:p>
      <w:pPr>
        <w:pStyle w:val="Heading2"/>
      </w:pPr>
      <w:r>
        <w:t>2. Wirkungsökonomischer Perspektivwechsel</w:t>
      </w:r>
    </w:p>
    <w:p>
      <w:pPr/>
      <w:r>
        <w:t>Wirkungsökonomisch wird Schule als Lebens-, Gesundheits- und Wirkungsraum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Raumwirkung</w:t>
      </w:r>
    </w:p>
    <w:p>
      <w:pPr/>
      <w:r>
        <w:t>Der Baustein „Raumwirkung“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Zeitstruktur</w:t>
      </w:r>
    </w:p>
    <w:p>
      <w:pPr/>
      <w:r>
        <w:t>Der Baustein „Zeitstruktur“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Gesundheit und Stress</w:t>
      </w:r>
    </w:p>
    <w:p>
      <w:pPr/>
      <w:r>
        <w:t>Der Baustein „Gesundheit und Stress“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Ernährung und Bewegung</w:t>
      </w:r>
    </w:p>
    <w:p>
      <w:pPr/>
      <w:r>
        <w:t>Der Baustein „Ernährung und Bewegung“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Sicherheit und Zugehörigkeit</w:t>
      </w:r>
    </w:p>
    <w:p>
      <w:pPr/>
      <w:r>
        <w:t>Der Baustein „Sicherheit und Zugehörigkeit“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Gebäude, Zeit, Pausen, Ernährung, Bewegung, Sicherheit, Lärm, Licht und Beziehung wirken auf Lernen.</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Schulraum-Wirkungscheck.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pStyle w:val="Heading2"/>
      </w:pPr>
      <w:r>
        <w:t>SDG 3, 4, 11, 13</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11. Inklusion, Vielfalt, Migration und Begabung</w:t>
      </w:r>
    </w:p>
    <w:p>
      <w:pPr/>
      <w:r>
        <w:t>Eine Wirkungsschule reduziert nicht auf Durchschnitt, sondern macht unterschiedliche Lernwege, Barrieren und Potenziale sichtbar.</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Inklusion, Vielfalt, Migration und Begabung bedeutet das: Die bestehende Praxis braucht eine zusätzliche Wirkungslogik, die Fehlsteuerung sichtbar macht, ohne Menschen zu beschämen.</w:t>
      </w:r>
    </w:p>
    <w:p>
      <w:pPr>
        <w:pStyle w:val="Heading2"/>
      </w:pPr>
      <w:r>
        <w:t>2. Wirkungsökonomischer Perspektivwechsel</w:t>
      </w:r>
    </w:p>
    <w:p>
      <w:pPr/>
      <w:r>
        <w:t>Wirkungsökonomisch wird Inklusion, Vielfalt, Migration und Begabung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Inklusion und Barrierefreiheit</w:t>
      </w:r>
    </w:p>
    <w:p>
      <w:pPr/>
      <w:r>
        <w:t>Der Baustein „Inklusion und Barrierefreiheit“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Sprachbildung</w:t>
      </w:r>
    </w:p>
    <w:p>
      <w:pPr/>
      <w:r>
        <w:t>Der Baustein „Sprachbildung“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Migration als Ressource</w:t>
      </w:r>
    </w:p>
    <w:p>
      <w:pPr/>
      <w:r>
        <w:t>Der Baustein „Migration als Ressource“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Begabungsförderung</w:t>
      </w:r>
    </w:p>
    <w:p>
      <w:pPr/>
      <w:r>
        <w:t>Der Baustein „Begabungsförderung“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Neurodivergenz und Schutz</w:t>
      </w:r>
    </w:p>
    <w:p>
      <w:pPr/>
      <w:r>
        <w:t>Der Baustein „Neurodivergenz und Schutz“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Eine Wirkungsschule reduziert nicht auf Durchschnitt, sondern macht unterschiedliche Lernwege, Barrieren und Potenziale sichtbar.</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Teilhabe- und Barrierencheck.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pStyle w:val="Heading2"/>
      </w:pPr>
      <w:r>
        <w:t>SDG 4, 5, 10, 16</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12. Lehrkräfte, Schulleitung, Teams und Bildungsnetzwerke</w:t>
      </w:r>
    </w:p>
    <w:p>
      <w:pPr/>
      <w:r>
        <w:t>Wirkungsschule braucht multiprofessionelle Teams, Lehrkräftebildung, Schulautonomie, kommunale Netzwerke und Wirkungsdaten ohne Überwachung.</w:t>
      </w:r>
    </w:p>
    <w:p>
      <w:pPr>
        <w:pStyle w:val="Heading2"/>
      </w:pPr>
      <w:r>
        <w:t>1. Ausgangslage und Problem</w:t>
      </w:r>
    </w:p>
    <w:p>
      <w:pPr/>
      <w:r>
        <w:t>Dieser Unterbereich adressiert eine Kernblindheit der alten Bildungslogik. In der herkömmlichen Schule wird häufig gemessen, was leicht prüfbar ist, während die eigentliche Wirkung auf Lernfähigkeit, Teilhabe, Demokratie, Gesundheit und Zukunftsfähigkeit nur indirekt sichtbar wird. Für den Bereich Lehrkräfte, Schulleitung, Teams und Bildungsnetzwerke bedeutet das: Die bestehende Praxis braucht eine zusätzliche Wirkungslogik, die Fehlsteuerung sichtbar macht, ohne Menschen zu beschämen.</w:t>
      </w:r>
    </w:p>
    <w:p>
      <w:pPr>
        <w:pStyle w:val="Heading2"/>
      </w:pPr>
      <w:r>
        <w:t>2. Wirkungsökonomischer Perspektivwechsel</w:t>
      </w:r>
    </w:p>
    <w:p>
      <w:pPr/>
      <w:r>
        <w:t>Wirkungsökonomisch wird Lehrkräfte, Schulleitung, Teams und Bildungsnetzwerke nicht als Einzelmaßnahme verstanden, sondern als Teil eines lernenden Bildungsökosystems. Entscheidend ist, welche Zustände verändert werden: Können Lernende Zusammenhänge erkennen? Werden Barrieren reduziert? Werden Fehler zu Lernchancen? Werden demokratische, digitale und wissenschaftliche Kompetenzen gestärkt?</w:t>
      </w:r>
    </w:p>
    <w:p>
      <w:pPr>
        <w:pStyle w:val="Heading2"/>
      </w:pPr>
      <w:r>
        <w:t>3. Konzeptbausteine</w:t>
      </w:r>
    </w:p>
    <w:p>
      <w:pPr>
        <w:pStyle w:val="Heading3"/>
      </w:pPr>
      <w:r>
        <w:t>Lehrkräftebildung</w:t>
      </w:r>
    </w:p>
    <w:p>
      <w:pPr/>
      <w:r>
        <w:t>Der Baustein „Lehrkräftebildung“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Multiprofessionelle Teams</w:t>
      </w:r>
    </w:p>
    <w:p>
      <w:pPr/>
      <w:r>
        <w:t>Der Baustein „Multiprofessionelle Teams“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Schulleitung</w:t>
      </w:r>
    </w:p>
    <w:p>
      <w:pPr/>
      <w:r>
        <w:t>Der Baustein „Schulleitung“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Kommunale Bildungszentren</w:t>
      </w:r>
    </w:p>
    <w:p>
      <w:pPr/>
      <w:r>
        <w:t>Der Baustein „Kommunale Bildungszentren“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3"/>
      </w:pPr>
      <w:r>
        <w:t>Evaluation und Datenschutz</w:t>
      </w:r>
    </w:p>
    <w:p>
      <w:pPr/>
      <w:r>
        <w:t>Der Baustein „Evaluation und Datenschutz“ wird so ausgestaltet, dass er Basiskompetenzen, Wirkungskompetenz und Schutz vor Fehlsteuerung verbindet. Er enthält klare Ziele, beobachtbare Indikatoren, pädagogische Umsetzung, politische Rahmenbedingungen und Evaluation. Wichtig ist: Daten dienen der Verbesserung des Lernraums, nicht der Stigmatisierung von Kindern, Familien oder Lehrkräften.</w:t>
      </w:r>
    </w:p>
    <w:p>
      <w:pPr>
        <w:pStyle w:val="Heading2"/>
      </w:pPr>
      <w:r>
        <w:t>4. Indikatoren, WÖk-IDs und Daten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Ausgestaltung</w:t>
            </w:r>
          </w:p>
        </w:tc>
      </w:tr>
      <w:tr>
        <w:tc>
          <w:tcPr>
            <w:tcW w:type="dxa" w:w="4762"/>
          </w:tcPr>
          <w:p>
            <w:pPr>
              <w:pStyle w:val="TableText"/>
            </w:pPr>
            <w:r>
              <w:t>Wirkungsziel</w:t>
            </w:r>
          </w:p>
        </w:tc>
        <w:tc>
          <w:tcPr>
            <w:tcW w:type="dxa" w:w="4762"/>
          </w:tcPr>
          <w:p>
            <w:pPr>
              <w:pStyle w:val="TableText"/>
            </w:pPr>
            <w:r>
              <w:t>Wirkungsschule braucht multiprofessionelle Teams, Lehrkräftebildung, Schulautonomie, kommunale Netzwerke und Wirkungsdaten ohne Überwachung.</w:t>
            </w:r>
          </w:p>
        </w:tc>
      </w:tr>
      <w:tr>
        <w:tc>
          <w:tcPr>
            <w:tcW w:type="dxa" w:w="4762"/>
          </w:tcPr>
          <w:p>
            <w:pPr>
              <w:pStyle w:val="TableText"/>
            </w:pPr>
            <w:r>
              <w:t>Indikatorfamilien</w:t>
            </w:r>
          </w:p>
        </w:tc>
        <w:tc>
          <w:tcPr>
            <w:tcW w:type="dxa" w:w="4762"/>
          </w:tcPr>
          <w:p>
            <w:pPr>
              <w:pStyle w:val="TableText"/>
            </w:pPr>
            <w:r>
              <w:t>Basiskompetenzen, Teilhabe, Selbstwirksamkeit, digitale Mündigkeit, Demokratiekompetenz, Schulklima, Gesundheitswirkung, Projektwirkung.</w:t>
            </w:r>
          </w:p>
        </w:tc>
      </w:tr>
      <w:tr>
        <w:tc>
          <w:tcPr>
            <w:tcW w:type="dxa" w:w="4762"/>
          </w:tcPr>
          <w:p>
            <w:pPr>
              <w:pStyle w:val="TableText"/>
            </w:pPr>
            <w:r>
              <w:t>Datenqualität</w:t>
            </w:r>
          </w:p>
        </w:tc>
        <w:tc>
          <w:tcPr>
            <w:tcW w:type="dxa" w:w="4762"/>
          </w:tcPr>
          <w:p>
            <w:pPr>
              <w:pStyle w:val="TableText"/>
            </w:pPr>
            <w:r>
              <w:t>Amtliche Daten, schulische Daten und qualitative Portfolios müssen getrennt ausgewiesen werden.</w:t>
            </w:r>
          </w:p>
        </w:tc>
      </w:tr>
      <w:tr>
        <w:tc>
          <w:tcPr>
            <w:tcW w:type="dxa" w:w="4762"/>
          </w:tcPr>
          <w:p>
            <w:pPr>
              <w:pStyle w:val="TableText"/>
            </w:pPr>
            <w:r>
              <w:t>Nicht-Kompensation</w:t>
            </w:r>
          </w:p>
        </w:tc>
        <w:tc>
          <w:tcPr>
            <w:tcW w:type="dxa" w:w="4762"/>
          </w:tcPr>
          <w:p>
            <w:pPr>
              <w:pStyle w:val="TableText"/>
            </w:pPr>
            <w:r>
              <w:t>Schwere negative Wirkungen wie Beschämung, Diskriminierung, Datenschutzverletzung oder Ausschluss dürfen nicht durch gute Einzelwerte verdeckt werden.</w:t>
            </w:r>
          </w:p>
        </w:tc>
      </w:tr>
    </w:tbl>
    <w:p>
      <w:pPr>
        <w:pStyle w:val="Heading2"/>
      </w:pPr>
      <w:r>
        <w:t>5. Werkzeugbezug</w:t>
      </w:r>
    </w:p>
    <w:p>
      <w:pPr/>
      <w:r>
        <w:t>Relevantes Werkzeug: Schulentwicklungs-Radar. Dieses Werkzeug ist als Unterstützung für Schulentwicklung, Unterrichtsplanung oder Förderlogik zu verstehen und darf nicht zur personenbezogenen Bewertung von Kindern oder Lehrkräften verwendet werden.</w:t>
      </w:r>
    </w:p>
    <w:p>
      <w:pPr>
        <w:pStyle w:val="Heading2"/>
      </w:pPr>
      <w:r>
        <w:t>6. SDG-/SDG+-Bezug</w:t>
      </w:r>
    </w:p>
    <w:p>
      <w:pPr>
        <w:pStyle w:val="Heading2"/>
      </w:pPr>
      <w:r>
        <w:t>SDG 4, 8, 11, 17</w:t>
      </w:r>
    </w:p>
    <w:p>
      <w:pPr>
        <w:pStyle w:val="Heading2"/>
      </w:pPr>
      <w:r>
        <w:t>7. Politische Anschlussfähigkeit</w:t>
      </w:r>
    </w:p>
    <w:p>
      <w:pPr/>
      <w:r>
        <w:t>Die konkrete Ausgestaltung bleibt politisch offen: Länder können unterschiedliche Wege wählen, Schulen unterschiedliche Profile entwickeln, und Träger unterschiedliche pädagogische Schwerpunkte setzen. Der gemeinsame Rahmen besteht in Wirkungstransparenz, Grundrechtsschutz, Teilhabe, Lernentwicklung und demokratischer Korrekturfähigkeit.</w:t>
      </w:r>
    </w:p>
    <w:p>
      <w:pPr>
        <w:pStyle w:val="Heading2"/>
      </w:pPr>
      <w:r>
        <w:t>8. Umsetzung und Pilotierung</w:t>
      </w:r>
    </w:p>
    <w:p>
      <w:pPr/>
      <w:r>
        <w:t>Empfohlen wird ein Pilotmodell mit freiwilligen Modellschulen, kommunalen Bildungsnetzwerken, wissenschaftlicher Begleitung, Datenethik-Prüfung, Lehrkräfteentlastung und öffentlichem Wirkungsbericht. Die Einführung muss lernend erfolgen: beobachten, auswerten, korrigieren, skalieren.</w:t>
      </w:r>
    </w:p>
    <w:p>
      <w:pPr>
        <w:pStyle w:val="Heading2"/>
      </w:pPr>
      <w:r>
        <w:t>9. Risiken und Schutz</w:t>
      </w:r>
    </w:p>
    <w:p>
      <w:pPr>
        <w:pStyle w:val="Heading2"/>
      </w:pPr>
      <w:r>
        <w:t>Bürokratisierung vermeiden</w:t>
      </w:r>
    </w:p>
    <w:p>
      <w:pPr>
        <w:pStyle w:val="Heading2"/>
      </w:pPr>
      <w:r>
        <w:t>Datenschutz und Zweckbindung sichern</w:t>
      </w:r>
    </w:p>
    <w:p>
      <w:pPr/>
      <w:r>
        <w:t>politische Vielfalt schützen</w:t>
      </w:r>
    </w:p>
    <w:p>
      <w:pPr/>
      <w:r>
        <w:t>keine moralische Belehrung</w:t>
      </w:r>
    </w:p>
    <w:p>
      <w:pPr>
        <w:pStyle w:val="Heading2"/>
      </w:pPr>
      <w:r>
        <w:t>Kinder nicht scoren</w:t>
      </w:r>
    </w:p>
    <w:p>
      <w:pPr>
        <w:pStyle w:val="Heading2"/>
      </w:pPr>
      <w:r>
        <w:t>Lehrkräfte entlasten statt zusätzlich belasten</w:t>
      </w:r>
    </w:p>
    <w:p>
      <w:pPr>
        <w:pStyle w:val="Heading1"/>
      </w:pPr>
      <w:r>
        <w:t>Quellen und Referenzen</w:t>
      </w:r>
    </w:p>
    <w:p>
      <w:pPr/>
      <w:r>
        <w:t>Bildung in Deutschland 2024: https://www.bildungsbericht.de/de/bildungsberichte-seit-2006/bildungsbericht-2024 - Nationaler Bildungsbericht als Daten- und Problemrahmen.</w:t>
      </w:r>
    </w:p>
    <w:p>
      <w:pPr/>
      <w:r>
        <w:t>Destatis: Bildung in Deutschland 2024: https://www.destatis.de/DE/Themen/Gesellschaft-Umwelt/Bildung-Forschung-Kultur/Bildungsstand/Publikationen/Downloads-Bildungsstand/bildung-deutschland-hauptbericht-5210001.html - Offizielle Publikationsseite des Bildungsberichts.</w:t>
      </w:r>
    </w:p>
    <w:p>
      <w:pPr/>
      <w:r>
        <w:t>IQB-Bildungstrend 2024: https://www.iqb.hu-berlin.de/de/schule/sekundarstufe-i/bildungstrend/2024/ - Kompetenzstände in Mathematik und Naturwissenschaften in der Sekundarstufe I.</w:t>
      </w:r>
    </w:p>
    <w:p>
      <w:pPr/>
      <w:r>
        <w:t>OECD: PISA 2022 Germany Country Note: https://www.oecd.org/en/publications/pisa-2022-results-volume-i-and-ii-country-notes_ed6fbcc5-en/germany_1a2cf137-en.html - Internationaler Vergleich und soziale Disparitäten.</w:t>
      </w:r>
    </w:p>
    <w:p>
      <w:pPr/>
      <w:r>
        <w:t>KMK: Bildung in der digitalen Welt: https://www.kmk.org/bildungsministerkonferenz/bildungsthemen/bildung-in-der-digitalen-welt.html - Strategie und Weiterentwicklung für digitale Bildung.</w:t>
      </w:r>
    </w:p>
    <w:p>
      <w:pPr/>
      <w:r>
        <w:t>KMK: Demokratiebildung: https://www.kmk.org/bildungsministerkonferenz/bildungsthemen/demokratiebildung.html - Demokratiebildung als wesentlicher Bildungsauftrag.</w:t>
      </w:r>
    </w:p>
    <w:p>
      <w:pPr/>
      <w:r>
        <w:t>KMK: Bildung für nachhaltige Entwicklung: https://www.kmk.org/bildungsministerkonferenz/vertiefende-bildungsinhalte/allgemeinbildende-schulen/bildung-fuer-nachhaltige-entwicklung.html - BNE-Empfehlung 2024 und Anschluss an SDG 4.7.</w:t>
      </w:r>
    </w:p>
    <w:p>
      <w:pPr/>
      <w:r>
        <w:t>BMBFSFJ/BMBF: Startchancen-Programm: https://www.bmbfsfj.bund.de/bmbfsfj/themen/bildung/schule/startchancen-programm-274440 - Bund-Länder-Programm für Schulen in herausfordernden sozialen Lagen.</w:t>
      </w:r>
    </w:p>
    <w:p>
      <w:pPr/>
      <w:r>
        <w:t>UNESCO: Reimagining our futures together: https://www.unesco.org/en/articles/reimagining-our-futures-together-new-social-contract-education - Bildung als gemeinsamer Zukunftsvertrag.</w:t>
      </w:r>
    </w:p>
    <w:p>
      <w:pPr/>
      <w:r>
        <w:t>OECD Learning Compass 2030: https://www.oecd.org/education/2030-project/ - Zukunftskompetenzen, student agency und transformative competencies.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