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WUStG - Technische Leitlinien v2.1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Methodikentwurf für Produktscorecards, FinalScore, NWI, digitale Produktpässe und wirkungsbezogene Umsatzsteuer-Pilotierung</w:t>
      </w:r>
    </w:p>
    <w:p>
      <w:pPr/>
      <w:r>
        <w:t>Autorin: Natalie Weber</w:t>
      </w:r>
    </w:p>
    <w:p>
      <w:pPr/>
      <w:r>
        <w:t>Projekt: Wirkungsökonomie</w:t>
      </w:r>
    </w:p>
    <w:p>
      <w:pPr/>
      <w:r>
        <w:t>Status: Entwurf / Zielarchitektur / Pilotmodell</w:t>
      </w:r>
    </w:p>
    <w:p>
      <w:pPr/>
      <w:r>
        <w:t>Version: 2.1</w:t>
      </w:r>
    </w:p>
    <w:p>
      <w:pPr/>
      <w:r>
        <w:t>Datum: 2026-05-24</w:t>
      </w:r>
    </w:p>
    <w:p>
      <w:pPr/>
      <w:r>
        <w:t>Bezug: WStG 2.0 - Wirkungssteuerrahmengesetz</w:t>
      </w:r>
    </w:p>
    <w:p>
      <w:pPr/>
      <w:r>
        <w:t>Hinweis: Nicht geltendes Recht; methodische Rahmenfassung.</w:t>
      </w:r>
    </w:p>
    <w:p>
      <w:pPr>
        <w:pStyle w:val="Heading2"/>
      </w:pPr>
      <w:r>
        <w:t>Hinweis zur Version 2.1</w:t>
      </w:r>
    </w:p>
    <w:p>
      <w:pPr/>
      <w:r>
        <w:t>Diese Fassung aktualisiert die technischen Leitlinien zum WUStG auf die neue Begriffssystematik der Wirkungsökonomie. Sie übernimmt starke Elemente der Extended-v2-Fassung: WÖk-IDs, Archetypen, Benchmarks, Scorecards, die operative Skala -3 bis +3, FinalScore, Reverse Merit Order, Nichtkompensation, Datenqualität, Assurance und Wirkungsrat-Governance.</w:t>
      </w:r>
    </w:p>
    <w:p>
      <w:pPr/>
      <w:r>
        <w:t>Version 2.1 korrigiert und präzisiert zugleich zentrale Punkte: Wirkung wird neutral verwendet, positive Netto-Wirkung ist die Zielgröße, FinalScore, NWI und T-SROI werden getrennt, Steuerklassen werden nur als Modell- und Pilotlogik beschrieben, Rechtsschutz und Datenkorrektur werden systematisiert, EU-Kompatibilität wird als Prüfrahmen formuliert, soziale Abfederung und KMU-Schutz werden ergänzt.</w:t>
      </w:r>
    </w:p>
    <w:p>
      <w:pPr/>
      <w:r>
        <w:t>Alte Fassungen bleiben historische Arbeitsfassungen. Die PDF-Fassung Technische_Leitlinien_WUStG_Vollversion_Extended_v2.pdf wird nicht überschrieben.</w:t>
      </w:r>
    </w:p>
    <w:p>
      <w:pPr/>
      <w:r>
        <w:t>Leitformel dieser Fassung:</w:t>
      </w:r>
    </w:p>
    <w:p>
      <w:pPr>
        <w:pStyle w:val="Quote"/>
      </w:pPr>
      <w:r>
        <w:t>Wirkung ist die tatsächliche Veränderung von Zuständen. Sie kann positiv, negativ oder neutral sein. Die Wirkungsökonomie bewertet Wirkung am Referenzrahmen der SDGs, der Agenda 2030 und SDG+ und richtet Produkte, Dienstleistungen, Lieferketten, Preise und steuerliche Rückkopplung auf positive Netto-Wirkung für Mensch, Planet und Demokratie aus.</w:t>
      </w:r>
    </w:p>
    <w:p>
      <w:pPr>
        <w:pStyle w:val="Heading2"/>
      </w:pPr>
      <w:r>
        <w:t>Teil 1 - Zweck, Geltung und Verhältnis zum WStG</w:t>
      </w:r>
    </w:p>
    <w:p>
      <w:pPr>
        <w:pStyle w:val="Heading3"/>
      </w:pPr>
      <w:r>
        <w:t>1.1 Zweck der Leitlinien</w:t>
      </w:r>
    </w:p>
    <w:p>
      <w:pPr/>
      <w:r>
        <w:t>Diese Leitlinien konkretisieren das WUStG-Modul technisch und methodisch. Sie beschreiben, wie Wirkungsdaten in WÖk-IDs, Indikatoren, Scorecards, Einzelscores, FinalScore, NWI-Bezüge und digitale Produktpässe überführt werden können.</w:t>
      </w:r>
    </w:p>
    <w:p>
      <w:pPr/>
      <w:r>
        <w:t>Sie sind Grundlage für Pilotierung, Simulation, Produktscorecards, Dateninfrastruktur und wirkungsbezogene steuerliche Rückkopplung. Sie sind keine abschließende Rechtsnorm.</w:t>
      </w:r>
    </w:p>
    <w:p>
      <w:pPr>
        <w:pStyle w:val="Heading3"/>
      </w:pPr>
      <w:r>
        <w:t>1.2 Verhältnis zum WStG 2.0</w:t>
      </w:r>
    </w:p>
    <w:p>
      <w:pPr/>
      <w:r>
        <w:t>Das WStG 2.0 ist das Rahmengesetz. Es definiert Begriffe, Prinzipien, Governance, Wirkungsrat, Rechtsschutz, Grundrechtsschutz, Pilotierung und Modulstruktur.</w:t>
      </w:r>
    </w:p>
    <w:p>
      <w:pPr/>
      <w:r>
        <w:t>Das WUStG ist das Produkt- und Umsatzsteuer-Modul innerhalb dieser Rahmenordnung. Die technischen Leitlinien bilden die Umsetzungsebene für WÖk-IDs, Scorecards, Benchmarks, Datenqualität, DPPs, FinalScore und Pilotmodelle. Sie ersetzen den Rechtsrahmen nicht.</w:t>
      </w:r>
    </w:p>
    <w:p>
      <w:pPr>
        <w:pStyle w:val="Heading3"/>
      </w:pPr>
      <w:r>
        <w:t>1.3 Anwendungsbereich</w:t>
      </w:r>
    </w:p>
    <w:p>
      <w:pPr/>
      <w:r>
        <w:t>Die Leitlinien beziehen sich auf Produkte, Dienstleistungen, Lieferketten, Vorleistungen, Importe, digitale Produkte und optional öffentliche Beschaffung als Pilotfeld.</w:t>
      </w:r>
    </w:p>
    <w:p>
      <w:pPr/>
      <w:r>
        <w:t>Bei Plattform-, Medien-, Kommunikations- und KI-Produkten ist besondere Vorsicht erforderlich. Dort ist häufig zwischen Wirkungspotenzial, Wirkungsrisiko, Wirkpfad und tatsächlich nachgewiesener Wirkung zu unterscheiden.</w:t>
      </w:r>
    </w:p>
    <w:p>
      <w:pPr>
        <w:pStyle w:val="Heading3"/>
      </w:pPr>
      <w:r>
        <w:t>1.4 Pilotstatus und rechtlicher Vorbehalt</w:t>
      </w:r>
    </w:p>
    <w:p>
      <w:pPr/>
      <w:r>
        <w:t>Diese Leitlinien beschreiben eine Zielarchitektur und ein Pilotmodell. Eine verbindliche steuerliche Anwendung setzt ein entsprechendes Gesetzgebungsverfahren, europarechtliche Prüfung, Rechtsschutzregelungen, Dateninfrastruktur und Übergangsfristen voraus.</w:t>
      </w:r>
    </w:p>
    <w:p>
      <w:pPr/>
      <w:r>
        <w:t>Steuerklassen, Entlastungen, Zuschläge oder Vorsteuerlogiken in dieser Fassung sind Modellvarianten für Simulation und Pilotierung. Sie sind nicht als unmittelbar geltendes Recht zu verstehen.</w:t>
      </w:r>
    </w:p>
    <w:p>
      <w:pPr>
        <w:pStyle w:val="Heading2"/>
      </w:pPr>
      <w:r>
        <w:t>Teil 2 - Begriffe</w:t>
      </w:r>
    </w:p>
    <w:p>
      <w:pPr>
        <w:pStyle w:val="Heading3"/>
      </w:pPr>
      <w:r>
        <w:t>2.1 Wirkung</w:t>
      </w:r>
    </w:p>
    <w:p>
      <w:pPr/>
      <w:r>
        <w:t>Wirkung ist die tatsächliche Veränderung von Zuständen. Sie kann positiv, negativ oder neutral sein und braucht einen Bezugspunkt.</w:t>
      </w:r>
    </w:p>
    <w:p>
      <w:pPr>
        <w:pStyle w:val="Heading3"/>
      </w:pPr>
      <w:r>
        <w:t>2.2 Positive Netto-Wirkung</w:t>
      </w:r>
    </w:p>
    <w:p>
      <w:pPr/>
      <w:r>
        <w:t>Positive Netto-Wirkung ist die bewertete Gesamtwirkung, die Mensch, Planet und Demokratie stärkt, ohne kritische Schäden durch positive Einzelwerte zu verdecken.</w:t>
      </w:r>
    </w:p>
    <w:p>
      <w:pPr>
        <w:pStyle w:val="Heading3"/>
      </w:pPr>
      <w:r>
        <w:t>2.3 Wirkungspotenzial</w:t>
      </w:r>
    </w:p>
    <w:p>
      <w:pPr/>
      <w:r>
        <w:t>Wirkungspotenzial ist die Möglichkeit, dass Wirkung eintreten kann. Es ist noch keine eingetretene Wirkung.</w:t>
      </w:r>
    </w:p>
    <w:p>
      <w:pPr>
        <w:pStyle w:val="Heading3"/>
      </w:pPr>
      <w:r>
        <w:t>2.4 Wirkungsrisiko</w:t>
      </w:r>
    </w:p>
    <w:p>
      <w:pPr/>
      <w:r>
        <w:t>Wirkungsrisiko ist die Möglichkeit negativer oder destabilisierender Wirkung.</w:t>
      </w:r>
    </w:p>
    <w:p>
      <w:pPr>
        <w:pStyle w:val="Heading3"/>
      </w:pPr>
      <w:r>
        <w:t>2.5 Wirkungsbewertung</w:t>
      </w:r>
    </w:p>
    <w:p>
      <w:pPr/>
      <w:r>
        <w:t>Wirkungsbewertung ist die Einordnung von Wirkung am Referenzrahmen von SDGs, Agenda 2030 und SDG+ unter Beachtung von Datenqualität, Kontext, Wirkungsgrenzen und Nichtkompensation.</w:t>
      </w:r>
    </w:p>
    <w:p>
      <w:pPr>
        <w:pStyle w:val="Heading3"/>
      </w:pPr>
      <w:r>
        <w:t>2.6 SDG+</w:t>
      </w:r>
    </w:p>
    <w:p>
      <w:pPr/>
      <w:r>
        <w:t>SDG+ ist keine offizielle UN-Kategorie, sondern eine transparente Erweiterung der Wirkungsökonomie. Sie ergänzt den Referenzrahmen um Demokratie, Medienqualität, Rechtsstaatlichkeit, Diskursfähigkeit, institutionelles Vertrauen, gesellschaftlichen Zusammenhalt und digitale Selbstbestimmung.</w:t>
      </w:r>
    </w:p>
    <w:p>
      <w:pPr>
        <w:pStyle w:val="Heading3"/>
      </w:pPr>
      <w:r>
        <w:t>2.7 WÖk-ID</w:t>
      </w:r>
    </w:p>
    <w:p>
      <w:pPr/>
      <w:r>
        <w:t>Eine WÖk-ID ist eine eindeutige Kennung für einen Wirkungsindikator innerhalb der Wirkungsökonomie.</w:t>
      </w:r>
    </w:p>
    <w:p>
      <w:pPr>
        <w:pStyle w:val="Heading3"/>
      </w:pPr>
      <w:r>
        <w:t>2.8 Score</w:t>
      </w:r>
    </w:p>
    <w:p>
      <w:pPr/>
      <w:r>
        <w:t>Ein Score ist die operative Einzelbewertung eines Indikators oder Wirkungsfelds auf der Skala -3 bis +3.</w:t>
      </w:r>
    </w:p>
    <w:p>
      <w:pPr>
        <w:pStyle w:val="Heading3"/>
      </w:pPr>
      <w:r>
        <w:t>2.9 FinalScore</w:t>
      </w:r>
    </w:p>
    <w:p>
      <w:pPr/>
      <w:r>
        <w:t>Der FinalScore ist die verdichtete steuerungsrelevante Bewertung eines Produkts, einer Dienstleistung oder Aktivität unter Einbeziehung von Scorecards, Datenqualität, Reverse Merit Order und Nichtkompensation.</w:t>
      </w:r>
    </w:p>
    <w:p>
      <w:pPr>
        <w:pStyle w:val="Heading3"/>
      </w:pPr>
      <w:r>
        <w:t>2.10 NWI</w:t>
      </w:r>
    </w:p>
    <w:p>
      <w:pPr/>
      <w:r>
        <w:t>Der Netto-Wirkungs-Index, kurz NWI, ist die operative Kennzahl geprüfter Netto-Wirkung.</w:t>
      </w:r>
    </w:p>
    <w:p>
      <w:pPr>
        <w:pStyle w:val="Heading3"/>
      </w:pPr>
      <w:r>
        <w:t>2.11 T-SROI</w:t>
      </w:r>
    </w:p>
    <w:p>
      <w:pPr/>
      <w:r>
        <w:t>Der T-SROI ist eine Transformationskennzahl auf Grundlage geprüfter Netto-Wirkung. Er ist nicht die primäre Produktsteuer-Kennzahl.</w:t>
      </w:r>
    </w:p>
    <w:p>
      <w:pPr>
        <w:pStyle w:val="Heading3"/>
      </w:pPr>
      <w:r>
        <w:t>2.12 Reverse Merit Order</w:t>
      </w:r>
    </w:p>
    <w:p>
      <w:pPr/>
      <w:r>
        <w:t>Die Reverse Merit Order bedeutet, dass das schwächste kritische Wirkungsfeld die Gesamtbewertung begrenzt.</w:t>
      </w:r>
    </w:p>
    <w:p>
      <w:pPr>
        <w:pStyle w:val="Heading3"/>
      </w:pPr>
      <w:r>
        <w:t>2.13 Nichtkompensationsprinzip</w:t>
      </w:r>
    </w:p>
    <w:p>
      <w:pPr/>
      <w:r>
        <w:t>Das Nichtkompensationsprinzip verhindert, dass schwere negative Wirkungen durch positive Einzelwerte verdeckt werden.</w:t>
      </w:r>
    </w:p>
    <w:p>
      <w:pPr>
        <w:pStyle w:val="Heading3"/>
      </w:pPr>
      <w:r>
        <w:t>2.14 Wirkungsgrenze</w:t>
      </w:r>
    </w:p>
    <w:p>
      <w:pPr/>
      <w:r>
        <w:t>Eine Wirkungsgrenze ist eine rote Linie, etwa Menschenwürde, Kinderrechte, ökologische Lebensgrundlagen, Tiere, Biodiversität, Rechtsstaatlichkeit oder demokratische Stabilität.</w:t>
      </w:r>
    </w:p>
    <w:p>
      <w:pPr>
        <w:pStyle w:val="Heading3"/>
      </w:pPr>
      <w:r>
        <w:t>2.15 Prüfstatus</w:t>
      </w:r>
    </w:p>
    <w:p>
      <w:pPr/>
      <w:r>
        <w:t>Der Prüfstatus beschreibt die Datensicherheit einer Bewertung. Typische Zustände sind geprüft, plausibilisiert, Sekundärdaten, Ersatzwert, ungeprüft, strittig oder in Korrektur.</w:t>
      </w:r>
    </w:p>
    <w:p>
      <w:pPr>
        <w:pStyle w:val="Heading2"/>
      </w:pPr>
      <w:r>
        <w:t>Teil 3 - Bewertungsrahmen</w:t>
      </w:r>
    </w:p>
    <w:p>
      <w:pPr>
        <w:pStyle w:val="Heading3"/>
      </w:pPr>
      <w:r>
        <w:t>3.1 Referenzrahmen</w:t>
      </w:r>
    </w:p>
    <w:p>
      <w:pPr/>
      <w:r>
        <w:t>Der Bewertungsrahmen umfasst die SDGs, die Agenda 2030, SDG+ sowie Mensch, Planet und Demokratie.</w:t>
      </w:r>
    </w:p>
    <w:p>
      <w:pPr/>
      <w:r>
        <w:t>Die Bewertungslogik darf nicht auf private Moral, reines Marketing oder isolierte Einzel-KPIs reduziert werden. Sie muss öffentlich nachvollziehbar, versioniert und korrigierbar sein.</w:t>
      </w:r>
    </w:p>
    <w:p>
      <w:pPr>
        <w:pStyle w:val="Heading3"/>
      </w:pPr>
      <w:r>
        <w:t>3.2 Produktwirkung als Lebenszykluswirkung</w:t>
      </w:r>
    </w:p>
    <w:p>
      <w:pPr/>
      <w:r>
        <w:t>Produktwirkung wird als Lebenszykluswirkung verstanden. Sie umfasst, soweit relevant:</w:t>
      </w:r>
    </w:p>
    <w:p>
      <w:pPr>
        <w:pStyle w:val="ListBullet"/>
      </w:pPr>
      <w:r>
        <w:t>Rohstoffe,</w:t>
      </w:r>
    </w:p>
    <w:p>
      <w:pPr>
        <w:pStyle w:val="ListBullet"/>
      </w:pPr>
      <w:r>
        <w:t>Herstellung,</w:t>
      </w:r>
    </w:p>
    <w:p>
      <w:pPr>
        <w:pStyle w:val="ListBullet"/>
      </w:pPr>
      <w:r>
        <w:t>Verarbeitung,</w:t>
      </w:r>
    </w:p>
    <w:p>
      <w:pPr>
        <w:pStyle w:val="ListBullet"/>
      </w:pPr>
      <w:r>
        <w:t>Verpackung,</w:t>
      </w:r>
    </w:p>
    <w:p>
      <w:pPr>
        <w:pStyle w:val="ListBullet"/>
      </w:pPr>
      <w:r>
        <w:t>Transport,</w:t>
      </w:r>
    </w:p>
    <w:p>
      <w:pPr>
        <w:pStyle w:val="ListBullet"/>
      </w:pPr>
      <w:r>
        <w:t>Nutzung,</w:t>
      </w:r>
    </w:p>
    <w:p>
      <w:pPr>
        <w:pStyle w:val="ListBullet"/>
      </w:pPr>
      <w:r>
        <w:t>Reparaturfähigkeit,</w:t>
      </w:r>
    </w:p>
    <w:p>
      <w:pPr>
        <w:pStyle w:val="ListBullet"/>
      </w:pPr>
      <w:r>
        <w:t>Lebensdauer,</w:t>
      </w:r>
    </w:p>
    <w:p>
      <w:pPr>
        <w:pStyle w:val="ListBullet"/>
      </w:pPr>
      <w:r>
        <w:t>Entsorgung und Kreislauffähigkeit,</w:t>
      </w:r>
    </w:p>
    <w:p>
      <w:pPr>
        <w:pStyle w:val="ListBullet"/>
      </w:pPr>
      <w:r>
        <w:t>soziale und demokratische Wirkungen entlang der Kette.</w:t>
      </w:r>
    </w:p>
    <w:p>
      <w:pPr>
        <w:pStyle w:val="Heading3"/>
      </w:pPr>
      <w:r>
        <w:t>3.3 Kernfelder</w:t>
      </w:r>
    </w:p>
    <w:p>
      <w:pPr/>
      <w:r>
        <w:t>Die operative Bewertung umfasst mindestens folgende Kernfelder:</w:t>
      </w:r>
    </w:p>
    <w:p>
      <w:pPr>
        <w:pStyle w:val="ListNumber"/>
      </w:pPr>
      <w:r>
        <w:t>Klima,</w:t>
      </w:r>
    </w:p>
    <w:p>
      <w:pPr>
        <w:pStyle w:val="ListNumber"/>
      </w:pPr>
      <w:r>
        <w:t>Ressourcen und Kreislauf,</w:t>
      </w:r>
    </w:p>
    <w:p>
      <w:pPr>
        <w:pStyle w:val="ListNumber"/>
      </w:pPr>
      <w:r>
        <w:t>Wasser und Ökosysteme,</w:t>
      </w:r>
    </w:p>
    <w:p>
      <w:pPr>
        <w:pStyle w:val="ListNumber"/>
      </w:pPr>
      <w:r>
        <w:t>Arbeit und Fairness,</w:t>
      </w:r>
    </w:p>
    <w:p>
      <w:pPr>
        <w:pStyle w:val="ListNumber"/>
      </w:pPr>
      <w:r>
        <w:t>Gesundheit und Sicherheit,</w:t>
      </w:r>
    </w:p>
    <w:p>
      <w:pPr>
        <w:pStyle w:val="ListNumber"/>
      </w:pPr>
      <w:r>
        <w:t>Demokratie, Transparenz und Datenintegrität, soweit relevant,</w:t>
      </w:r>
    </w:p>
    <w:p>
      <w:pPr>
        <w:pStyle w:val="ListNumber"/>
      </w:pPr>
      <w:r>
        <w:t>Kontext- und Branchenspezifika.</w:t>
      </w:r>
    </w:p>
    <w:p>
      <w:pPr/>
      <w:r>
        <w:t>Die ältere Vier-Felder-Logik kann als Einstieg erhalten bleiben. Version 2.1 stellt klar, dass je nach Branche zusätzliche kritische Wirkungsfelder erforderlich sind.</w:t>
      </w:r>
    </w:p>
    <w:p>
      <w:pPr>
        <w:pStyle w:val="Heading3"/>
      </w:pPr>
      <w:r>
        <w:t>3.4 Rote Linien</w:t>
      </w:r>
    </w:p>
    <w:p>
      <w:pPr/>
      <w:r>
        <w:t>Rote Linien sind insbesondere:</w:t>
      </w:r>
    </w:p>
    <w:p>
      <w:pPr>
        <w:pStyle w:val="ListBullet"/>
      </w:pPr>
      <w:r>
        <w:t>Kinderarbeit,</w:t>
      </w:r>
    </w:p>
    <w:p>
      <w:pPr>
        <w:pStyle w:val="ListBullet"/>
      </w:pPr>
      <w:r>
        <w:t>Zwangsarbeit,</w:t>
      </w:r>
    </w:p>
    <w:p>
      <w:pPr>
        <w:pStyle w:val="ListBullet"/>
      </w:pPr>
      <w:r>
        <w:t>massive Menschenrechtsverletzungen,</w:t>
      </w:r>
    </w:p>
    <w:p>
      <w:pPr>
        <w:pStyle w:val="ListBullet"/>
      </w:pPr>
      <w:r>
        <w:t>schwere Umweltzerstörung,</w:t>
      </w:r>
    </w:p>
    <w:p>
      <w:pPr>
        <w:pStyle w:val="ListBullet"/>
      </w:pPr>
      <w:r>
        <w:t>Entwaldung und Biodiversitätsverlust,</w:t>
      </w:r>
    </w:p>
    <w:p>
      <w:pPr>
        <w:pStyle w:val="ListBullet"/>
      </w:pPr>
      <w:r>
        <w:t>toxische Gesundheitsrisiken,</w:t>
      </w:r>
    </w:p>
    <w:p>
      <w:pPr>
        <w:pStyle w:val="ListBullet"/>
      </w:pPr>
      <w:r>
        <w:t>systematische Desinformation bei Medien- oder Plattformprodukten,</w:t>
      </w:r>
    </w:p>
    <w:p>
      <w:pPr>
        <w:pStyle w:val="ListBullet"/>
      </w:pPr>
      <w:r>
        <w:t>Korruption und Rechtsstaatsrisiken,</w:t>
      </w:r>
    </w:p>
    <w:p>
      <w:pPr>
        <w:pStyle w:val="ListBullet"/>
      </w:pPr>
      <w:r>
        <w:t>Verstöße gegen Datenschutz und digitale Selbstbestimmung.</w:t>
      </w:r>
    </w:p>
    <w:p>
      <w:pPr/>
      <w:r>
        <w:t>Bei roten Linien ist eine positive Gesamtbewertung ausgeschlossen oder nur nach Korrektur, Sonderprüfung und klaren Auflagen möglich.</w:t>
      </w:r>
    </w:p>
    <w:p>
      <w:pPr>
        <w:pStyle w:val="Heading2"/>
      </w:pPr>
      <w:r>
        <w:t>Teil 4 - WÖk-IDs und Indikatorenarchitektur</w:t>
      </w:r>
    </w:p>
    <w:p>
      <w:pPr>
        <w:pStyle w:val="Heading3"/>
      </w:pPr>
      <w:r>
        <w:t>4.1 Funktion der WÖk-ID</w:t>
      </w:r>
    </w:p>
    <w:p>
      <w:pPr/>
      <w:r>
        <w:t>Die WÖk-ID ermöglicht eindeutige Identifikation, maschinenlesbare Zuordnung, Verbindung zu SDG/SDG+, Anschluss an NACE, ESRS, GRI, EU-Taxonomie und digitale Produktpässe sowie Versionierung.</w:t>
      </w:r>
    </w:p>
    <w:p>
      <w:pPr/>
      <w:r>
        <w:t>Sie verhindert, dass Indikatoren situativ umbenannt, doppelt gezählt oder ohne Bezug zur Bewertungslogik verwendet werden.</w:t>
      </w:r>
    </w:p>
    <w:p>
      <w:pPr>
        <w:pStyle w:val="Heading3"/>
      </w:pPr>
      <w:r>
        <w:t>4.2 Struktur einer WÖk-ID</w:t>
      </w:r>
    </w:p>
    <w:p>
      <w:pPr/>
      <w:r>
        <w:t>Empfohlene Felder:</w:t>
      </w:r>
    </w:p>
    <w:p>
      <w:pPr>
        <w:pStyle w:val="ListBullet"/>
      </w:pPr>
      <w:r>
        <w:t>WÖk-ID,</w:t>
      </w:r>
    </w:p>
    <w:p>
      <w:pPr>
        <w:pStyle w:val="ListBullet"/>
      </w:pPr>
      <w:r>
        <w:t>Titel,</w:t>
      </w:r>
    </w:p>
    <w:p>
      <w:pPr>
        <w:pStyle w:val="ListBullet"/>
      </w:pPr>
      <w:r>
        <w:t>SDG/SDG+,</w:t>
      </w:r>
    </w:p>
    <w:p>
      <w:pPr>
        <w:pStyle w:val="ListBullet"/>
      </w:pPr>
      <w:r>
        <w:t>Unterziel,</w:t>
      </w:r>
    </w:p>
    <w:p>
      <w:pPr>
        <w:pStyle w:val="ListBullet"/>
      </w:pPr>
      <w:r>
        <w:t>Indikatorfamilie,</w:t>
      </w:r>
    </w:p>
    <w:p>
      <w:pPr>
        <w:pStyle w:val="ListBullet"/>
      </w:pPr>
      <w:r>
        <w:t>NACE-Bezug,</w:t>
      </w:r>
    </w:p>
    <w:p>
      <w:pPr>
        <w:pStyle w:val="ListBullet"/>
      </w:pPr>
      <w:r>
        <w:t>Produkt- oder Branchenbezug,</w:t>
      </w:r>
    </w:p>
    <w:p>
      <w:pPr>
        <w:pStyle w:val="ListBullet"/>
      </w:pPr>
      <w:r>
        <w:t>Einheit,</w:t>
      </w:r>
    </w:p>
    <w:p>
      <w:pPr>
        <w:pStyle w:val="ListBullet"/>
      </w:pPr>
      <w:r>
        <w:t>Datenquelle,</w:t>
      </w:r>
    </w:p>
    <w:p>
      <w:pPr>
        <w:pStyle w:val="ListBullet"/>
      </w:pPr>
      <w:r>
        <w:t>Archetyp,</w:t>
      </w:r>
    </w:p>
    <w:p>
      <w:pPr>
        <w:pStyle w:val="ListBullet"/>
      </w:pPr>
      <w:r>
        <w:t>Schwellenwerte,</w:t>
      </w:r>
    </w:p>
    <w:p>
      <w:pPr>
        <w:pStyle w:val="ListBullet"/>
      </w:pPr>
      <w:r>
        <w:t>Datenqualität,</w:t>
      </w:r>
    </w:p>
    <w:p>
      <w:pPr>
        <w:pStyle w:val="ListBullet"/>
      </w:pPr>
      <w:r>
        <w:t>Prüfstatus,</w:t>
      </w:r>
    </w:p>
    <w:p>
      <w:pPr>
        <w:pStyle w:val="ListBullet"/>
      </w:pPr>
      <w:r>
        <w:t>Gültigkeitszeitraum,</w:t>
      </w:r>
    </w:p>
    <w:p>
      <w:pPr>
        <w:pStyle w:val="ListBullet"/>
      </w:pPr>
      <w:r>
        <w:t>Version.</w:t>
      </w:r>
    </w:p>
    <w:p>
      <w:pPr>
        <w:pStyle w:val="Heading3"/>
      </w:pPr>
      <w:r>
        <w:t>4.3 Indikatorfamilien</w:t>
      </w:r>
    </w:p>
    <w:p>
      <w:pPr/>
      <w:r>
        <w:t>Mindestfamilien sind:</w:t>
      </w:r>
    </w:p>
    <w:p>
      <w:pPr>
        <w:pStyle w:val="ListBullet"/>
      </w:pPr>
      <w:r>
        <w:t>Klima / Emissionen,</w:t>
      </w:r>
    </w:p>
    <w:p>
      <w:pPr>
        <w:pStyle w:val="ListBullet"/>
      </w:pPr>
      <w:r>
        <w:t>Energie,</w:t>
      </w:r>
    </w:p>
    <w:p>
      <w:pPr>
        <w:pStyle w:val="ListBullet"/>
      </w:pPr>
      <w:r>
        <w:t>Wasser,</w:t>
      </w:r>
    </w:p>
    <w:p>
      <w:pPr>
        <w:pStyle w:val="ListBullet"/>
      </w:pPr>
      <w:r>
        <w:t>Biodiversität,</w:t>
      </w:r>
    </w:p>
    <w:p>
      <w:pPr>
        <w:pStyle w:val="ListBullet"/>
      </w:pPr>
      <w:r>
        <w:t>Material / Kreislauf,</w:t>
      </w:r>
    </w:p>
    <w:p>
      <w:pPr>
        <w:pStyle w:val="ListBullet"/>
      </w:pPr>
      <w:r>
        <w:t>Abfall,</w:t>
      </w:r>
    </w:p>
    <w:p>
      <w:pPr>
        <w:pStyle w:val="ListBullet"/>
      </w:pPr>
      <w:r>
        <w:t>Chemikalien,</w:t>
      </w:r>
    </w:p>
    <w:p>
      <w:pPr>
        <w:pStyle w:val="ListBullet"/>
      </w:pPr>
      <w:r>
        <w:t>Produktsicherheit,</w:t>
      </w:r>
    </w:p>
    <w:p>
      <w:pPr>
        <w:pStyle w:val="ListBullet"/>
      </w:pPr>
      <w:r>
        <w:t>Arbeitsbedingungen,</w:t>
      </w:r>
    </w:p>
    <w:p>
      <w:pPr>
        <w:pStyle w:val="ListBullet"/>
      </w:pPr>
      <w:r>
        <w:t>Living Wage,</w:t>
      </w:r>
    </w:p>
    <w:p>
      <w:pPr>
        <w:pStyle w:val="ListBullet"/>
      </w:pPr>
      <w:r>
        <w:t>Lieferkettenrechte,</w:t>
      </w:r>
    </w:p>
    <w:p>
      <w:pPr>
        <w:pStyle w:val="ListBullet"/>
      </w:pPr>
      <w:r>
        <w:t>Governance / Antikorruption,</w:t>
      </w:r>
    </w:p>
    <w:p>
      <w:pPr>
        <w:pStyle w:val="ListBullet"/>
      </w:pPr>
      <w:r>
        <w:t>Datenintegrität / digitale Rechte,</w:t>
      </w:r>
    </w:p>
    <w:p>
      <w:pPr>
        <w:pStyle w:val="ListBullet"/>
      </w:pPr>
      <w:r>
        <w:t>Medien- und Demokratiewirkung, falls relevant.</w:t>
      </w:r>
    </w:p>
    <w:p>
      <w:pPr>
        <w:pStyle w:val="Heading3"/>
      </w:pPr>
      <w:r>
        <w:t>4.4 Master-Items</w:t>
      </w:r>
    </w:p>
    <w:p>
      <w:pPr/>
      <w:r>
        <w:t>Soweit die Datei WOeK_Master_Items_final_v1.2.xlsx vorhanden ist, ist sie als strukturierte Ausgangsquelle für WÖk-IDs und Indikatorfamilien zu verwenden. Die PDF-Fassung dient nur als Original- oder Fallbackquelle.</w:t>
      </w:r>
    </w:p>
    <w:p>
      <w:pPr/>
      <w:r>
        <w:t>IDs werden nicht ohne Prüfung frei umnummeriert. Neue IDs, Merges oder Umbenennungen müssen versioniert und dokumentiert werden.</w:t>
      </w:r>
    </w:p>
    <w:p>
      <w:pPr>
        <w:pStyle w:val="Heading2"/>
      </w:pPr>
      <w:r>
        <w:t>Teil 5 - Datenquellen und Datenqualität</w:t>
      </w:r>
    </w:p>
    <w:p>
      <w:pPr>
        <w:pStyle w:val="Heading3"/>
      </w:pPr>
      <w:r>
        <w:t>5.1 Datenquellen</w:t>
      </w:r>
    </w:p>
    <w:p>
      <w:pPr/>
      <w:r>
        <w:t>Daten werden nach folgender Hierarchie genutzt:</w:t>
      </w:r>
    </w:p>
    <w:p>
      <w:pPr>
        <w:pStyle w:val="ListNumber"/>
      </w:pPr>
      <w:r>
        <w:t>geprüfte Primärdaten,</w:t>
      </w:r>
    </w:p>
    <w:p>
      <w:pPr>
        <w:pStyle w:val="ListNumber"/>
      </w:pPr>
      <w:r>
        <w:t>auditierte Produktdaten, EPDs oder DPP-Daten,</w:t>
      </w:r>
    </w:p>
    <w:p>
      <w:pPr>
        <w:pStyle w:val="ListNumber"/>
      </w:pPr>
      <w:r>
        <w:t>geprüfte Lieferantendaten,</w:t>
      </w:r>
    </w:p>
    <w:p>
      <w:pPr>
        <w:pStyle w:val="ListNumber"/>
      </w:pPr>
      <w:r>
        <w:t>geprüfte Sekundärdaten,</w:t>
      </w:r>
    </w:p>
    <w:p>
      <w:pPr>
        <w:pStyle w:val="ListNumber"/>
      </w:pPr>
      <w:r>
        <w:t>Branchenbenchmarks,</w:t>
      </w:r>
    </w:p>
    <w:p>
      <w:pPr>
        <w:pStyle w:val="ListNumber"/>
      </w:pPr>
      <w:r>
        <w:t>konservative Ersatzwerte,</w:t>
      </w:r>
    </w:p>
    <w:p>
      <w:pPr>
        <w:pStyle w:val="ListNumber"/>
      </w:pPr>
      <w:r>
        <w:t>ungeprüfte Daten nur mit deutlicher Unsicherheitsmarkierung.</w:t>
      </w:r>
    </w:p>
    <w:p>
      <w:pPr>
        <w:pStyle w:val="Heading3"/>
      </w:pPr>
      <w:r>
        <w:t>5.2 CSRD, ESRS, GRI und Produktdaten</w:t>
      </w:r>
    </w:p>
    <w:p>
      <w:pPr/>
      <w:r>
        <w:t>CSRD, ESRS und GRI sind wichtige Anschlussquellen, aber nicht automatisch produktscharf. Produktbewertung braucht zusätzliche Zuordnung über NACE, Anlagen, Produktgruppen, EPDs, DPPs und Lieferkettendaten.</w:t>
      </w:r>
    </w:p>
    <w:p>
      <w:pPr/>
      <w:r>
        <w:t>Vollautomatische Bewertung darf nur dort behauptet werden, wo Daten maschinenlesbar, produktbezogen, geprüft und methodisch eindeutig zuordenbar sind.</w:t>
      </w:r>
    </w:p>
    <w:p>
      <w:pPr>
        <w:pStyle w:val="Heading3"/>
      </w:pPr>
      <w:r>
        <w:t>5.3 Datenlücken</w:t>
      </w:r>
    </w:p>
    <w:p>
      <w:pPr/>
      <w:r>
        <w:t>Datenlücken dürfen nicht belohnt werden. Fehlende Daten führen zu konservativen Ersatzwerten oder Datenqualitätsabschlägen.</w:t>
      </w:r>
    </w:p>
    <w:p>
      <w:pPr/>
      <w:r>
        <w:t>Unternehmen können bessere Daten nachreichen. Strittige Daten erhalten einen Prüfstatus und werden nicht stillschweigend als gesichert behandelt.</w:t>
      </w:r>
    </w:p>
    <w:p>
      <w:pPr>
        <w:pStyle w:val="Heading3"/>
      </w:pPr>
      <w:r>
        <w:t>5.4 Datenqualitätsklassen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Klasse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Beschreibung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Wirkung auf Bewertung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geprüft / auditierbar / produktbezogen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volle Anrechenbarkeit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B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plausibilisiert / branchennah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leichte Unsicherheitsmarkierung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Sekundärdaten / teilweise passend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konservativer Abschlag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D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Ersatzwert / unsicher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deutlicher Abschlag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E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fehlend / nicht prüfbar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konservativer Negativ- oder Neutralwert, je nach Risikoklasse</w:t>
            </w:r>
          </w:p>
        </w:tc>
      </w:tr>
    </w:tbl>
    <w:p>
      <w:pPr>
        <w:pStyle w:val="Heading3"/>
      </w:pPr>
      <w:r>
        <w:t>5.5 Einspruch und Datenkorrektur</w:t>
      </w:r>
    </w:p>
    <w:p>
      <w:pPr/>
      <w:r>
        <w:t>Unternehmen müssen Bewertungen nachvollziehen können. Daten können korrigiert werden. Korrekturverfahren benötigen Fristen, unabhängige Prüfung, transparente Begründung und gerichtliche Überprüfbarkeit im späteren Rechtsrahmen.</w:t>
      </w:r>
    </w:p>
    <w:p>
      <w:pPr>
        <w:pStyle w:val="Heading2"/>
      </w:pPr>
      <w:r>
        <w:t>Teil 6 - Archetypen und Score-Ableitung</w:t>
      </w:r>
    </w:p>
    <w:p>
      <w:pPr>
        <w:pStyle w:val="Heading3"/>
      </w:pPr>
      <w:r>
        <w:t>6.1 Zweck der Archetypen</w:t>
      </w:r>
    </w:p>
    <w:p>
      <w:pPr/>
      <w:r>
        <w:t>Archetypen übersetzen Messwerte reproduzierbar in Scores von -3 bis +3. Sie reduzieren Willkür, ermöglichen Automatisierung und schaffen Vergleichbarkeit.</w:t>
      </w:r>
    </w:p>
    <w:p>
      <w:pPr/>
      <w:r>
        <w:t>Archetypen sind methodische Übersetzungsregeln, keine politischen Werturteile über Personen.</w:t>
      </w:r>
    </w:p>
    <w:p>
      <w:pPr>
        <w:pStyle w:val="Heading3"/>
      </w:pPr>
      <w:r>
        <w:t>6.2 Archetypenliste</w:t>
      </w:r>
    </w:p>
    <w:p>
      <w:pPr/>
      <w:r>
        <w:t>Die bestehenden Archetypen werden fortgeführt und, soweit nötig, ergänzt:</w:t>
      </w:r>
    </w:p>
    <w:p>
      <w:pPr>
        <w:pStyle w:val="ListBullet"/>
      </w:pPr>
      <w:r>
        <w:t>higher_is_better_pct,</w:t>
      </w:r>
    </w:p>
    <w:p>
      <w:pPr>
        <w:pStyle w:val="ListBullet"/>
      </w:pPr>
      <w:r>
        <w:t>lower_is_better_abs,</w:t>
      </w:r>
    </w:p>
    <w:p>
      <w:pPr>
        <w:pStyle w:val="ListBullet"/>
      </w:pPr>
      <w:r>
        <w:t>near_zero_better,</w:t>
      </w:r>
    </w:p>
    <w:p>
      <w:pPr>
        <w:pStyle w:val="ListBullet"/>
      </w:pPr>
      <w:r>
        <w:t>reg_limit,</w:t>
      </w:r>
    </w:p>
    <w:p>
      <w:pPr>
        <w:pStyle w:val="ListBullet"/>
      </w:pPr>
      <w:r>
        <w:t>compliance_index,</w:t>
      </w:r>
    </w:p>
    <w:p>
      <w:pPr>
        <w:pStyle w:val="ListBullet"/>
      </w:pPr>
      <w:r>
        <w:t>improvement_rate,</w:t>
      </w:r>
    </w:p>
    <w:p>
      <w:pPr>
        <w:pStyle w:val="ListBullet"/>
      </w:pPr>
      <w:r>
        <w:t>absolute_cap,</w:t>
      </w:r>
    </w:p>
    <w:p>
      <w:pPr>
        <w:pStyle w:val="ListBullet"/>
      </w:pPr>
      <w:r>
        <w:t>pue,</w:t>
      </w:r>
    </w:p>
    <w:p>
      <w:pPr>
        <w:pStyle w:val="ListBullet"/>
      </w:pPr>
      <w:r>
        <w:t>threshold_redline,</w:t>
      </w:r>
    </w:p>
    <w:p>
      <w:pPr>
        <w:pStyle w:val="ListBullet"/>
      </w:pPr>
      <w:r>
        <w:t>binary_exclusion,</w:t>
      </w:r>
    </w:p>
    <w:p>
      <w:pPr>
        <w:pStyle w:val="ListBullet"/>
      </w:pPr>
      <w:r>
        <w:t>contextual_benchmark,</w:t>
      </w:r>
    </w:p>
    <w:p>
      <w:pPr>
        <w:pStyle w:val="ListBullet"/>
      </w:pPr>
      <w:r>
        <w:t>lifecycle_intensity.</w:t>
      </w:r>
    </w:p>
    <w:p>
      <w:pPr/>
      <w:r>
        <w:t>Neue Archetypen werden nur ergänzt, wenn bestehende Typen die Bewertungslogik nicht ausreichend abbilden.</w:t>
      </w:r>
    </w:p>
    <w:p>
      <w:pPr>
        <w:pStyle w:val="Heading3"/>
      </w:pPr>
      <w:r>
        <w:t>6.3 Score-Skala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Score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Bedeutung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-3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hoch negativ / rote Linie / stark schädlich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-2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negativ / schädlich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-1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schwach negativ / risikobehaftet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neutral / Mindeststandard / keine relevante positive Wirkung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+1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leicht positiv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+2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positiv / gut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+3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transformativ / sehr positiv / branchensetzend</w:t>
            </w:r>
          </w:p>
        </w:tc>
      </w:tr>
    </w:tbl>
    <w:p>
      <w:pPr/>
      <w:r>
        <w:t>Die Skala beschreibt bewertete Wirkung im Referenzrahmen. Sie ist kein moralisches Urteil über Personen.</w:t>
      </w:r>
    </w:p>
    <w:p>
      <w:pPr>
        <w:pStyle w:val="Heading3"/>
      </w:pPr>
      <w:r>
        <w:t>6.4 Formalisierung</w:t>
      </w:r>
    </w:p>
    <w:p>
      <w:pPr/>
      <w:r>
        <w:t>Die Leitlinien unterscheiden:</w:t>
      </w:r>
    </w:p>
    <w:p>
      <w:pPr>
        <w:pStyle w:val="ListBullet"/>
      </w:pPr>
      <w:r>
        <w:t>AutoScore: automatisiert aus Messwert, Archetyp und Schwellenwerten abgeleiteter Score.</w:t>
      </w:r>
    </w:p>
    <w:p>
      <w:pPr>
        <w:pStyle w:val="ListBullet"/>
      </w:pPr>
      <w:r>
        <w:t>BenchmarkScore: Score im Verhältnis zu Branchen-, Regional- oder Technologiekontext.</w:t>
      </w:r>
    </w:p>
    <w:p>
      <w:pPr>
        <w:pStyle w:val="ListBullet"/>
      </w:pPr>
      <w:r>
        <w:t>FinalScore: steuerungsrelevante Verdichtung unter Datenqualität, Mindestbedingungen, Reverse Merit Order und Nichtkompensation.</w:t>
      </w:r>
    </w:p>
    <w:p>
      <w:pPr/>
      <w:r>
        <w:t>Der FinalScore ist nicht immer nur minimum(AutoScore, BenchmarkScore). Für einzelne Indikatoren kann der strengere Wert gelten. Für Produkt- und Gesamtbewertung gilt die Reverse Merit Order mit Mindestbedingungen und Nichtkompensation. Der NWI kann ergänzend berechnet werden, wenn mehrere Wirkungsfelder unter Beachtung roter Linien zusammengeführt werden.</w:t>
      </w:r>
    </w:p>
    <w:p>
      <w:pPr>
        <w:pStyle w:val="Heading3"/>
      </w:pPr>
      <w:r>
        <w:t>6.5 Interpolation</w:t>
      </w:r>
    </w:p>
    <w:p>
      <w:pPr/>
      <w:r>
        <w:t>Lineare Interpolation ist zulässig, wo Messwerte kontinuierlich und fachlich sinnvoll bewertet werden können. Diskrete Klassen sind bei Grenzwerten, Regellimits und roten Linien vorzuziehen.</w:t>
      </w:r>
    </w:p>
    <w:p>
      <w:pPr/>
      <w:r>
        <w:t>Absolute Caps erzeugen keine positive Übererfüllung, wenn der Cap nur Mindestschutz markiert. Rote Linien bleiben nicht kompensierbar.</w:t>
      </w:r>
    </w:p>
    <w:p>
      <w:pPr>
        <w:pStyle w:val="Heading2"/>
      </w:pPr>
      <w:r>
        <w:t>Teil 7 - Benchmarks_by_NACE</w:t>
      </w:r>
    </w:p>
    <w:p>
      <w:pPr>
        <w:pStyle w:val="Heading3"/>
      </w:pPr>
      <w:r>
        <w:t>7.1 Zweck</w:t>
      </w:r>
    </w:p>
    <w:p>
      <w:pPr/>
      <w:r>
        <w:t>Benchmarks_by_NACE dienen Branchenfairness, Kontextualisierung und Vergleichbarkeit. Sie verhindern Äpfel-mit-Birnen-Vergleiche und schaffen Anschluss an EU-Taxonomie, ESRS, GRI, ISO, NACE und weitere Standards.</w:t>
      </w:r>
    </w:p>
    <w:p>
      <w:pPr>
        <w:pStyle w:val="Heading3"/>
      </w:pPr>
      <w:r>
        <w:t>7.2 Benchmark-Struktur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Feld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Beschreibung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WÖk-ID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Indikatorkennung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NACE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Branchenklassifikation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Region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geografischer Kontext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Technologieklasse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relevante Technologie- oder Prozessklasse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Einheit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Messgröße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Polarity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higher_is_better, lower_is_better usw.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Schwelle -3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stark negativer Bereich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Schwelle 0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Mindeststandard / neutraler Bereich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Schwelle +3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sehr positiver / branchensetzender Bereich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Datenquelle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Quelle der Schwellenwerte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Benchmark-Version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Gültig ab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Startdatum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Prüfstatus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Daten- und Methodenstatus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Kommentar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Kontext und Einschränkungen</w:t>
            </w:r>
          </w:p>
        </w:tc>
      </w:tr>
    </w:tbl>
    <w:p>
      <w:pPr>
        <w:pStyle w:val="Heading3"/>
      </w:pPr>
      <w:r>
        <w:t>7.3 Aktualisierung</w:t>
      </w:r>
    </w:p>
    <w:p>
      <w:pPr/>
      <w:r>
        <w:t>Benchmarks werden versioniert. Der Wirkungsrat oder ein Methodengremium verantwortet öffentliche Konsultation, wissenschaftliche Prüfung, Änderungsprotokolle und Übergangsfristen.</w:t>
      </w:r>
    </w:p>
    <w:p>
      <w:pPr/>
      <w:r>
        <w:t>Benchmarkänderungen dürfen nicht rückwirkend als Schockanwendung wirken.</w:t>
      </w:r>
    </w:p>
    <w:p>
      <w:pPr>
        <w:pStyle w:val="Heading2"/>
      </w:pPr>
      <w:r>
        <w:t>Teil 8 - Scorecards und FinalScore</w:t>
      </w:r>
    </w:p>
    <w:p>
      <w:pPr>
        <w:pStyle w:val="Heading3"/>
      </w:pPr>
      <w:r>
        <w:t>8.1 Scorecard-Aufbau</w:t>
      </w:r>
    </w:p>
    <w:p>
      <w:pPr/>
      <w:r>
        <w:t>Scorecards enthalten:</w:t>
      </w:r>
    </w:p>
    <w:p>
      <w:pPr>
        <w:pStyle w:val="ListBullet"/>
      </w:pPr>
      <w:r>
        <w:t>Produkt oder Dienstleistung,</w:t>
      </w:r>
    </w:p>
    <w:p>
      <w:pPr>
        <w:pStyle w:val="ListBullet"/>
      </w:pPr>
      <w:r>
        <w:t>Produktgruppe,</w:t>
      </w:r>
    </w:p>
    <w:p>
      <w:pPr>
        <w:pStyle w:val="ListBullet"/>
      </w:pPr>
      <w:r>
        <w:t>NACE,</w:t>
      </w:r>
    </w:p>
    <w:p>
      <w:pPr>
        <w:pStyle w:val="ListBullet"/>
      </w:pPr>
      <w:r>
        <w:t>Lieferkette,</w:t>
      </w:r>
    </w:p>
    <w:p>
      <w:pPr>
        <w:pStyle w:val="ListBullet"/>
      </w:pPr>
      <w:r>
        <w:t>WÖk-IDs,</w:t>
      </w:r>
    </w:p>
    <w:p>
      <w:pPr>
        <w:pStyle w:val="ListBullet"/>
      </w:pPr>
      <w:r>
        <w:t>Messwerte,</w:t>
      </w:r>
    </w:p>
    <w:p>
      <w:pPr>
        <w:pStyle w:val="ListBullet"/>
      </w:pPr>
      <w:r>
        <w:t>Datenquelle,</w:t>
      </w:r>
    </w:p>
    <w:p>
      <w:pPr>
        <w:pStyle w:val="ListBullet"/>
      </w:pPr>
      <w:r>
        <w:t>Datenqualität,</w:t>
      </w:r>
    </w:p>
    <w:p>
      <w:pPr>
        <w:pStyle w:val="ListBullet"/>
      </w:pPr>
      <w:r>
        <w:t>Einzelscores,</w:t>
      </w:r>
    </w:p>
    <w:p>
      <w:pPr>
        <w:pStyle w:val="ListBullet"/>
      </w:pPr>
      <w:r>
        <w:t>rote Linien,</w:t>
      </w:r>
    </w:p>
    <w:p>
      <w:pPr>
        <w:pStyle w:val="ListBullet"/>
      </w:pPr>
      <w:r>
        <w:t>Reverse Merit Order,</w:t>
      </w:r>
    </w:p>
    <w:p>
      <w:pPr>
        <w:pStyle w:val="ListBullet"/>
      </w:pPr>
      <w:r>
        <w:t>FinalScore,</w:t>
      </w:r>
    </w:p>
    <w:p>
      <w:pPr>
        <w:pStyle w:val="ListBullet"/>
      </w:pPr>
      <w:r>
        <w:t>NWI-Bezug,</w:t>
      </w:r>
    </w:p>
    <w:p>
      <w:pPr>
        <w:pStyle w:val="ListBullet"/>
      </w:pPr>
      <w:r>
        <w:t>Prüfstatus,</w:t>
      </w:r>
    </w:p>
    <w:p>
      <w:pPr>
        <w:pStyle w:val="ListBullet"/>
      </w:pPr>
      <w:r>
        <w:t>Gültigkeit,</w:t>
      </w:r>
    </w:p>
    <w:p>
      <w:pPr>
        <w:pStyle w:val="ListBullet"/>
      </w:pPr>
      <w:r>
        <w:t>Einspruchsstatus.</w:t>
      </w:r>
    </w:p>
    <w:p>
      <w:pPr>
        <w:pStyle w:val="Heading3"/>
      </w:pPr>
      <w:r>
        <w:t>8.2 FinalScore-Bildung</w:t>
      </w:r>
    </w:p>
    <w:p>
      <w:pPr/>
      <w:r>
        <w:t>Der FinalScore ist die steuerungsrelevante Verdichtung. Er darf kritische Defizite nicht verdecken.</w:t>
      </w:r>
    </w:p>
    <w:p>
      <w:pPr/>
      <w:r>
        <w:t>Er berücksichtigt:</w:t>
      </w:r>
    </w:p>
    <w:p>
      <w:pPr>
        <w:pStyle w:val="ListBullet"/>
      </w:pPr>
      <w:r>
        <w:t>Einzelscores,</w:t>
      </w:r>
    </w:p>
    <w:p>
      <w:pPr>
        <w:pStyle w:val="ListBullet"/>
      </w:pPr>
      <w:r>
        <w:t>Datenqualität,</w:t>
      </w:r>
    </w:p>
    <w:p>
      <w:pPr>
        <w:pStyle w:val="ListBullet"/>
      </w:pPr>
      <w:r>
        <w:t>rote Linien,</w:t>
      </w:r>
    </w:p>
    <w:p>
      <w:pPr>
        <w:pStyle w:val="ListBullet"/>
      </w:pPr>
      <w:r>
        <w:t>Reverse Merit Order,</w:t>
      </w:r>
    </w:p>
    <w:p>
      <w:pPr>
        <w:pStyle w:val="ListBullet"/>
      </w:pPr>
      <w:r>
        <w:t>Nichtkompensation,</w:t>
      </w:r>
    </w:p>
    <w:p>
      <w:pPr>
        <w:pStyle w:val="ListBullet"/>
      </w:pPr>
      <w:r>
        <w:t>Branchenkontext,</w:t>
      </w:r>
    </w:p>
    <w:p>
      <w:pPr>
        <w:pStyle w:val="ListBullet"/>
      </w:pPr>
      <w:r>
        <w:t>Mindestbedingungen.</w:t>
      </w:r>
    </w:p>
    <w:p>
      <w:pPr>
        <w:pStyle w:val="Heading3"/>
      </w:pPr>
      <w:r>
        <w:t>8.3 Unterschied FinalScore und NWI</w:t>
      </w:r>
    </w:p>
    <w:p>
      <w:pPr/>
      <w:r>
        <w:t>FinalScore ist die praktisch steuerungsrelevante Score-Verdichtung für Produkt- und Umsatzsteuerzwecke.</w:t>
      </w:r>
    </w:p>
    <w:p>
      <w:pPr/>
      <w:r>
        <w:t>NWI ist die operative Netto-Wirkungskennzahl, wenn positive und negative Wirkungen systematisch unter Nichtkompensation zusammengeführt werden.</w:t>
      </w:r>
    </w:p>
    <w:p>
      <w:pPr/>
      <w:r>
        <w:t>FinalScore kann aus NWI-Logiken gespeist werden, ist aber nicht identisch mit T-SROI.</w:t>
      </w:r>
    </w:p>
    <w:p>
      <w:pPr/>
      <w:r>
        <w:t>T-SROI bewertet Transformation, nicht die Standard-Produktsteuerklasse.</w:t>
      </w:r>
    </w:p>
    <w:p>
      <w:pPr>
        <w:pStyle w:val="Heading3"/>
      </w:pPr>
      <w:r>
        <w:t>8.4 Steuerklassen als Modellvariante</w:t>
      </w:r>
    </w:p>
    <w:p>
      <w:pPr/>
      <w:r>
        <w:t>Steuerklassen und Steuersätze sind in dieser Leitlinie Modellvarianten für Pilotierung und Simulation. Ihre verbindliche Anwendung setzt gesetzliche Umsetzung und europarechtliche Prüfung voraus.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FinalScore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Modellklasse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Mögliche steuerliche Rückkopplung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+3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transformativ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starke Entlastung / Pilot: niedrigster Satz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+2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sehr positiv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Entlastung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+1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positiv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moderate Entlastung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neutral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Standardsatz / keine Entlastung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-1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negativ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leichte Belastung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-2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schädlich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erhöhte Belastung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-3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hoch schädlich / rote Linie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höchste Belastung / Ausschluss / Sonderprüfung</w:t>
            </w:r>
          </w:p>
        </w:tc>
      </w:tr>
    </w:tbl>
    <w:p>
      <w:pPr/>
      <w:r>
        <w:t>Konkrete Prozentsätze werden nicht verbindlich gesetzt. Frühere Werte wie 0 %, 5 %, 12 %, 19 %, 20 % oder 25 % sind historische Simulationswerte oder mögliche Pilotannahmen, nicht geltendes Recht.</w:t>
      </w:r>
    </w:p>
    <w:p>
      <w:pPr>
        <w:pStyle w:val="Heading2"/>
      </w:pPr>
      <w:r>
        <w:t>Teil 9 - Reverse Merit Order und Nichtkompensation</w:t>
      </w:r>
    </w:p>
    <w:p>
      <w:pPr>
        <w:pStyle w:val="Heading3"/>
      </w:pPr>
      <w:r>
        <w:t>9.1 Grundsatz</w:t>
      </w:r>
    </w:p>
    <w:p>
      <w:pPr/>
      <w:r>
        <w:t>Die Reverse Merit Order bedeutet: Das schwächste kritische Wirkungsfeld begrenzt die Gesamtbewertung.</w:t>
      </w:r>
    </w:p>
    <w:p>
      <w:pPr>
        <w:pStyle w:val="Heading3"/>
      </w:pPr>
      <w:r>
        <w:t>9.2 Warum keine Durchschnittslogik</w:t>
      </w:r>
    </w:p>
    <w:p>
      <w:pPr/>
      <w:r>
        <w:t>Eine reine Durchschnittslogik würde kritische Schäden verdecken:</w:t>
      </w:r>
    </w:p>
    <w:p>
      <w:pPr>
        <w:pStyle w:val="ListBullet"/>
      </w:pPr>
      <w:r>
        <w:t>Kinderarbeit bleibt Kinderarbeit, auch bei guter CO2-Bilanz.</w:t>
      </w:r>
    </w:p>
    <w:p>
      <w:pPr>
        <w:pStyle w:val="ListBullet"/>
      </w:pPr>
      <w:r>
        <w:t>Hoher Wasserstress bleibt kritisch, auch bei Recycling.</w:t>
      </w:r>
    </w:p>
    <w:p>
      <w:pPr>
        <w:pStyle w:val="ListBullet"/>
      </w:pPr>
      <w:r>
        <w:t>Massive Desinformation bleibt demokratisch schädlich, auch bei Bildungsanspruch.</w:t>
      </w:r>
    </w:p>
    <w:p>
      <w:pPr>
        <w:pStyle w:val="ListBullet"/>
      </w:pPr>
      <w:r>
        <w:t>Toxische Stoffe bleiben kritisch, auch bei Energieeffizienz.</w:t>
      </w:r>
    </w:p>
    <w:p>
      <w:pPr>
        <w:pStyle w:val="Heading3"/>
      </w:pPr>
      <w:r>
        <w:t>9.3 Verantwortungsproportionalität</w:t>
      </w:r>
    </w:p>
    <w:p>
      <w:pPr/>
      <w:r>
        <w:t>Die Reverse Merit Order ist streng in der Wirkung, aber proportional in der Verantwortung.</w:t>
      </w:r>
    </w:p>
    <w:p>
      <w:pPr/>
      <w:r>
        <w:t>Sie bewertet kritische Wirkungsdefizite, nicht den moralischen Wert einzelner Menschen.</w:t>
      </w:r>
    </w:p>
    <w:p>
      <w:pPr>
        <w:pStyle w:val="Heading3"/>
      </w:pPr>
      <w:r>
        <w:t>9.4 Rote Linien</w:t>
      </w:r>
    </w:p>
    <w:p>
      <w:pPr/>
      <w:r>
        <w:t>Bei roten Linien kommen je nach Rechtsrahmen in Betracht:</w:t>
      </w:r>
    </w:p>
    <w:p>
      <w:pPr>
        <w:pStyle w:val="ListBullet"/>
      </w:pPr>
      <w:r>
        <w:t>kein positives Gesamturteil,</w:t>
      </w:r>
    </w:p>
    <w:p>
      <w:pPr>
        <w:pStyle w:val="ListBullet"/>
      </w:pPr>
      <w:r>
        <w:t>Sonderprüfung,</w:t>
      </w:r>
    </w:p>
    <w:p>
      <w:pPr>
        <w:pStyle w:val="ListBullet"/>
      </w:pPr>
      <w:r>
        <w:t>Ausschluss von Entlastung,</w:t>
      </w:r>
    </w:p>
    <w:p>
      <w:pPr>
        <w:pStyle w:val="ListBullet"/>
      </w:pPr>
      <w:r>
        <w:t>Höchstbelastung im Pilotmodell,</w:t>
      </w:r>
    </w:p>
    <w:p>
      <w:pPr>
        <w:pStyle w:val="ListBullet"/>
      </w:pPr>
      <w:r>
        <w:t>Verbote oder Marktzugangsbeschränkungen nur über gesonderten Rechtsrahmen.</w:t>
      </w:r>
    </w:p>
    <w:p>
      <w:pPr>
        <w:pStyle w:val="Heading2"/>
      </w:pPr>
      <w:r>
        <w:t>Teil 10 - Vorsteuer-, Lieferketten- und Importlogik</w:t>
      </w:r>
    </w:p>
    <w:p>
      <w:pPr>
        <w:pStyle w:val="Heading3"/>
      </w:pPr>
      <w:r>
        <w:t>10.1 Vorsichtige Neufassung der Vorsteuerlogik</w:t>
      </w:r>
    </w:p>
    <w:p>
      <w:pPr/>
      <w:r>
        <w:t>Die alte Formulierung "nur positive Lieferungen sind vorsteuerfähig" bleibt als starke Zielidee verständlich, ist aber rechtlich und praktisch zu hart.</w:t>
      </w:r>
    </w:p>
    <w:p>
      <w:pPr/>
      <w:r>
        <w:t>Neue Leitformulierung:</w:t>
      </w:r>
    </w:p>
    <w:p>
      <w:pPr>
        <w:pStyle w:val="Quote"/>
      </w:pPr>
      <w:r>
        <w:t>Vorsteuer- und Anrechnungslogiken können wirkungsdifferenziert ausgestaltet werden. Negative oder risikobehaftete Vorleistungen sollen steuerlich nicht vollständig neutralisiert werden, sondern über Abschläge, Zuschläge, Prüfpflichten oder Nichtanrechenbarkeit in definierten Risikoklassen rückgekoppelt werden.</w:t>
      </w:r>
    </w:p>
    <w:p>
      <w:pPr>
        <w:pStyle w:val="Heading3"/>
      </w:pPr>
      <w:r>
        <w:t>10.2 Vorleistungsbewertung</w:t>
      </w:r>
    </w:p>
    <w:p>
      <w:pPr/>
      <w:r>
        <w:t>Mögliche Abstufung im Pilotmodell:</w:t>
      </w:r>
    </w:p>
    <w:p>
      <w:pPr>
        <w:pStyle w:val="ListBullet"/>
      </w:pPr>
      <w:r>
        <w:t>FinalScore +2/+3: volle Anrechnung oder Bonusmodell möglich,</w:t>
      </w:r>
    </w:p>
    <w:p>
      <w:pPr>
        <w:pStyle w:val="ListBullet"/>
      </w:pPr>
      <w:r>
        <w:t>FinalScore +1: reguläre Anrechnung,</w:t>
      </w:r>
    </w:p>
    <w:p>
      <w:pPr>
        <w:pStyle w:val="ListBullet"/>
      </w:pPr>
      <w:r>
        <w:t>FinalScore 0: reguläre oder begrenzte Anrechnung, je nach Pilot,</w:t>
      </w:r>
    </w:p>
    <w:p>
      <w:pPr>
        <w:pStyle w:val="ListBullet"/>
      </w:pPr>
      <w:r>
        <w:t>FinalScore -1: Abschlag oder Prüfpflicht,</w:t>
      </w:r>
    </w:p>
    <w:p>
      <w:pPr>
        <w:pStyle w:val="ListBullet"/>
      </w:pPr>
      <w:r>
        <w:t>FinalScore -2: deutlicher Abschlag oder erhöhte Belastung,</w:t>
      </w:r>
    </w:p>
    <w:p>
      <w:pPr>
        <w:pStyle w:val="ListBullet"/>
      </w:pPr>
      <w:r>
        <w:t>FinalScore -3 / rote Linie: Nichtanrechnung oder Sonderprüfung im Modell.</w:t>
      </w:r>
    </w:p>
    <w:p>
      <w:pPr>
        <w:pStyle w:val="Heading3"/>
      </w:pPr>
      <w:r>
        <w:t>10.3 Lieferketten</w:t>
      </w:r>
    </w:p>
    <w:p>
      <w:pPr/>
      <w:r>
        <w:t>Lieferkettenbewertungen erfassen Scores entlang der Kette. Digitale Produktpässe können als Datencontainer dienen. Negative Wirkung darf nicht durch bloßes Durchschleusen in der Lieferkette unsichtbar werden.</w:t>
      </w:r>
    </w:p>
    <w:p>
      <w:pPr/>
      <w:r>
        <w:t>Importdaten, Einfuhrumsatzsteuer, Zoll und Grenzlogik sind Anschlussprobleme und nicht als fertig gelöstes nationales Steuerrecht zu formulieren.</w:t>
      </w:r>
    </w:p>
    <w:p>
      <w:pPr>
        <w:pStyle w:val="Heading3"/>
      </w:pPr>
      <w:r>
        <w:t>10.4 Import und Grenzausgleich</w:t>
      </w:r>
    </w:p>
    <w:p>
      <w:pPr/>
      <w:r>
        <w:t>Eine wirkungsbasierte Importlogik kann an CBAM- und Grenzausgleichslogiken anschließen. Diese Fassung behauptet nicht, dass eine solche Logik sofort ohne EU-Rechtsänderung möglich ist.</w:t>
      </w:r>
    </w:p>
    <w:p>
      <w:pPr/>
      <w:r>
        <w:t>Pilotierung sollte zunächst in datenreichen Warenklassen erfolgen.</w:t>
      </w:r>
    </w:p>
    <w:p>
      <w:pPr>
        <w:pStyle w:val="Heading2"/>
      </w:pPr>
      <w:r>
        <w:t>Teil 11 - Digitale Produktpässe und Wirkungsdatenräume</w:t>
      </w:r>
    </w:p>
    <w:p>
      <w:pPr>
        <w:pStyle w:val="Heading3"/>
      </w:pPr>
      <w:r>
        <w:t>11.1 DPP als Produktgedächtnis</w:t>
      </w:r>
    </w:p>
    <w:p>
      <w:pPr/>
      <w:r>
        <w:t>Der digitale Produktpass dient als Produktgedächtnis. Er kann enthalten:</w:t>
      </w:r>
    </w:p>
    <w:p>
      <w:pPr>
        <w:pStyle w:val="ListBullet"/>
      </w:pPr>
      <w:r>
        <w:t>Produktdaten,</w:t>
      </w:r>
    </w:p>
    <w:p>
      <w:pPr>
        <w:pStyle w:val="ListBullet"/>
      </w:pPr>
      <w:r>
        <w:t>Lieferkettendaten,</w:t>
      </w:r>
    </w:p>
    <w:p>
      <w:pPr>
        <w:pStyle w:val="ListBullet"/>
      </w:pPr>
      <w:r>
        <w:t>WÖk-IDs,</w:t>
      </w:r>
    </w:p>
    <w:p>
      <w:pPr>
        <w:pStyle w:val="ListBullet"/>
      </w:pPr>
      <w:r>
        <w:t>Prüfnachweise,</w:t>
      </w:r>
    </w:p>
    <w:p>
      <w:pPr>
        <w:pStyle w:val="ListBullet"/>
      </w:pPr>
      <w:r>
        <w:t>Scorecard,</w:t>
      </w:r>
    </w:p>
    <w:p>
      <w:pPr>
        <w:pStyle w:val="ListBullet"/>
      </w:pPr>
      <w:r>
        <w:t>FinalScore,</w:t>
      </w:r>
    </w:p>
    <w:p>
      <w:pPr>
        <w:pStyle w:val="ListBullet"/>
      </w:pPr>
      <w:r>
        <w:t>Datenqualität,</w:t>
      </w:r>
    </w:p>
    <w:p>
      <w:pPr>
        <w:pStyle w:val="ListBullet"/>
      </w:pPr>
      <w:r>
        <w:t>Version.</w:t>
      </w:r>
    </w:p>
    <w:p>
      <w:pPr>
        <w:pStyle w:val="Heading3"/>
      </w:pPr>
      <w:r>
        <w:t>11.2 Datenräume</w:t>
      </w:r>
    </w:p>
    <w:p>
      <w:pPr/>
      <w:r>
        <w:t>Wirkungsdatenräume unterscheiden Rollen und Zugriffe:</w:t>
      </w:r>
    </w:p>
    <w:p>
      <w:pPr>
        <w:pStyle w:val="ListBullet"/>
      </w:pPr>
      <w:r>
        <w:t>Unternehmen liefern Daten,</w:t>
      </w:r>
    </w:p>
    <w:p>
      <w:pPr>
        <w:pStyle w:val="ListBullet"/>
      </w:pPr>
      <w:r>
        <w:t>Prüfer:innen kontrollieren Nachweise,</w:t>
      </w:r>
    </w:p>
    <w:p>
      <w:pPr>
        <w:pStyle w:val="ListBullet"/>
      </w:pPr>
      <w:r>
        <w:t>Finanzverwaltung nutzt rechtsrelevante Ausschnitte,</w:t>
      </w:r>
    </w:p>
    <w:p>
      <w:pPr>
        <w:pStyle w:val="ListBullet"/>
      </w:pPr>
      <w:r>
        <w:t>Wirkungsrat pflegt Methoden und Benchmarks,</w:t>
      </w:r>
    </w:p>
    <w:p>
      <w:pPr>
        <w:pStyle w:val="ListBullet"/>
      </w:pPr>
      <w:r>
        <w:t>Verbraucher:innen erhalten aggregierte und verständliche Informationen.</w:t>
      </w:r>
    </w:p>
    <w:p>
      <w:pPr/>
      <w:r>
        <w:t>Datenschutz, Geschäftsgeheimnisse und öffentliches Interesse sind abzuwägen.</w:t>
      </w:r>
    </w:p>
    <w:p>
      <w:pPr>
        <w:pStyle w:val="Heading3"/>
      </w:pPr>
      <w:r>
        <w:t>11.3 Interoperabilität</w:t>
      </w:r>
    </w:p>
    <w:p>
      <w:pPr/>
      <w:r>
        <w:t>Die Datenarchitektur soll anschlussfähig sein an ESRS, GRI, EU-Taxonomie, NACE, EPD, DPP, XBRL, Produktklassifikationen sowie Zoll- und Warennummern, soweit relevant.</w:t>
      </w:r>
    </w:p>
    <w:p>
      <w:pPr>
        <w:pStyle w:val="Heading3"/>
      </w:pPr>
      <w:r>
        <w:t>11.4 Auditierbarkeit</w:t>
      </w:r>
    </w:p>
    <w:p>
      <w:pPr/>
      <w:r>
        <w:t>Auditierbarkeit umfasst Prüflog, Versionierung, Datenherkunft, Änderungsverlauf, Zertifikate, maschinenlesbare Nachweise und menschliche Überprüfung.</w:t>
      </w:r>
    </w:p>
    <w:p>
      <w:pPr>
        <w:pStyle w:val="Heading2"/>
      </w:pPr>
      <w:r>
        <w:t>Teil 12 - Verbraucherinformation und Schutz vor Social-Credit-Missverständnissen</w:t>
      </w:r>
    </w:p>
    <w:p>
      <w:pPr>
        <w:pStyle w:val="Heading3"/>
      </w:pPr>
      <w:r>
        <w:t>12.1 Verbraucherinformation</w:t>
      </w:r>
    </w:p>
    <w:p>
      <w:pPr/>
      <w:r>
        <w:t>Scores können für Verbraucher:innen verständlich sichtbar gemacht werden, etwa über ein Label, eine Ampel, eine Kurzbewertung oder einen Link zu Detailinformationen.</w:t>
      </w:r>
    </w:p>
    <w:p>
      <w:pPr/>
      <w:r>
        <w:t>Die Information darf keine moralische Überforderung erzeugen und keine Pflicht zur Offenlegung individueller Kaufprofile begründen.</w:t>
      </w:r>
    </w:p>
    <w:p>
      <w:pPr>
        <w:pStyle w:val="Heading3"/>
      </w:pPr>
      <w:r>
        <w:t>12.2 Wirkungspunkte nur vorsichtig</w:t>
      </w:r>
    </w:p>
    <w:p>
      <w:pPr/>
      <w:r>
        <w:t>Verbraucherbezogene Bonusmodelle dürfen keine Personenbewertung, keine Konsumüberwachung und kein Sozialkreditsystem erzeugen. Sie sind nur als freiwillige, datensparsame, transparente und rechtlich geschützte Modelle denkbar.</w:t>
      </w:r>
    </w:p>
    <w:p>
      <w:pPr>
        <w:pStyle w:val="Heading3"/>
      </w:pPr>
      <w:r>
        <w:t>12.3 Datenschutz</w:t>
      </w:r>
    </w:p>
    <w:p>
      <w:pPr/>
      <w:r>
        <w:t>Pflichtsätze:</w:t>
      </w:r>
    </w:p>
    <w:p>
      <w:pPr>
        <w:pStyle w:val="ListBullet"/>
      </w:pPr>
      <w:r>
        <w:t>keine personenbezogene Kaufbewertung,</w:t>
      </w:r>
    </w:p>
    <w:p>
      <w:pPr>
        <w:pStyle w:val="ListBullet"/>
      </w:pPr>
      <w:r>
        <w:t>keine Gesinnungsbewertung,</w:t>
      </w:r>
    </w:p>
    <w:p>
      <w:pPr>
        <w:pStyle w:val="ListBullet"/>
      </w:pPr>
      <w:r>
        <w:t>keine Lebensstilpolizei,</w:t>
      </w:r>
    </w:p>
    <w:p>
      <w:pPr>
        <w:pStyle w:val="ListBullet"/>
      </w:pPr>
      <w:r>
        <w:t>Datenminimierung,</w:t>
      </w:r>
    </w:p>
    <w:p>
      <w:pPr>
        <w:pStyle w:val="ListBullet"/>
      </w:pPr>
      <w:r>
        <w:t>freiwillige Nutzung,</w:t>
      </w:r>
    </w:p>
    <w:p>
      <w:pPr>
        <w:pStyle w:val="ListBullet"/>
      </w:pPr>
      <w:r>
        <w:t>Widerspruchsrechte,</w:t>
      </w:r>
    </w:p>
    <w:p>
      <w:pPr>
        <w:pStyle w:val="ListBullet"/>
      </w:pPr>
      <w:r>
        <w:t>keine Nachteile bei Nichtteilnahme.</w:t>
      </w:r>
    </w:p>
    <w:p>
      <w:pPr>
        <w:pStyle w:val="Heading2"/>
      </w:pPr>
      <w:r>
        <w:t>Teil 13 - Soziale Abfederung, Basisgüter und KMU</w:t>
      </w:r>
    </w:p>
    <w:p>
      <w:pPr>
        <w:pStyle w:val="Heading3"/>
      </w:pPr>
      <w:r>
        <w:t>13.1 Kaufkraftschutz</w:t>
      </w:r>
    </w:p>
    <w:p>
      <w:pPr/>
      <w:r>
        <w:t>Wirkungssteuerliche Rückkopplung muss Basisgüter, Grundversorgung, einkommensschwache Haushalte, Rückverteilung, Entlastung und Übergangsfristen berücksichtigen.</w:t>
      </w:r>
    </w:p>
    <w:p>
      <w:pPr/>
      <w:r>
        <w:t>Positive Netto-Wirkung soll zugänglicher werden, nicht nur ein Premiumsegment.</w:t>
      </w:r>
    </w:p>
    <w:p>
      <w:pPr>
        <w:pStyle w:val="Heading3"/>
      </w:pPr>
      <w:r>
        <w:t>13.2 KMU-Schutz</w:t>
      </w:r>
    </w:p>
    <w:p>
      <w:pPr/>
      <w:r>
        <w:t>KMU benötigen:</w:t>
      </w:r>
    </w:p>
    <w:p>
      <w:pPr>
        <w:pStyle w:val="ListBullet"/>
      </w:pPr>
      <w:r>
        <w:t>abgestufte Pflichten,</w:t>
      </w:r>
    </w:p>
    <w:p>
      <w:pPr>
        <w:pStyle w:val="ListBullet"/>
      </w:pPr>
      <w:r>
        <w:t>vereinfachte Scorecards,</w:t>
      </w:r>
    </w:p>
    <w:p>
      <w:pPr>
        <w:pStyle w:val="ListBullet"/>
      </w:pPr>
      <w:r>
        <w:t>Branchenstandardwerte,</w:t>
      </w:r>
    </w:p>
    <w:p>
      <w:pPr>
        <w:pStyle w:val="ListBullet"/>
      </w:pPr>
      <w:r>
        <w:t>Unterstützungsangebote,</w:t>
      </w:r>
    </w:p>
    <w:p>
      <w:pPr>
        <w:pStyle w:val="ListBullet"/>
      </w:pPr>
      <w:r>
        <w:t>längere Übergangsfristen,</w:t>
      </w:r>
    </w:p>
    <w:p>
      <w:pPr>
        <w:pStyle w:val="ListBullet"/>
      </w:pPr>
      <w:r>
        <w:t>Schutz vor Datenüberforderung.</w:t>
      </w:r>
    </w:p>
    <w:p>
      <w:pPr>
        <w:pStyle w:val="Heading3"/>
      </w:pPr>
      <w:r>
        <w:t>13.3 Regionale Fairness</w:t>
      </w:r>
    </w:p>
    <w:p>
      <w:pPr/>
      <w:r>
        <w:t>Regionale Benchmarks berücksichtigen Wasserstress, Energieinfrastruktur, Lieferkettenkontext, regionale Produktionsbedingungen und Datenverfügbarkeit.</w:t>
      </w:r>
    </w:p>
    <w:p>
      <w:pPr/>
      <w:r>
        <w:t>Kleine regionale Produzenten dürfen nicht allein wegen geringerer Datenkapazität schlechter gestellt werden, solange konservative und nachprüfbare Standardwerte genutzt werden.</w:t>
      </w:r>
    </w:p>
    <w:p>
      <w:pPr>
        <w:pStyle w:val="Heading2"/>
      </w:pPr>
      <w:r>
        <w:t>Teil 14 - Governance und Wirkungsrat</w:t>
      </w:r>
    </w:p>
    <w:p>
      <w:pPr>
        <w:pStyle w:val="Heading3"/>
      </w:pPr>
      <w:r>
        <w:t>14.1 Aufgaben des Wirkungsrats</w:t>
      </w:r>
    </w:p>
    <w:p>
      <w:pPr/>
      <w:r>
        <w:t>Der Wirkungsrat verantwortet oder koordiniert:</w:t>
      </w:r>
    </w:p>
    <w:p>
      <w:pPr>
        <w:pStyle w:val="ListBullet"/>
      </w:pPr>
      <w:r>
        <w:t>WÖk-ID-Register,</w:t>
      </w:r>
    </w:p>
    <w:p>
      <w:pPr>
        <w:pStyle w:val="ListBullet"/>
      </w:pPr>
      <w:r>
        <w:t>Benchmarks,</w:t>
      </w:r>
    </w:p>
    <w:p>
      <w:pPr>
        <w:pStyle w:val="ListBullet"/>
      </w:pPr>
      <w:r>
        <w:t>Archetypen,</w:t>
      </w:r>
    </w:p>
    <w:p>
      <w:pPr>
        <w:pStyle w:val="ListBullet"/>
      </w:pPr>
      <w:r>
        <w:t>Scorecard-Standards,</w:t>
      </w:r>
    </w:p>
    <w:p>
      <w:pPr>
        <w:pStyle w:val="ListBullet"/>
      </w:pPr>
      <w:r>
        <w:t>Evaluationszyklen,</w:t>
      </w:r>
    </w:p>
    <w:p>
      <w:pPr>
        <w:pStyle w:val="ListBullet"/>
      </w:pPr>
      <w:r>
        <w:t>öffentliche Konsultation,</w:t>
      </w:r>
    </w:p>
    <w:p>
      <w:pPr>
        <w:pStyle w:val="ListBullet"/>
      </w:pPr>
      <w:r>
        <w:t>Missbrauchsschutz,</w:t>
      </w:r>
    </w:p>
    <w:p>
      <w:pPr>
        <w:pStyle w:val="ListBullet"/>
      </w:pPr>
      <w:r>
        <w:t>Datenqualitätsregeln.</w:t>
      </w:r>
    </w:p>
    <w:p>
      <w:pPr>
        <w:pStyle w:val="Heading3"/>
      </w:pPr>
      <w:r>
        <w:t>14.2 Versionierung</w:t>
      </w:r>
    </w:p>
    <w:p>
      <w:pPr/>
      <w:r>
        <w:t>Jede Methode erhält eine Version. Jede Benchmarkänderung wird dokumentiert, begründet und mit Übergangsfristen versehen.</w:t>
      </w:r>
    </w:p>
    <w:p>
      <w:pPr/>
      <w:r>
        <w:t>Änderungsprotokolle müssen öffentlich nachvollziehbar sein.</w:t>
      </w:r>
    </w:p>
    <w:p>
      <w:pPr>
        <w:pStyle w:val="Heading3"/>
      </w:pPr>
      <w:r>
        <w:t>14.3 Lobby-Schutz</w:t>
      </w:r>
    </w:p>
    <w:p>
      <w:pPr/>
      <w:r>
        <w:t>Governance braucht Offenlegung, Interessenkonfliktregeln, Cooling-off-Regeln, pluralen Rat, Schutz vor Dominanz einzelner Branchen und Whistleblower-Schutz.</w:t>
      </w:r>
    </w:p>
    <w:p>
      <w:pPr>
        <w:pStyle w:val="Heading2"/>
      </w:pPr>
      <w:r>
        <w:t>Teil 15 - Rechtsschutz, Prüfung und Korrektur</w:t>
      </w:r>
    </w:p>
    <w:p>
      <w:pPr>
        <w:pStyle w:val="Heading3"/>
      </w:pPr>
      <w:r>
        <w:t>15.1 Nachvollziehbarkeit</w:t>
      </w:r>
    </w:p>
    <w:p>
      <w:pPr/>
      <w:r>
        <w:t>Jede Bewertung muss erklären:</w:t>
      </w:r>
    </w:p>
    <w:p>
      <w:pPr>
        <w:pStyle w:val="ListBullet"/>
      </w:pPr>
      <w:r>
        <w:t>welche Daten verwendet wurden,</w:t>
      </w:r>
    </w:p>
    <w:p>
      <w:pPr>
        <w:pStyle w:val="ListBullet"/>
      </w:pPr>
      <w:r>
        <w:t>welche WÖk-IDs betroffen sind,</w:t>
      </w:r>
    </w:p>
    <w:p>
      <w:pPr>
        <w:pStyle w:val="ListBullet"/>
      </w:pPr>
      <w:r>
        <w:t>welcher Archetyp greift,</w:t>
      </w:r>
    </w:p>
    <w:p>
      <w:pPr>
        <w:pStyle w:val="ListBullet"/>
      </w:pPr>
      <w:r>
        <w:t>welcher Benchmark gilt,</w:t>
      </w:r>
    </w:p>
    <w:p>
      <w:pPr>
        <w:pStyle w:val="ListBullet"/>
      </w:pPr>
      <w:r>
        <w:t>welche Datenqualität vorliegt,</w:t>
      </w:r>
    </w:p>
    <w:p>
      <w:pPr>
        <w:pStyle w:val="ListBullet"/>
      </w:pPr>
      <w:r>
        <w:t>welcher FinalScore entsteht,</w:t>
      </w:r>
    </w:p>
    <w:p>
      <w:pPr>
        <w:pStyle w:val="ListBullet"/>
      </w:pPr>
      <w:r>
        <w:t>welche rote Linie berührt ist,</w:t>
      </w:r>
    </w:p>
    <w:p>
      <w:pPr>
        <w:pStyle w:val="ListBullet"/>
      </w:pPr>
      <w:r>
        <w:t>welche Version angewandt wurde.</w:t>
      </w:r>
    </w:p>
    <w:p>
      <w:pPr>
        <w:pStyle w:val="Heading3"/>
      </w:pPr>
      <w:r>
        <w:t>15.2 Einspruch</w:t>
      </w:r>
    </w:p>
    <w:p>
      <w:pPr/>
      <w:r>
        <w:t>Ein späterer Rechtsrahmen muss Einspruchsverfahren, Datenkorrektur, Nachreichung, unabhängige Prüfung, Fristen und gerichtlichen Rechtsschutz ausgestalten.</w:t>
      </w:r>
    </w:p>
    <w:p>
      <w:pPr/>
      <w:r>
        <w:t>Bis dahin sind Pilotbewertungen als überprüfbare, korrigierbare Methodentests zu führen.</w:t>
      </w:r>
    </w:p>
    <w:p>
      <w:pPr>
        <w:pStyle w:val="Heading3"/>
      </w:pPr>
      <w:r>
        <w:t>15.3 Algorithmische Systeme</w:t>
      </w:r>
    </w:p>
    <w:p>
      <w:pPr/>
      <w:r>
        <w:t>Algorithmische Systeme dürfen keine Blackbox-Entscheidungen über wesentliche wirtschaftliche oder rechtliche Folgen treffen.</w:t>
      </w:r>
    </w:p>
    <w:p>
      <w:pPr/>
      <w:r>
        <w:t>Erforderlich sind erklärbare Score-Ableitung, Bias-Prüfung, Auditierbarkeit, menschliche Letztverantwortung und Fehlerkorrektur.</w:t>
      </w:r>
    </w:p>
    <w:p>
      <w:pPr>
        <w:pStyle w:val="Heading2"/>
      </w:pPr>
      <w:r>
        <w:t>Teil 16 - Pilotierung und Umsetzungspfad</w:t>
      </w:r>
    </w:p>
    <w:p>
      <w:pPr>
        <w:pStyle w:val="Heading3"/>
      </w:pPr>
      <w:r>
        <w:t>16.1 Pilotsektoren</w:t>
      </w:r>
    </w:p>
    <w:p>
      <w:pPr/>
      <w:r>
        <w:t>Geeignete Pilotsektoren sind:</w:t>
      </w:r>
    </w:p>
    <w:p>
      <w:pPr>
        <w:pStyle w:val="ListBullet"/>
      </w:pPr>
      <w:r>
        <w:t>Lebensmittel / Agrarprodukte,</w:t>
      </w:r>
    </w:p>
    <w:p>
      <w:pPr>
        <w:pStyle w:val="ListBullet"/>
      </w:pPr>
      <w:r>
        <w:t>Energie,</w:t>
      </w:r>
    </w:p>
    <w:p>
      <w:pPr>
        <w:pStyle w:val="ListBullet"/>
      </w:pPr>
      <w:r>
        <w:t>Textil / Fast Fashion,</w:t>
      </w:r>
    </w:p>
    <w:p>
      <w:pPr>
        <w:pStyle w:val="ListBullet"/>
      </w:pPr>
      <w:r>
        <w:t>Gebäudeprodukte,</w:t>
      </w:r>
    </w:p>
    <w:p>
      <w:pPr>
        <w:pStyle w:val="ListBullet"/>
      </w:pPr>
      <w:r>
        <w:t>Chemie / Kunststoffe,</w:t>
      </w:r>
    </w:p>
    <w:p>
      <w:pPr>
        <w:pStyle w:val="ListBullet"/>
      </w:pPr>
      <w:r>
        <w:t>öffentliche Beschaffung,</w:t>
      </w:r>
    </w:p>
    <w:p>
      <w:pPr>
        <w:pStyle w:val="ListBullet"/>
      </w:pPr>
      <w:r>
        <w:t>digitale Produktpässe in datenreichen Branchen.</w:t>
      </w:r>
    </w:p>
    <w:p>
      <w:pPr>
        <w:pStyle w:val="Heading3"/>
      </w:pPr>
      <w:r>
        <w:t>16.2 Pilotphasen</w:t>
      </w:r>
    </w:p>
    <w:p>
      <w:pPr/>
      <w:r>
        <w:t>Empfohlene Phasen:</w:t>
      </w:r>
    </w:p>
    <w:p>
      <w:pPr>
        <w:pStyle w:val="ListNumber"/>
      </w:pPr>
      <w:r>
        <w:t>freiwillige Shadow-Scorecards,</w:t>
      </w:r>
    </w:p>
    <w:p>
      <w:pPr>
        <w:pStyle w:val="ListNumber"/>
      </w:pPr>
      <w:r>
        <w:t>öffentliche Methodentests,</w:t>
      </w:r>
    </w:p>
    <w:p>
      <w:pPr>
        <w:pStyle w:val="ListNumber"/>
      </w:pPr>
      <w:r>
        <w:t>DPP-Datenintegration,</w:t>
      </w:r>
    </w:p>
    <w:p>
      <w:pPr>
        <w:pStyle w:val="ListNumber"/>
      </w:pPr>
      <w:r>
        <w:t>steuerfreie Simulation ohne fiskalische Wirkung,</w:t>
      </w:r>
    </w:p>
    <w:p>
      <w:pPr>
        <w:pStyle w:val="ListNumber"/>
      </w:pPr>
      <w:r>
        <w:t>begrenzte Pilotanreize,</w:t>
      </w:r>
    </w:p>
    <w:p>
      <w:pPr>
        <w:pStyle w:val="ListNumber"/>
      </w:pPr>
      <w:r>
        <w:t>Evaluation,</w:t>
      </w:r>
    </w:p>
    <w:p>
      <w:pPr>
        <w:pStyle w:val="ListNumber"/>
      </w:pPr>
      <w:r>
        <w:t>gesetzliche Ausweitung nur nach Prüfung.</w:t>
      </w:r>
    </w:p>
    <w:p>
      <w:pPr>
        <w:pStyle w:val="Heading3"/>
      </w:pPr>
      <w:r>
        <w:t>16.3 Evaluationskriterien</w:t>
      </w:r>
    </w:p>
    <w:p>
      <w:pPr/>
      <w:r>
        <w:t>Zu prüfen sind:</w:t>
      </w:r>
    </w:p>
    <w:p>
      <w:pPr>
        <w:pStyle w:val="ListBullet"/>
      </w:pPr>
      <w:r>
        <w:t>Datenqualität,</w:t>
      </w:r>
    </w:p>
    <w:p>
      <w:pPr>
        <w:pStyle w:val="ListBullet"/>
      </w:pPr>
      <w:r>
        <w:t>Bürokratieeffekte,</w:t>
      </w:r>
    </w:p>
    <w:p>
      <w:pPr>
        <w:pStyle w:val="ListBullet"/>
      </w:pPr>
      <w:r>
        <w:t>Preiswirkung,</w:t>
      </w:r>
    </w:p>
    <w:p>
      <w:pPr>
        <w:pStyle w:val="ListBullet"/>
      </w:pPr>
      <w:r>
        <w:t>soziale Wirkung,</w:t>
      </w:r>
    </w:p>
    <w:p>
      <w:pPr>
        <w:pStyle w:val="ListBullet"/>
      </w:pPr>
      <w:r>
        <w:t>KMU-Belastung,</w:t>
      </w:r>
    </w:p>
    <w:p>
      <w:pPr>
        <w:pStyle w:val="ListBullet"/>
      </w:pPr>
      <w:r>
        <w:t>Lieferkettenwirkung,</w:t>
      </w:r>
    </w:p>
    <w:p>
      <w:pPr>
        <w:pStyle w:val="ListBullet"/>
      </w:pPr>
      <w:r>
        <w:t>Manipulationsversuche,</w:t>
      </w:r>
    </w:p>
    <w:p>
      <w:pPr>
        <w:pStyle w:val="ListBullet"/>
      </w:pPr>
      <w:r>
        <w:t>Wirkung auf Innovation,</w:t>
      </w:r>
    </w:p>
    <w:p>
      <w:pPr>
        <w:pStyle w:val="ListBullet"/>
      </w:pPr>
      <w:r>
        <w:t>Rechtsschutzfälle,</w:t>
      </w:r>
    </w:p>
    <w:p>
      <w:pPr>
        <w:pStyle w:val="ListBullet"/>
      </w:pPr>
      <w:r>
        <w:t>europarechtliche Anschlussfähigkeit.</w:t>
      </w:r>
    </w:p>
    <w:p>
      <w:pPr>
        <w:pStyle w:val="Heading2"/>
      </w:pPr>
      <w:r>
        <w:t>Teil 17 - Praxisbeispiele</w:t>
      </w:r>
    </w:p>
    <w:p>
      <w:pPr>
        <w:pStyle w:val="Heading3"/>
      </w:pPr>
      <w:r>
        <w:t>17.1 Regionaler Bio-Apfel vs. Importapfel</w:t>
      </w:r>
    </w:p>
    <w:p>
      <w:pPr/>
      <w:r>
        <w:t>Ein Apfel-Pilot kann NACE-Bezug, CO2-Intensität, Wasserstress, Arbeitsbedingungen, Pestizide, Transport, Datenqualität und FinalScore verbinden.</w:t>
      </w:r>
    </w:p>
    <w:p>
      <w:pPr/>
      <w:r>
        <w:t>Die Datenlage darf nicht überbehauptet werden. Ein regionaler Bio-Apfel ist nicht automatisch in jedem Wirkungsfeld überlegen; Wasserstress, Lagerung, Saison und Lieferkette bleiben zu prüfen.</w:t>
      </w:r>
    </w:p>
    <w:p>
      <w:pPr>
        <w:pStyle w:val="Heading3"/>
      </w:pPr>
      <w:r>
        <w:t>17.2 T-Shirt-Lieferkette</w:t>
      </w:r>
    </w:p>
    <w:p>
      <w:pPr/>
      <w:r>
        <w:t>Bei Textilien sind Kinderarbeit, Zwangsarbeit und schwere Menschenrechtsverletzungen rote Linien. Wasser, Chemie, Energie, Transport, Löhne und Haltbarkeit werden ergänzend bewertet.</w:t>
      </w:r>
    </w:p>
    <w:p>
      <w:pPr/>
      <w:r>
        <w:t>Die Reverse Merit Order verhindert, dass gute CO2- oder Recyclingwerte Kinderarbeit verdecken.</w:t>
      </w:r>
    </w:p>
    <w:p>
      <w:pPr>
        <w:pStyle w:val="Heading3"/>
      </w:pPr>
      <w:r>
        <w:t>17.3 BASF Polyamid / Chemieprodukt</w:t>
      </w:r>
    </w:p>
    <w:p>
      <w:pPr/>
      <w:r>
        <w:t>Bei Chemieprodukten reichen Konzernmittelwerte nicht als Produktwahrheit. CSRD-Unternehmensdaten müssen auf Produktgruppen, Anlagen, Prozesse, EPDs, Lieferketten und konkrete Nutzungsfelder heruntergebrochen werden.</w:t>
      </w:r>
    </w:p>
    <w:p>
      <w:pPr/>
      <w:r>
        <w:t>Ein Produkt-FinalScore braucht Produktdaten, nicht nur Unternehmenskommunikation.</w:t>
      </w:r>
    </w:p>
    <w:p>
      <w:pPr>
        <w:pStyle w:val="Heading3"/>
      </w:pPr>
      <w:r>
        <w:t>17.4 Strom / Energieprodukt</w:t>
      </w:r>
    </w:p>
    <w:p>
      <w:pPr/>
      <w:r>
        <w:t>Bei Strom zählen Emissionsintensität, erneuerbarer Anteil, Versorgungssicherheit, Netzkontext, Speicher- und Flexibilitätsbeitrag sowie Systemstabilität.</w:t>
      </w:r>
    </w:p>
    <w:p>
      <w:pPr/>
      <w:r>
        <w:t>Eine reine CO2-Logik ohne Netz- und Versorgungskontext wäre unvollständig.</w:t>
      </w:r>
    </w:p>
    <w:p>
      <w:pPr>
        <w:pStyle w:val="Heading2"/>
      </w:pPr>
      <w:r>
        <w:t>Teil 18 - Historischer Bezug zur WUStG-Extended-Fassung 2025</w:t>
      </w:r>
    </w:p>
    <w:p>
      <w:pPr/>
      <w:r>
        <w:t>Die Extended-v2-Fassung war ein wichtiges Methodenpapier. Sie enthielt bereits -3/+3, WÖk-IDs, Archetypen, Benchmarks, Scorecards, Nichtkompensation, FinalScore, Datenqualität, Assurance und Wirkungsrat.</w:t>
      </w:r>
    </w:p>
    <w:p>
      <w:pPr/>
      <w:r>
        <w:t>Version 2.1 präzisiert:</w:t>
      </w:r>
    </w:p>
    <w:p>
      <w:pPr>
        <w:pStyle w:val="ListBullet"/>
      </w:pPr>
      <w:r>
        <w:t>Wirkung neutral,</w:t>
      </w:r>
    </w:p>
    <w:p>
      <w:pPr>
        <w:pStyle w:val="ListBullet"/>
      </w:pPr>
      <w:r>
        <w:t>positive Netto-Wirkung als Zielgröße,</w:t>
      </w:r>
    </w:p>
    <w:p>
      <w:pPr>
        <w:pStyle w:val="ListBullet"/>
      </w:pPr>
      <w:r>
        <w:t>FinalScore, NWI und T-SROI getrennt,</w:t>
      </w:r>
    </w:p>
    <w:p>
      <w:pPr>
        <w:pStyle w:val="ListBullet"/>
      </w:pPr>
      <w:r>
        <w:t>SDG+ als WÖk-Erweiterung,</w:t>
      </w:r>
    </w:p>
    <w:p>
      <w:pPr>
        <w:pStyle w:val="ListBullet"/>
      </w:pPr>
      <w:r>
        <w:t>rechtlicher Pilotstatus,</w:t>
      </w:r>
    </w:p>
    <w:p>
      <w:pPr>
        <w:pStyle w:val="ListBullet"/>
      </w:pPr>
      <w:r>
        <w:t>Datenqualität und Einspruch,</w:t>
      </w:r>
    </w:p>
    <w:p>
      <w:pPr>
        <w:pStyle w:val="ListBullet"/>
      </w:pPr>
      <w:r>
        <w:t>EU-Kompatibilität,</w:t>
      </w:r>
    </w:p>
    <w:p>
      <w:pPr>
        <w:pStyle w:val="ListBullet"/>
      </w:pPr>
      <w:r>
        <w:t>Social-Credit-Abgrenzung,</w:t>
      </w:r>
    </w:p>
    <w:p>
      <w:pPr>
        <w:pStyle w:val="ListBullet"/>
      </w:pPr>
      <w:r>
        <w:t>Kaufkraftschutz,</w:t>
      </w:r>
    </w:p>
    <w:p>
      <w:pPr>
        <w:pStyle w:val="ListBullet"/>
      </w:pPr>
      <w:r>
        <w:t>KMU-Schutz.</w:t>
      </w:r>
    </w:p>
    <w:p>
      <w:pPr/>
      <w:r>
        <w:t>Die historische PDF-Fassung bleibt unverändert zitierfähig. Diese v2.1-Fassung ist eine neue methodische Rahmenfassung, keine stille Änderung des Originals.</w:t>
      </w:r>
    </w:p>
    <w:p>
      <w:pPr>
        <w:pStyle w:val="Heading2"/>
      </w:pPr>
      <w:r>
        <w:t>Teil 19 - Tabellenanhang</w:t>
      </w:r>
    </w:p>
    <w:p>
      <w:pPr>
        <w:pStyle w:val="Heading3"/>
      </w:pPr>
      <w:r>
        <w:t>Tabelle A - Steuerarchitektur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Ebene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Funktion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Primäre Logik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WStG 2.0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Rahmengesetz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Begriffe, Governance, Rechtsschutz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WUStG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Produkt-/Umsatzsteuer-Modul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FinalScore, Produktwirkung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Leitlinien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technische Umsetzung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WÖk-IDs, Archetypen, Benchmarks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DPP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Dateninfrastruktur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Produkt- und Lieferkettendaten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Wirkungsrat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Governance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Versionierung, Prüfung, Missbrauchsschutz</w:t>
            </w:r>
          </w:p>
        </w:tc>
      </w:tr>
    </w:tbl>
    <w:p>
      <w:pPr>
        <w:pStyle w:val="Heading3"/>
      </w:pPr>
      <w:r>
        <w:t>Tabelle B - Scorearchitektur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Ebene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Beschreibung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Messwert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Rohdatenwert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WÖk-ID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Indikatorzuordnung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Archetyp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Übersetzung in Score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Einzelscore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-3 bis +3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Datenqualität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A bis 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Reverse Merit Order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Engpasslogik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FinalScore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steuerungsrelevante Verdichtung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NWI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operative Netto-Wirkung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T-SROI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Transformationswirkung</w:t>
            </w:r>
          </w:p>
        </w:tc>
      </w:tr>
    </w:tbl>
    <w:p>
      <w:pPr>
        <w:pStyle w:val="Heading3"/>
      </w:pPr>
      <w:r>
        <w:t>Tabelle C - Datenqualität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Klasse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Beschreibung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Wirkung auf Bewertung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geprüft / auditierbar / produktbezogen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volle Anrechenbarkeit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B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plausibilisiert / branchennah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leichte Unsicherheitsmarkierung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Sekundärdaten / teilweise passend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konservativer Abschlag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D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Ersatzwert / unsicher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deutlicher Abschlag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E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fehlend / nicht prüfbar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konservativer Negativ- oder Neutralwert, je nach Risikoklasse</w:t>
            </w:r>
          </w:p>
        </w:tc>
      </w:tr>
    </w:tbl>
    <w:p>
      <w:pPr>
        <w:pStyle w:val="Heading3"/>
      </w:pPr>
      <w:r>
        <w:t>Tabelle D - Beispielhafte Modellklassen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FinalScore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Modellklasse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Mögliche steuerliche Rückkopplung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+3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transformativ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starke Entlastung / niedrigster Pilotsatz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+2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sehr positiv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Entlastung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+1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positiv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moderate Entlastung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neutral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Standardsatz / keine Entlastung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-1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negativ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leichte Belastung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-2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schädlich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erhöhte Belastung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-3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hoch schädlich / rote Linie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höchste Belastung / Ausschluss / Sonderprüfung</w:t>
            </w:r>
          </w:p>
        </w:tc>
      </w:tr>
    </w:tbl>
    <w:p>
      <w:pPr/>
      <w:r>
        <w:t>Diese Tabelle beschreibt Modellklassen, keine verbindlichen Steuersätze.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