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t>WIRKUNGSÖKONOMIE</w:t>
      </w:r>
    </w:p>
    <w:p>
      <w:pPr/>
      <w:r>
        <w:t>FÜR MENSCH, PLANET UND DEMOKRATIE</w:t>
      </w:r>
    </w:p>
    <w:p>
      <w:pPr/>
      <w:r>
        <w:t>Gesundheit &amp; Pflege</w:t>
      </w:r>
    </w:p>
    <w:p>
      <w:pPr/>
      <w:r>
        <w:t>Gesamtdossier mit Beispielen, Datenquellen, Berechnungslogik und Umsetzungspfaden</w:t>
      </w:r>
    </w:p>
    <w:p>
      <w:pPr/>
      <w:r>
        <w:t>Dokumenttyp</w:t>
      </w:r>
    </w:p>
    <w:p>
      <w:pPr/>
      <w:r>
        <w:t>Gesamtdossier</w:t>
      </w:r>
    </w:p>
    <w:p>
      <w:pPr/>
      <w:r>
        <w:t>Autorin</w:t>
      </w:r>
    </w:p>
    <w:p>
      <w:pPr/>
      <w:r>
        <w:t>Natalie Weber</w:t>
      </w:r>
    </w:p>
    <w:p>
      <w:pPr/>
      <w:r>
        <w:t>Referenz</w:t>
      </w:r>
    </w:p>
    <w:p>
      <w:pPr/>
      <w:r>
        <w:t>Wirkungsökonomie</w:t>
      </w:r>
    </w:p>
    <w:p>
      <w:pPr/>
      <w:r>
        <w:t>Version / Stand</w:t>
      </w:r>
    </w:p>
    <w:p>
      <w:pPr/>
      <w:r>
        <w:t>v0.1 · 24. Mai 2026</w:t>
      </w:r>
    </w:p>
    <w:p>
      <w:pPr/>
      <w:r>
        <w:t>Status</w:t>
      </w:r>
    </w:p>
    <w:p>
      <w:pPr/>
      <w:r>
        <w:t>Arbeitsfassung / Diskussionsfassung</w:t>
      </w:r>
    </w:p>
    <w:p>
      <w:pPr/>
      <w:r>
        <w:t>Leitsatz: Gesundheit ist kein medizinisches Ereignis, sondern ein gesellschaftlicher Zustand. Sie entsteht durch Prävention, Resilienz, Stabilität, Teilhabe, Pflege und gutes Leben.</w:t>
      </w:r>
    </w:p>
    <w:p>
      <w:pPr/>
      <w:r>
        <w:t>Inhaltsverzeichnis</w:t>
      </w:r>
    </w:p>
    <w:p>
      <w:pPr>
        <w:pStyle w:val="ListNumber"/>
      </w:pPr>
      <w:r>
        <w:t>Zweck des Dossiers</w:t>
      </w:r>
    </w:p>
    <w:p>
      <w:pPr>
        <w:pStyle w:val="ListNumber"/>
      </w:pPr>
      <w:r>
        <w:t>Datenquellen</w:t>
      </w:r>
    </w:p>
    <w:p>
      <w:pPr>
        <w:pStyle w:val="ListNumber"/>
      </w:pPr>
      <w:r>
        <w:t>Beispielrechnungen</w:t>
      </w:r>
    </w:p>
    <w:p>
      <w:pPr>
        <w:pStyle w:val="ListNumber"/>
      </w:pPr>
      <w:r>
        <w:t>Tool-Logik</w:t>
      </w:r>
    </w:p>
    <w:p>
      <w:pPr>
        <w:pStyle w:val="ListNumber"/>
      </w:pPr>
      <w:r>
        <w:t>Akteursperspektiven</w:t>
      </w:r>
    </w:p>
    <w:p>
      <w:pPr>
        <w:pStyle w:val="ListNumber"/>
      </w:pPr>
      <w:r>
        <w:t>Politische Umsetzung</w:t>
      </w:r>
    </w:p>
    <w:p>
      <w:pPr>
        <w:pStyle w:val="ListNumber"/>
      </w:pPr>
      <w:r>
        <w:t>Quellen</w:t>
      </w:r>
    </w:p>
    <w:p>
      <w:pPr>
        <w:pStyle w:val="ListNumber"/>
      </w:pPr>
      <w:r>
        <w:t>Zweck des Dossiers</w:t>
      </w:r>
    </w:p>
    <w:p>
      <w:pPr/>
      <w:r>
        <w:t>Dieses Dossier übersetzt das Konzept Gesundheit &amp; Pflege in Beispiele, Datenquellen, Berechnungslogiken und Umsetzungsoptionen. Es richtet sich an Politik, Verwaltung, Kommunen, Krankenkassen, Pflegeakteure, Unternehmen, Stiftungen, Wissenschaft und Öffentlichkeit.</w:t>
      </w:r>
    </w:p>
    <w:p>
      <w:pPr>
        <w:pStyle w:val="ListNumber"/>
      </w:pPr>
      <w:r>
        <w:t>Datenquellen und Vertrauensstufen</w:t>
      </w:r>
    </w:p>
    <w:p>
      <w:pPr/>
      <w:r>
        <w:t>Datenquelle</w:t>
      </w:r>
    </w:p>
    <w:p>
      <w:pPr/>
      <w:r>
        <w:t>Verwendung</w:t>
      </w:r>
    </w:p>
    <w:p>
      <w:pPr/>
      <w:r>
        <w:t>Destatis Gesundheitsausgaben</w:t>
      </w:r>
    </w:p>
    <w:p>
      <w:pPr/>
      <w:r>
        <w:t>Makroausgaben, Kostenentwicklung, Trägerstruktur, Gesundheitsausgaben je Einwohner:in.</w:t>
      </w:r>
    </w:p>
    <w:p>
      <w:pPr/>
      <w:r>
        <w:t>Destatis Pflegestatistik</w:t>
      </w:r>
    </w:p>
    <w:p>
      <w:pPr/>
      <w:r>
        <w:t>Pflegebedürftige, Pflegeformen, stationär/ambulant, Pflegeeinrichtungen.</w:t>
      </w:r>
    </w:p>
    <w:p>
      <w:pPr/>
      <w:r>
        <w:t>OECD Health at a Glance</w:t>
      </w:r>
    </w:p>
    <w:p>
      <w:pPr/>
      <w:r>
        <w:t>Internationaler Vergleich zu Ausgaben, Prävention, Versorgung, Risikofaktoren.</w:t>
      </w:r>
    </w:p>
    <w:p>
      <w:pPr/>
      <w:r>
        <w:t>WHO Social Determinants / One Health</w:t>
      </w:r>
    </w:p>
    <w:p>
      <w:pPr/>
      <w:r>
        <w:t>Konzeptionelle Grundlage für nicht-medizinische Gesundheitsdeterminanten und planetare Gesundheit.</w:t>
      </w:r>
    </w:p>
    <w:p>
      <w:pPr/>
      <w:r>
        <w:t>RKI / GBE</w:t>
      </w:r>
    </w:p>
    <w:p>
      <w:pPr/>
      <w:r>
        <w:t>Indikatoren zu Gesundheit, Krankheit, Prävention, psychischer Gesundheit und Bevölkerungsgesundheit.</w:t>
      </w:r>
    </w:p>
    <w:p>
      <w:pPr/>
      <w:r>
        <w:t>Kassen- und Versorgungsdaten</w:t>
      </w:r>
    </w:p>
    <w:p>
      <w:pPr/>
      <w:r>
        <w:t>Versorgungspfade, Präventionsprogramme, Krankheitstage, chronische Erkrankungen, Medikations- und Behandlungsdaten – nur aggregiert/datenschutzkonform.</w:t>
      </w:r>
    </w:p>
    <w:p>
      <w:pPr/>
      <w:r>
        <w:t>Kommunale Daten</w:t>
      </w:r>
    </w:p>
    <w:p>
      <w:pPr/>
      <w:r>
        <w:t>Hitze, Lärm, Grünflächen, Mobilität, Begegnungsräume, Pflegezugang, Sozialstruktur.</w:t>
      </w:r>
    </w:p>
    <w:p>
      <w:pPr>
        <w:pStyle w:val="ListNumber"/>
      </w:pPr>
      <w:r>
        <w:t>Beispielrechnungen</w:t>
      </w:r>
    </w:p>
    <w:p>
      <w:pPr/>
      <w:r>
        <w:t>Hinweis</w:t>
      </w:r>
    </w:p>
    <w:p>
      <w:pPr/>
      <w:r>
        <w:t>Alle Berechnungen sind modellhafte Demonstrationen. Sie ersetzen keine medizinische, gesundheitsökonomische, rechtliche oder haushaltspolitische Prüfung.</w:t>
      </w:r>
    </w:p>
    <w:p>
      <w:pPr/>
      <w:r>
        <w:t>Hitzeschutz im Quartier</w:t>
      </w:r>
    </w:p>
    <w:p>
      <w:pPr/>
      <w:r>
        <w:t>Investition in Schatten, Wasserpunkte, Grün und Nachbarschaftskommunikation. Vermiedene Wirkung: weniger Notfälle, geringere Belastung vulnerabler Gruppen, weniger Pflege- und Krankenhauslast. Formel: erwartete Risikoreduktion × Basisfälle × Fallkosten + Lebensqualitätsnutzen + Resilienzwert.</w:t>
      </w:r>
    </w:p>
    <w:p>
      <w:pPr/>
      <w:r>
        <w:t>Datenbedarf: Basisrate, Zielgruppe, erwartete Risikoreduktion, Kosten je Ereignis, Zeithorizont, Unsicherheitsband.</w:t>
      </w:r>
    </w:p>
    <w:p>
      <w:pPr/>
      <w:r>
        <w:t>Output: Gesundheitswirkungswert, vermiedene Kosten, Resilienzbeitrag, SDG-/SDG+-Bezug, Datenschutzstatus.</w:t>
      </w:r>
    </w:p>
    <w:p>
      <w:pPr/>
      <w:r>
        <w:t>Betriebliche psychische Sicherheit</w:t>
      </w:r>
    </w:p>
    <w:p>
      <w:pPr/>
      <w:r>
        <w:t>Investition in Führung, Arbeitszeitgesundheit, Konfliktprävention und Zugang zu Beratung. Vermiedene Wirkung: weniger Burnout, weniger Krankheitstage, geringere Fluktuation, höhere Teamstabilität. Formel: reduzierte Ausfalltage × Kosten pro Ausfalltag + reduzierte Fluktuationskosten + Stabilitätsnutzen.</w:t>
      </w:r>
    </w:p>
    <w:p>
      <w:pPr/>
      <w:r>
        <w:t>Datenbedarf: Basisrate, Zielgruppe, erwartete Risikoreduktion, Kosten je Ereignis, Zeithorizont, Unsicherheitsband.</w:t>
      </w:r>
    </w:p>
    <w:p>
      <w:pPr/>
      <w:r>
        <w:t>Output: Gesundheitswirkungswert, vermiedene Kosten, Resilienzbeitrag, SDG-/SDG+-Bezug, Datenschutzstatus.</w:t>
      </w:r>
    </w:p>
    <w:p>
      <w:pPr/>
      <w:r>
        <w:t>Pflegequartier</w:t>
      </w:r>
    </w:p>
    <w:p>
      <w:pPr/>
      <w:r>
        <w:t>Kombination aus Tagespflege, ambulanter Versorgung, Angehörigenentlastung, Sturzprävention und digitalem Monitoring. Vermiedene Wirkung: Krankenhausaufenthalte, Heimübergänge, Angehörigenüberlastung, Einsamkeit.</w:t>
      </w:r>
    </w:p>
    <w:p>
      <w:pPr/>
      <w:r>
        <w:t>Datenbedarf: Basisrate, Zielgruppe, erwartete Risikoreduktion, Kosten je Ereignis, Zeithorizont, Unsicherheitsband.</w:t>
      </w:r>
    </w:p>
    <w:p>
      <w:pPr/>
      <w:r>
        <w:t>Output: Gesundheitswirkungswert, vermiedene Kosten, Resilienzbeitrag, SDG-/SDG+-Bezug, Datenschutzstatus.</w:t>
      </w:r>
    </w:p>
    <w:p>
      <w:pPr/>
      <w:r>
        <w:t>Schulgesundheit</w:t>
      </w:r>
    </w:p>
    <w:p>
      <w:pPr/>
      <w:r>
        <w:t>Bewegung, Ernährung, psychische Stabilität, Schulsozialarbeit und digitale Mobbingprävention. Vermiedene Wirkung: spätere Gesundheitsrisiken, Fehlzeiten, psychische Krisen, Bildungsabbrüche.</w:t>
      </w:r>
    </w:p>
    <w:p>
      <w:pPr/>
      <w:r>
        <w:t>Datenbedarf: Basisrate, Zielgruppe, erwartete Risikoreduktion, Kosten je Ereignis, Zeithorizont, Unsicherheitsband.</w:t>
      </w:r>
    </w:p>
    <w:p>
      <w:pPr/>
      <w:r>
        <w:t>Output: Gesundheitswirkungswert, vermiedene Kosten, Resilienzbeitrag, SDG-/SDG+-Bezug, Datenschutzstatus.</w:t>
      </w:r>
    </w:p>
    <w:p>
      <w:pPr>
        <w:pStyle w:val="ListNumber"/>
      </w:pPr>
      <w:r>
        <w:t>Tool-Logik</w:t>
      </w:r>
    </w:p>
    <w:p>
      <w:pPr/>
      <w:r>
        <w:t>Die Tool-Suite arbeitet mit modularen Checks. Jedes Modul trennt Eingaben, Annahmen, Datenqualität, Wirkungsbereiche, Unsicherheiten und Ergebnisdarstellung. Es gibt keine Personenscores. Ergebnisse gelten für Programme, Räume, Maßnahmen oder Institutionen.</w:t>
      </w:r>
    </w:p>
    <w:p>
      <w:pPr/>
      <w:r>
        <w:t>Tool</w:t>
      </w:r>
    </w:p>
    <w:p>
      <w:pPr/>
      <w:r>
        <w:t>Funktion</w:t>
      </w:r>
    </w:p>
    <w:p>
      <w:pPr/>
      <w:r>
        <w:t>Gesundheitswirkungscheck</w:t>
      </w:r>
    </w:p>
    <w:p>
      <w:pPr/>
      <w:r>
        <w:t>Bewertet Maßnahmen nach Prävention, Zugang, Teilhabe, Lebensqualität, Resilienz und Nebenwirkungen.</w:t>
      </w:r>
    </w:p>
    <w:p>
      <w:pPr/>
      <w:r>
        <w:t>Präventionswirkungsrechner</w:t>
      </w:r>
    </w:p>
    <w:p>
      <w:pPr/>
      <w:r>
        <w:t>Schätzt vermiedene Schäden und Kosten durch Präventionsmaßnahmen.</w:t>
      </w:r>
    </w:p>
    <w:p>
      <w:pPr/>
      <w:r>
        <w:t>Pflegewirkungscheck</w:t>
      </w:r>
    </w:p>
    <w:p>
      <w:pPr/>
      <w:r>
        <w:t>Bewertet Stabilisierung, Würde, Entlastung, Selbstständigkeit, Fachkräftegesundheit.</w:t>
      </w:r>
    </w:p>
    <w:p>
      <w:pPr/>
      <w:r>
        <w:t>Kommunaler Gesundheitsraum-Check</w:t>
      </w:r>
    </w:p>
    <w:p>
      <w:pPr/>
      <w:r>
        <w:t>Prüft Quartiere nach Hitze, Grün, Bewegung, Versorgung, Begegnung, Sicherheit und Barrierefreiheit.</w:t>
      </w:r>
    </w:p>
    <w:p>
      <w:pPr/>
      <w:r>
        <w:t>Mental-Health-Reflexionsmodul</w:t>
      </w:r>
    </w:p>
    <w:p>
      <w:pPr/>
      <w:r>
        <w:t>Nicht-diagnostisches Modul für Belastungsräume, Wartezeiten, niedrigschwellige Hilfe und Schutzfaktoren.</w:t>
      </w:r>
    </w:p>
    <w:p>
      <w:pPr>
        <w:pStyle w:val="ListNumber"/>
      </w:pPr>
      <w:r>
        <w:t>Akteursperspektiven</w:t>
      </w:r>
    </w:p>
    <w:p>
      <w:pPr/>
      <w:r>
        <w:t>Bürger:innen: Zugang, Würde, Prävention, Datenschutz, keine Schuldlogik.</w:t>
      </w:r>
    </w:p>
    <w:p>
      <w:pPr/>
      <w:r>
        <w:t>Kommunen: Gesundheitsräume, Pflegequartiere, Hitzeschutz, Begegnung, Präventionshaushalt.</w:t>
      </w:r>
    </w:p>
    <w:p>
      <w:pPr/>
      <w:r>
        <w:t>Krankenkassen und Pflegekassen: von Kostenverwaltung zu Gesundheitswirkung.</w:t>
      </w:r>
    </w:p>
    <w:p>
      <w:pPr/>
      <w:r>
        <w:t>Unternehmen: Arbeitsgesundheit, psychische Sicherheit, Produkte und Lieferketten.</w:t>
      </w:r>
    </w:p>
    <w:p>
      <w:pPr/>
      <w:r>
        <w:t>Politik: Rahmen, Finanzierung, Pilotierung, Rechtsschutz, Wirkungsberichte.</w:t>
      </w:r>
    </w:p>
    <w:p>
      <w:pPr/>
      <w:r>
        <w:t>Wissenschaft: Evaluation, Datenqualität, Methoden, Missbrauchsschutz.</w:t>
      </w:r>
    </w:p>
    <w:p>
      <w:pPr>
        <w:pStyle w:val="ListNumber"/>
      </w:pPr>
      <w:r>
        <w:t>Politische Anschlussfähigkeit</w:t>
      </w:r>
    </w:p>
    <w:p>
      <w:pPr/>
      <w:r>
        <w:t>Ebene</w:t>
      </w:r>
    </w:p>
    <w:p>
      <w:pPr/>
      <w:r>
        <w:t>Aufgabe für Politik und Umsetzung</w:t>
      </w:r>
    </w:p>
    <w:p>
      <w:pPr/>
      <w:r>
        <w:t>Aufgabe der Politik</w:t>
      </w:r>
    </w:p>
    <w:p>
      <w:pPr/>
      <w:r>
        <w:t>Den Rahmen schaffen, damit Gesundheit nicht nur als Behandlungskostenblock erscheint, sondern als präventive, soziale, ökologische und demokratische Systemleistung sichtbar wird.</w:t>
      </w:r>
    </w:p>
    <w:p>
      <w:pPr/>
      <w:r>
        <w:t>Politische Rahmenbedingungen</w:t>
      </w:r>
    </w:p>
    <w:p>
      <w:pPr/>
      <w:r>
        <w:t>Gesundheitswirkungshaushalte, Präventionsbudgets, Pflegewirkung, kommunale Gesundheitsräume, Datenstandards, Datenschutz, Versorgungssicherheit und unabhängige Evaluation.</w:t>
      </w:r>
    </w:p>
    <w:p>
      <w:pPr/>
      <w:r>
        <w:t>Ausgestaltungsspielraum</w:t>
      </w:r>
    </w:p>
    <w:p>
      <w:pPr/>
      <w:r>
        <w:t>Parteien können unterschiedliche Wege wählen: stärkere kommunale Steuerung, mehr Kassenautonomie, Präventionsboni, öffentliche Fonds, Versicherungsmodelle, Modellregionen oder gesetzliche Mindeststandards.</w:t>
      </w:r>
    </w:p>
    <w:p>
      <w:pPr/>
      <w:r>
        <w:t>Zielkonflikte</w:t>
      </w:r>
    </w:p>
    <w:p>
      <w:pPr/>
      <w:r>
        <w:t>Freiheit und Schutz, Prävention und Bevormundungsrisiko, Datenschutz und Frühwarnsysteme, Kostendruck und Qualität, Zentralisierung und Nahversorgung, Innovation und Solidarität müssen demokratisch ausbalanciert werden.</w:t>
      </w:r>
    </w:p>
    <w:p>
      <w:pPr/>
      <w:r>
        <w:t>Rollenverteilung</w:t>
      </w:r>
    </w:p>
    <w:p>
      <w:pPr/>
      <w:r>
        <w:t>EU, Bund, Länder, Kommunen, Krankenkassen, Pflegekassen, Leistungserbringer, Unternehmen, Wissenschaft, Zivilgesellschaft und Bürger:innen tragen unterschiedliche Aufgaben.</w:t>
      </w:r>
    </w:p>
    <w:p>
      <w:pPr/>
      <w:r>
        <w:t>Übergang und Schutz</w:t>
      </w:r>
    </w:p>
    <w:p>
      <w:pPr/>
      <w:r>
        <w:t>Pilotregionen, Härtefallregeln, Datenschutz, keine Personen-Scores, keine Sanktionierung von Krankheit, Schutz vulnerabler Gruppen, Fachkräfteschutz und digitale Barrierefreiheit.</w:t>
      </w:r>
    </w:p>
    <w:p>
      <w:pPr/>
      <w:r>
        <w:t>Evaluation und Korrektur</w:t>
      </w:r>
    </w:p>
    <w:p>
      <w:pPr/>
      <w:r>
        <w:t>Wirkungsberichte, Gesundheitswirkungsindex, Präventionswirkungsrechner, Pflegestabilitätsindikatoren, öffentliche Konsultation und Revisionszyklen.</w:t>
      </w:r>
    </w:p>
    <w:p>
      <w:pPr/>
      <w:r>
        <w:t>Parteipolitische Anschlussfähigkeit</w:t>
      </w:r>
    </w:p>
    <w:p>
      <w:pPr/>
      <w:r>
        <w:t>Liberale, konservative, sozialdemokratische, grüne, linke, kommunale und wirtschaftsnahe Perspektiven können unterschiedliche Ausgestaltungen wählen, solange Wirkung sichtbar und korrigierbar bleibt.</w:t>
      </w:r>
    </w:p>
    <w:p>
      <w:pPr/>
      <w:r>
        <w:t>Quellen und Anschlussdokumente</w:t>
      </w:r>
    </w:p>
    <w:p>
      <w:pPr/>
      <w:r>
        <w:t>Diese Arbeitsfassung ist ein öffentliches Fach- und Konzeptdokument der Wirkungsökonomie. Sie ersetzt keine medizinische, rechtliche oder steuerliche Beratung. Für Diagnosen, Behandlung und individuelle Gesundheitsentscheidungen sind qualifizierte Fachstellen zuständig.</w:t>
      </w:r>
    </w:p>
    <w:p>
      <w:pPr/>
      <w:r>
        <w:t>Weber, Natalie: Die neue Ordnung des Wohlstands. Arbeitsfassung 2026. Kapitel 68 Gesundheit, Kapitel 69 Pflege, Kapitel zu Wirkungshaushalt, Resilienzstaat und Wirkungsfonds.</w:t>
      </w:r>
    </w:p>
    <w:p>
      <w:pPr/>
      <w:r>
        <w:t>Weber, Natalie: Systemmodell der Wirkungsökonomie, 2025. Spalte 7 Gesundheit, Pflege &amp; Leben.</w:t>
      </w:r>
    </w:p>
    <w:p>
      <w:pPr/>
      <w:r>
        <w:t>Weber, Natalie: Führender Begriffsleitfaden der Wirkungsökonomie, Version 1.0, 2026.</w:t>
      </w:r>
    </w:p>
    <w:p>
      <w:pPr/>
      <w:r>
        <w:t>World Health Organization (WHO): Constitution of the World Health Organization; Social determinants of health; One Health.</w:t>
      </w:r>
    </w:p>
    <w:p>
      <w:pPr/>
      <w:r>
        <w:t>OECD: Health at a Glance 2025: Germany und Health expenditure on prevention and primary healthcare.</w:t>
      </w:r>
    </w:p>
    <w:p>
      <w:pPr/>
      <w:r>
        <w:t>Destatis: Gesundheitsausgaben 2024; Pflegebedürftige in Deutschland 2023; Gesundheits- und Pflegestatistiken.</w:t>
      </w:r>
    </w:p>
    <w:p>
      <w:pPr/>
      <w:r>
        <w:t>Bundesministerium für Gesundheit: Informationen zu Gesundheit, Prävention, Pflege und Krankenhausstrukturreform.</w:t>
      </w:r>
    </w:p>
    <w:p>
      <w:pPr/>
      <w:r>
        <w:t>Robert Koch-Institut / Gesundheitsberichterstattung des Bundes: Gesundheitsindikatoren, Prävention, psychische Gesundheit, soziale Determinanten.</w:t>
      </w:r>
    </w:p>
    <w:p>
      <w:pPr/>
      <w:r>
        <w:t>EU / Europäische Kommission: Europäische Gesundheitsdatenräume, EU4Health, Klima- und Gesundheitsbezüge, einschlägige Gesundheits- und Digitalrechtsakte.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91" w:bottom="907" w:left="119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3175"/>
      <w:gridCol w:w="3175"/>
      <w:gridCol w:w="3175"/>
    </w:tblGrid>
    <w:tr>
      <w:tc>
        <w:tcPr>
          <w:tcW w:type="dxa" w:w="3401"/>
          <w:tcMar>
            <w:top w:w="0" w:type="dxa"/>
            <w:start w:w="0" w:type="dxa"/>
            <w:bottom w:w="0" w:type="dxa"/>
            <w:end w:w="0" w:type="dxa"/>
          </w:tcMar>
          <w:tcBorders>
            <w:top w:val="single" w:color="D8D2C6" w:sz="4"/>
          </w:tcBorders>
        </w:tcPr>
        <w:p>
          <w:pPr>
            <w:jc w:val="left"/>
          </w:pP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4"/>
            </w:rPr>
            <w:t>{{DOKUMENTTYP}} · {{STAND}}</w:t>
          </w:r>
        </w:p>
      </w:tc>
      <w:tc>
        <w:tcPr>
          <w:tcW w:type="dxa" w:w="2834"/>
          <w:tcMar>
            <w:top w:w="0" w:type="dxa"/>
            <w:start w:w="0" w:type="dxa"/>
            <w:bottom w:w="0" w:type="dxa"/>
            <w:end w:w="0" w:type="dxa"/>
          </w:tcMar>
          <w:tcBorders>
            <w:top w:val="single" w:color="D8D2C6" w:sz="4"/>
          </w:tcBorders>
        </w:tcPr>
        <w:p>
          <w:pPr>
            <w:jc w:val="center"/>
          </w:pP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4"/>
            </w:rPr>
            <w:t>Wirkung statt Kapital</w:t>
          </w:r>
        </w:p>
      </w:tc>
      <w:tc>
        <w:tcPr>
          <w:tcW w:type="dxa" w:w="3288"/>
          <w:tcMar>
            <w:top w:w="0" w:type="dxa"/>
            <w:start w:w="0" w:type="dxa"/>
            <w:bottom w:w="0" w:type="dxa"/>
            <w:end w:w="0" w:type="dxa"/>
          </w:tcMar>
          <w:tcBorders>
            <w:top w:val="single" w:color="D8D2C6" w:sz="4"/>
          </w:tcBorders>
        </w:tcPr>
        <w:p>
          <w:pPr>
            <w:jc w:val="right"/>
          </w:pP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4"/>
            </w:rPr>
            <w:t xml:space="preserve">Seite </w:t>
          </w: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4"/>
            </w:rPr>
            <w:fldChar w:fldCharType="begin"/>
            <w:instrText xml:space="preserve">PAGE</w:instrText>
            <w:fldChar w:fldCharType="separate"/>
            <w:t>1</w: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762"/>
      <w:gridCol w:w="4762"/>
    </w:tblGrid>
    <w:tr>
      <w:tc>
        <w:tcPr>
          <w:tcW w:type="dxa" w:w="5385"/>
          <w:tcMar>
            <w:top w:w="0" w:type="dxa"/>
            <w:start w:w="0" w:type="dxa"/>
            <w:bottom w:w="0" w:type="dxa"/>
            <w:end w:w="0" w:type="dxa"/>
          </w:tcMar>
          <w:tcBorders>
            <w:bottom w:val="single" w:color="D8D2C6" w:sz="4"/>
          </w:tcBorders>
          <w:vAlign w:val="center"/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223200" cy="184569"/>
                <wp:docPr id="1" name="Picture 1" descr="Image: item1.xml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woek-signe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3200" cy="184569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  <w:r>
            <w:rPr>
              <w:rFonts w:ascii="Playfair Display" w:hAnsi="Playfair Display" w:cs="Playfair Display" w:eastAsia="Playfair Display"/>
              <w:b w:val="0"/>
              <w:i w:val="0"/>
              <w:color w:val="0B1020"/>
              <w:sz w:val="18"/>
              <w:caps/>
              <w:spacing w:val="25"/>
            </w:rPr>
            <w:t xml:space="preserve">  WIRKUNGSÖKONOMIE</w:t>
          </w:r>
        </w:p>
      </w:tc>
      <w:tc>
        <w:tcPr>
          <w:tcW w:type="dxa" w:w="4138"/>
          <w:tcMar>
            <w:top w:w="0" w:type="dxa"/>
            <w:start w:w="0" w:type="dxa"/>
            <w:bottom w:w="0" w:type="dxa"/>
            <w:end w:w="0" w:type="dxa"/>
          </w:tcMar>
          <w:tcBorders>
            <w:bottom w:val="single" w:color="D8D2C6" w:sz="4"/>
          </w:tcBorders>
          <w:vAlign w:val="center"/>
        </w:tcPr>
        <w:p>
          <w:pPr>
            <w:jc w:val="right"/>
          </w:pP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5"/>
            </w:rPr>
            <w:t>{{KURZTITEL}}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40" w:before="0"/>
    </w:pPr>
    <w:rPr>
      <w:rFonts w:ascii="Merriweather" w:hAnsi="Merriweather" w:cs="Merriweather" w:eastAsia="Merriweather"/>
      <w:b w:val="0"/>
      <w:i w:val="0"/>
      <w:color w:val="22242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60"/>
      <w:outlineLvl w:val="0"/>
    </w:pPr>
    <w:rPr>
      <w:rFonts w:asciiTheme="majorHAnsi" w:eastAsiaTheme="majorEastAsia" w:hAnsiTheme="majorHAnsi" w:cstheme="majorBidi" w:ascii="Playfair Display" w:hAnsi="Playfair Display" w:cs="Playfair Display" w:eastAsia="Playfair Display"/>
      <w:b w:val="0"/>
      <w:bCs/>
      <w:i w:val="0"/>
      <w:color w:val="0B102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Playfair Display" w:hAnsi="Playfair Display" w:cs="Source Sans 3" w:eastAsia="Playfair Display"/>
      <w:b/>
      <w:bCs/>
      <w:i w:val="0"/>
      <w:color w:val="0B102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Playfair Display" w:hAnsi="Playfair Display" w:cs="Source Sans 3" w:eastAsia="Playfair Display"/>
      <w:b/>
      <w:bCs/>
      <w:i w:val="0"/>
      <w:color w:val="0B102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60"/>
      <w:outlineLvl w:val="3"/>
    </w:pPr>
    <w:rPr>
      <w:rFonts w:asciiTheme="majorHAnsi" w:eastAsiaTheme="majorEastAsia" w:hAnsiTheme="majorHAnsi" w:cstheme="majorBidi" w:ascii="Source Sans 3" w:hAnsi="Source Sans 3" w:cs="Source Sans 3" w:eastAsia="Source Sans 3"/>
      <w:b/>
      <w:bCs/>
      <w:i w:val="0"/>
      <w:iCs/>
      <w:color w:val="2F7D5C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  <w:jc w:val="center"/>
    </w:pPr>
    <w:rPr>
      <w:rFonts w:asciiTheme="majorHAnsi" w:eastAsiaTheme="majorEastAsia" w:hAnsiTheme="majorHAnsi" w:cstheme="majorBidi" w:ascii="Playfair Display" w:hAnsi="Playfair Display" w:cs="Playfair Display" w:eastAsia="Playfair Display"/>
      <w:b w:val="0"/>
      <w:i w:val="0"/>
      <w:color w:val="0B102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 w:ascii="Playfair Display" w:hAnsi="Playfair Display" w:cs="Merriweather" w:eastAsia="Playfair Display"/>
      <w:b w:val="0"/>
      <w:i w:val="0"/>
      <w:iCs/>
      <w:color w:val="0B102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ind w:left="340"/>
      <w:contextualSpacing/>
    </w:pPr>
    <w:rPr>
      <w:rFonts w:ascii="Merriweather" w:hAnsi="Merriweather" w:cs="Merriweather" w:eastAsia="Merriweather"/>
      <w:b w:val="0"/>
      <w:i w:val="0"/>
      <w:color w:val="22242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Merriweather" w:hAnsi="Merriweather" w:eastAsia="Merriweather"/>
      <w:i/>
      <w:iCs/>
      <w:color w:val="2F7D5C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ource Sans 3" w:hAnsi="Source Sans 3" w:eastAsia="Source Sans 3"/>
      <w:b/>
      <w:bCs/>
      <w:color w:val="2F7D5C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ÖkDokumenttyp">
    <w:name w:val="WÖk Dokumenttyp"/>
    <w:pPr>
      <w:spacing w:after="80" w:line="264" w:lineRule="auto"/>
      <w:jc w:val="center"/>
    </w:pPr>
    <w:rPr>
      <w:rFonts w:ascii="Source Sans 3" w:hAnsi="Source Sans 3" w:cs="Source Sans 3" w:eastAsia="Source Sans 3"/>
      <w:b/>
      <w:i w:val="0"/>
      <w:color w:val="C89B3C"/>
      <w:sz w:val="22"/>
    </w:rPr>
  </w:style>
  <w:style w:type="paragraph" w:customStyle="1" w:styleId="WÖkDeckblattMeta">
    <w:name w:val="WÖk Deckblatt Meta"/>
    <w:pPr>
      <w:spacing w:after="80" w:line="264" w:lineRule="auto"/>
      <w:jc w:val="center"/>
    </w:pPr>
    <w:rPr>
      <w:rFonts w:ascii="Source Sans 3" w:hAnsi="Source Sans 3" w:cs="Source Sans 3" w:eastAsia="Source Sans 3"/>
      <w:b w:val="0"/>
      <w:i w:val="0"/>
      <w:color w:val="22242C"/>
      <w:sz w:val="17"/>
    </w:rPr>
  </w:style>
  <w:style w:type="paragraph" w:customStyle="1" w:styleId="WÖkLead">
    <w:name w:val="WÖk Lead"/>
    <w:pPr>
      <w:spacing w:after="240" w:line="264" w:lineRule="auto"/>
    </w:pPr>
    <w:rPr>
      <w:rFonts w:ascii="Merriweather" w:hAnsi="Merriweather" w:cs="Merriweather" w:eastAsia="Merriweather"/>
      <w:b w:val="0"/>
      <w:i w:val="0"/>
      <w:color w:val="0B1020"/>
      <w:sz w:val="24"/>
    </w:rPr>
  </w:style>
  <w:style w:type="paragraph" w:customStyle="1" w:styleId="WÖkMetadatenLabel">
    <w:name w:val="WÖk Metadaten Label"/>
    <w:pPr>
      <w:spacing w:after="80" w:line="264" w:lineRule="auto"/>
    </w:pPr>
    <w:rPr>
      <w:rFonts w:ascii="Source Sans 3" w:hAnsi="Source Sans 3" w:cs="Source Sans 3" w:eastAsia="Source Sans 3"/>
      <w:b/>
      <w:i w:val="0"/>
      <w:color w:val="0B1020"/>
      <w:sz w:val="16"/>
    </w:rPr>
  </w:style>
  <w:style w:type="paragraph" w:customStyle="1" w:styleId="WÖkMetadatenWert">
    <w:name w:val="WÖk Metadaten Wert"/>
    <w:pPr>
      <w:spacing w:after="80" w:line="264" w:lineRule="auto"/>
    </w:pPr>
    <w:rPr>
      <w:rFonts w:ascii="Source Sans 3" w:hAnsi="Source Sans 3" w:cs="Source Sans 3" w:eastAsia="Source Sans 3"/>
      <w:b w:val="0"/>
      <w:i w:val="0"/>
      <w:color w:val="22242C"/>
      <w:sz w:val="18"/>
    </w:rPr>
  </w:style>
  <w:style w:type="paragraph" w:customStyle="1" w:styleId="WÖkLeitformel">
    <w:name w:val="WÖk Leitformel"/>
    <w:pPr>
      <w:spacing w:after="80" w:line="264" w:lineRule="auto"/>
    </w:pPr>
    <w:rPr>
      <w:rFonts w:ascii="Merriweather" w:hAnsi="Merriweather" w:cs="Merriweather" w:eastAsia="Merriweather"/>
      <w:b w:val="0"/>
      <w:i/>
      <w:color w:val="0B1020"/>
      <w:sz w:val="21"/>
    </w:rPr>
  </w:style>
  <w:style w:type="paragraph" w:customStyle="1" w:styleId="WÖkHinweisbox">
    <w:name w:val="WÖk Hinweisbox"/>
    <w:pPr>
      <w:spacing w:after="80" w:line="264" w:lineRule="auto"/>
    </w:pPr>
    <w:rPr>
      <w:rFonts w:ascii="Source Sans 3" w:hAnsi="Source Sans 3" w:cs="Source Sans 3" w:eastAsia="Source Sans 3"/>
      <w:b w:val="0"/>
      <w:i w:val="0"/>
      <w:color w:val="22242C"/>
      <w:sz w:val="19"/>
    </w:rPr>
  </w:style>
  <w:style w:type="paragraph" w:customStyle="1" w:styleId="WÖkQuote">
    <w:name w:val="WÖk Quote"/>
    <w:pPr>
      <w:spacing w:after="160" w:line="264" w:lineRule="auto" w:before="160"/>
      <w:ind w:left="340" w:right="340"/>
    </w:pPr>
    <w:rPr>
      <w:rFonts w:ascii="Merriweather" w:hAnsi="Merriweather" w:cs="Merriweather" w:eastAsia="Merriweather"/>
      <w:b w:val="0"/>
      <w:i/>
      <w:color w:val="0B1020"/>
      <w:sz w:val="22"/>
    </w:rPr>
  </w:style>
  <w:style w:type="paragraph" w:customStyle="1" w:styleId="WÖkTabellenkopf">
    <w:name w:val="WÖk Tabellenkopf"/>
    <w:pPr>
      <w:spacing w:after="80" w:line="264" w:lineRule="auto"/>
    </w:pPr>
    <w:rPr>
      <w:rFonts w:ascii="Source Sans 3" w:hAnsi="Source Sans 3" w:cs="Source Sans 3" w:eastAsia="Source Sans 3"/>
      <w:b/>
      <w:i w:val="0"/>
      <w:color w:val="0B1020"/>
      <w:sz w:val="17"/>
    </w:rPr>
  </w:style>
  <w:style w:type="paragraph" w:customStyle="1" w:styleId="WÖkTabellenzelle">
    <w:name w:val="WÖk Tabellenzelle"/>
    <w:pPr>
      <w:spacing w:after="80" w:line="264" w:lineRule="auto"/>
    </w:pPr>
    <w:rPr>
      <w:rFonts w:ascii="Source Sans 3" w:hAnsi="Source Sans 3" w:cs="Source Sans 3" w:eastAsia="Source Sans 3"/>
      <w:b w:val="0"/>
      <w:i w:val="0"/>
      <w:color w:val="22242C"/>
      <w:sz w:val="17"/>
    </w:rPr>
  </w:style>
  <w:style w:type="paragraph" w:customStyle="1" w:styleId="WÖkFußzeile">
    <w:name w:val="WÖk Fußzeile"/>
    <w:pPr>
      <w:spacing w:after="80" w:line="264" w:lineRule="auto"/>
    </w:pPr>
    <w:rPr>
      <w:rFonts w:ascii="Source Sans 3" w:hAnsi="Source Sans 3" w:cs="Source Sans 3" w:eastAsia="Source Sans 3"/>
      <w:b w:val="0"/>
      <w:i w:val="0"/>
      <w:color w:val="22242C"/>
      <w:sz w:val="15"/>
    </w:rPr>
  </w:style>
  <w:style w:type="paragraph" w:customStyle="1" w:styleId="WÖkKleindruck">
    <w:name w:val="WÖk Kleindruck"/>
    <w:pPr>
      <w:spacing w:after="40" w:line="264" w:lineRule="auto"/>
    </w:pPr>
    <w:rPr>
      <w:rFonts w:ascii="Source Sans 3" w:hAnsi="Source Sans 3" w:cs="Source Sans 3" w:eastAsia="Source Sans 3"/>
      <w:b w:val="0"/>
      <w:i w:val="0"/>
      <w:color w:val="22242C"/>
      <w:sz w:val="15"/>
    </w:rPr>
  </w:style>
  <w:style w:type="paragraph" w:customStyle="1" w:styleId="WÖkCaption">
    <w:name w:val="WÖk Caption"/>
    <w:pPr>
      <w:spacing w:after="80" w:line="264" w:lineRule="auto"/>
    </w:pPr>
    <w:rPr>
      <w:rFonts w:ascii="Source Sans 3" w:hAnsi="Source Sans 3" w:cs="Source Sans 3" w:eastAsia="Source Sans 3"/>
      <w:b w:val="0"/>
      <w:i/>
      <w:color w:val="22242C"/>
      <w:sz w:val="16"/>
    </w:rPr>
  </w:style>
  <w:style w:type="paragraph" w:customStyle="1" w:styleId="TableText">
    <w:name w:val="Table Text"/>
    <w:rPr>
      <w:rFonts w:ascii="Source Sans 3" w:hAnsi="Source Sans 3" w:eastAsia="Source Sans 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WÖk Dossier- und Konzeptpapier-Template</dc:title>
  <dc:subject>Word-Template für Arbeitspapiere, Konzepte und Dossiers</dc:subject>
  <dc:creator>Natalie Weber / Wirkungsökonomie</dc:creator>
  <cp:keywords>Wirkungsökonomie, WÖk, Dossier, Konzeptpapier, Arbeitspapier, Codex, Template</cp:keywords>
  <dc:description>Template mit Inhaltsschutz: nur Layout vereinheitlichen, Inhalte nicht ändern.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